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C9" w:rsidRPr="00C03BCE" w:rsidRDefault="00690756" w:rsidP="00083024">
      <w:pPr>
        <w:pStyle w:val="Heading1"/>
        <w:rPr>
          <w:lang w:val="fr-FR" w:eastAsia="en-US"/>
        </w:rPr>
      </w:pPr>
      <w:r>
        <w:rPr>
          <w:caps w:val="0"/>
          <w:lang w:val="fr-FR" w:eastAsia="en-US"/>
        </w:rPr>
        <w:t>P</w:t>
      </w:r>
      <w:r w:rsidRPr="00C03BCE">
        <w:rPr>
          <w:caps w:val="0"/>
          <w:lang w:val="fr-FR" w:eastAsia="en-US"/>
        </w:rPr>
        <w:t>ROPOSITION DE REVISION DU PARAGRAPHE 14 DE LA NORME </w:t>
      </w:r>
      <w:r>
        <w:rPr>
          <w:caps w:val="0"/>
          <w:lang w:val="fr-FR" w:eastAsia="en-US"/>
        </w:rPr>
        <w:t>ST</w:t>
      </w:r>
      <w:r w:rsidRPr="00C03BCE">
        <w:rPr>
          <w:caps w:val="0"/>
          <w:lang w:val="fr-FR" w:eastAsia="en-US"/>
        </w:rPr>
        <w:t>.14 DE L’</w:t>
      </w:r>
      <w:r>
        <w:rPr>
          <w:caps w:val="0"/>
          <w:lang w:val="fr-FR" w:eastAsia="en-US"/>
        </w:rPr>
        <w:t>OMPI</w:t>
      </w:r>
    </w:p>
    <w:p w:rsidR="00FF7A73" w:rsidRPr="00C03BCE" w:rsidRDefault="00FF7A73" w:rsidP="00EA2686">
      <w:pPr>
        <w:rPr>
          <w:rFonts w:eastAsia="Times New Roman"/>
          <w:lang w:val="fr-FR" w:eastAsia="en-US"/>
        </w:rPr>
      </w:pPr>
    </w:p>
    <w:p w:rsidR="00EA2686" w:rsidRPr="00C03BCE" w:rsidRDefault="004D77D3" w:rsidP="00A910F8">
      <w:pPr>
        <w:pStyle w:val="ONUMFS"/>
        <w:rPr>
          <w:lang w:val="fr-FR"/>
        </w:rPr>
      </w:pPr>
      <w:r w:rsidRPr="00C03BCE">
        <w:rPr>
          <w:lang w:val="fr-FR"/>
        </w:rPr>
        <w:t>La présente annexe contient la proposition de révision du paragraphe 14 de la norme ST</w:t>
      </w:r>
      <w:r w:rsidR="00083024">
        <w:rPr>
          <w:lang w:val="fr-FR"/>
        </w:rPr>
        <w:t>.</w:t>
      </w:r>
      <w:r w:rsidRPr="00C03BCE">
        <w:rPr>
          <w:lang w:val="fr-FR"/>
        </w:rPr>
        <w:t>14 de l</w:t>
      </w:r>
      <w:r w:rsidR="008B013A" w:rsidRPr="00C03BCE">
        <w:rPr>
          <w:lang w:val="fr-FR"/>
        </w:rPr>
        <w:t>’</w:t>
      </w:r>
      <w:r w:rsidRPr="00C03BCE">
        <w:rPr>
          <w:lang w:val="fr-FR"/>
        </w:rPr>
        <w:t>OMPI rédigé</w:t>
      </w:r>
      <w:r w:rsidR="00F47094" w:rsidRPr="00C03BCE">
        <w:rPr>
          <w:lang w:val="fr-FR"/>
        </w:rPr>
        <w:t>e</w:t>
      </w:r>
      <w:r w:rsidRPr="00C03BCE">
        <w:rPr>
          <w:lang w:val="fr-FR"/>
        </w:rPr>
        <w:t xml:space="preserve"> par l</w:t>
      </w:r>
      <w:r w:rsidR="008B013A" w:rsidRPr="00C03BCE">
        <w:rPr>
          <w:lang w:val="fr-FR"/>
        </w:rPr>
        <w:t>’</w:t>
      </w:r>
      <w:r w:rsidRPr="00C03BCE">
        <w:rPr>
          <w:lang w:val="fr-FR"/>
        </w:rPr>
        <w:t>équipe d</w:t>
      </w:r>
      <w:r w:rsidR="008B013A" w:rsidRPr="00C03BCE">
        <w:rPr>
          <w:lang w:val="fr-FR"/>
        </w:rPr>
        <w:t>’</w:t>
      </w:r>
      <w:r w:rsidRPr="00C03BCE">
        <w:rPr>
          <w:lang w:val="fr-FR"/>
        </w:rPr>
        <w:t>experts chargée de la norme ST</w:t>
      </w:r>
      <w:r w:rsidR="00083024">
        <w:rPr>
          <w:lang w:val="fr-FR"/>
        </w:rPr>
        <w:t>.</w:t>
      </w:r>
      <w:r w:rsidRPr="00C03BCE">
        <w:rPr>
          <w:lang w:val="fr-FR"/>
        </w:rPr>
        <w:t>14 conformément au premier volet de la tâche n° 45 du programme de travail d</w:t>
      </w:r>
      <w:r w:rsidR="00EF03AE">
        <w:rPr>
          <w:lang w:val="fr-FR"/>
        </w:rPr>
        <w:t>u</w:t>
      </w:r>
      <w:r w:rsidRPr="00C03BCE">
        <w:rPr>
          <w:lang w:val="fr-FR"/>
        </w:rPr>
        <w:t xml:space="preserve"> </w:t>
      </w:r>
      <w:r w:rsidR="00F47094" w:rsidRPr="00C03BCE">
        <w:rPr>
          <w:lang w:val="fr-FR"/>
        </w:rPr>
        <w:t>CWS</w:t>
      </w:r>
      <w:r w:rsidRPr="00C03BCE">
        <w:rPr>
          <w:lang w:val="fr-FR"/>
        </w:rPr>
        <w:t xml:space="preserve"> de l</w:t>
      </w:r>
      <w:r w:rsidR="008B013A" w:rsidRPr="00C03BCE">
        <w:rPr>
          <w:lang w:val="fr-FR"/>
        </w:rPr>
        <w:t>’</w:t>
      </w:r>
      <w:r w:rsidRPr="00C03BCE">
        <w:rPr>
          <w:lang w:val="fr-FR"/>
        </w:rPr>
        <w:t>OMPI.  Le projet de révision dudit paragraphe est reproduit à l</w:t>
      </w:r>
      <w:r w:rsidR="008B013A" w:rsidRPr="00C03BCE">
        <w:rPr>
          <w:lang w:val="fr-FR"/>
        </w:rPr>
        <w:t>’</w:t>
      </w:r>
      <w:r w:rsidRPr="00C03BCE">
        <w:rPr>
          <w:lang w:val="fr-FR"/>
        </w:rPr>
        <w:t>appendice de la présent</w:t>
      </w:r>
      <w:r w:rsidR="003B5634" w:rsidRPr="00C03BCE">
        <w:rPr>
          <w:lang w:val="fr-FR"/>
        </w:rPr>
        <w:t>e annexe i</w:t>
      </w:r>
      <w:r w:rsidR="00EA2686" w:rsidRPr="00C03BCE">
        <w:rPr>
          <w:lang w:val="fr-FR"/>
        </w:rPr>
        <w:t>.</w:t>
      </w:r>
    </w:p>
    <w:p w:rsidR="00EA2686" w:rsidRPr="00C03BCE" w:rsidRDefault="004D77D3" w:rsidP="00A910F8">
      <w:pPr>
        <w:pStyle w:val="ONUMFS"/>
        <w:rPr>
          <w:lang w:val="fr-FR"/>
        </w:rPr>
      </w:pPr>
      <w:r w:rsidRPr="00C03BCE">
        <w:rPr>
          <w:lang w:val="fr-FR"/>
        </w:rPr>
        <w:t>La version révisée du paragraphe 14 de la norme ST</w:t>
      </w:r>
      <w:r w:rsidR="00083024">
        <w:rPr>
          <w:lang w:val="fr-FR"/>
        </w:rPr>
        <w:t>.</w:t>
      </w:r>
      <w:r w:rsidRPr="00C03BCE">
        <w:rPr>
          <w:lang w:val="fr-FR"/>
        </w:rPr>
        <w:t>14 de l</w:t>
      </w:r>
      <w:r w:rsidR="008B013A" w:rsidRPr="00C03BCE">
        <w:rPr>
          <w:lang w:val="fr-FR"/>
        </w:rPr>
        <w:t>’</w:t>
      </w:r>
      <w:r w:rsidRPr="00C03BCE">
        <w:rPr>
          <w:lang w:val="fr-FR"/>
        </w:rPr>
        <w:t>OMPI comporte les modifications suiv</w:t>
      </w:r>
      <w:r w:rsidR="00825C85" w:rsidRPr="00C03BCE">
        <w:rPr>
          <w:lang w:val="fr-FR"/>
        </w:rPr>
        <w:t>antes (les modifications sont surlignées</w:t>
      </w:r>
      <w:r w:rsidR="00EA2686" w:rsidRPr="00C03BCE">
        <w:rPr>
          <w:lang w:val="fr-FR"/>
        </w:rPr>
        <w:t>)</w:t>
      </w:r>
      <w:r w:rsidR="00725F02" w:rsidRPr="00C03BCE">
        <w:rPr>
          <w:lang w:val="fr-FR"/>
        </w:rPr>
        <w:t> </w:t>
      </w:r>
      <w:r w:rsidR="00EA2686" w:rsidRPr="00C03BCE">
        <w:rPr>
          <w:lang w:val="fr-FR"/>
        </w:rPr>
        <w:t>:</w:t>
      </w:r>
    </w:p>
    <w:p w:rsidR="00074CC9" w:rsidRPr="00C03BCE" w:rsidRDefault="003006F5" w:rsidP="00A910F8">
      <w:pPr>
        <w:pStyle w:val="ONUMFS"/>
        <w:numPr>
          <w:ilvl w:val="1"/>
          <w:numId w:val="6"/>
        </w:numPr>
        <w:rPr>
          <w:lang w:val="fr-FR" w:eastAsia="en-US"/>
        </w:rPr>
      </w:pPr>
      <w:r w:rsidRPr="00C03BCE">
        <w:rPr>
          <w:lang w:val="fr-FR" w:eastAsia="en-US"/>
        </w:rPr>
        <w:t>n</w:t>
      </w:r>
      <w:r w:rsidR="004D77D3" w:rsidRPr="00C03BCE">
        <w:rPr>
          <w:lang w:val="fr-FR" w:eastAsia="en-US"/>
        </w:rPr>
        <w:t>ouvelle catégorie “</w:t>
      </w:r>
      <w:r w:rsidR="00074CC9" w:rsidRPr="00C03BCE">
        <w:rPr>
          <w:lang w:val="fr-FR" w:eastAsia="en-US"/>
        </w:rPr>
        <w:t>N”</w:t>
      </w:r>
      <w:r w:rsidR="00F47094" w:rsidRPr="00C03BCE">
        <w:rPr>
          <w:lang w:val="fr-FR" w:eastAsia="en-US"/>
        </w:rPr>
        <w:t> </w:t>
      </w:r>
      <w:proofErr w:type="gramStart"/>
      <w:r w:rsidR="00074CC9" w:rsidRPr="00C03BCE">
        <w:rPr>
          <w:lang w:val="fr-FR" w:eastAsia="en-US"/>
        </w:rPr>
        <w:t>:</w:t>
      </w:r>
      <w:proofErr w:type="gramEnd"/>
      <w:r w:rsidR="00F14A78" w:rsidRPr="00C03BCE">
        <w:rPr>
          <w:lang w:val="fr-FR" w:eastAsia="en-US"/>
        </w:rPr>
        <w:br/>
      </w:r>
      <w:r w:rsidR="00074CC9" w:rsidRPr="00C03BCE">
        <w:rPr>
          <w:sz w:val="16"/>
          <w:szCs w:val="16"/>
          <w:lang w:val="fr-FR" w:eastAsia="en-US"/>
        </w:rPr>
        <w:br/>
      </w:r>
      <w:r w:rsidR="004D77D3" w:rsidRPr="00C03BCE">
        <w:rPr>
          <w:highlight w:val="yellow"/>
          <w:lang w:val="fr-FR" w:eastAsia="en-US"/>
        </w:rPr>
        <w:t>Catégorie </w:t>
      </w:r>
      <w:r w:rsidR="00074CC9" w:rsidRPr="00C03BCE">
        <w:rPr>
          <w:highlight w:val="yellow"/>
          <w:lang w:val="fr-FR" w:eastAsia="en-US"/>
        </w:rPr>
        <w:t>“N”</w:t>
      </w:r>
      <w:r w:rsidR="00F47094" w:rsidRPr="00C03BCE">
        <w:rPr>
          <w:highlight w:val="yellow"/>
          <w:lang w:val="fr-FR" w:eastAsia="en-US"/>
        </w:rPr>
        <w:t> </w:t>
      </w:r>
      <w:r w:rsidR="00074CC9" w:rsidRPr="00C03BCE">
        <w:rPr>
          <w:highlight w:val="yellow"/>
          <w:lang w:val="fr-FR" w:eastAsia="en-US"/>
        </w:rPr>
        <w:t>:</w:t>
      </w:r>
      <w:r w:rsidR="00C32651" w:rsidRPr="00C03BCE">
        <w:rPr>
          <w:highlight w:val="yellow"/>
          <w:lang w:val="fr-FR" w:eastAsia="en-US"/>
        </w:rPr>
        <w:t xml:space="preserve"> </w:t>
      </w:r>
      <w:r w:rsidR="00074CC9" w:rsidRPr="00C03BCE">
        <w:rPr>
          <w:highlight w:val="yellow"/>
          <w:lang w:val="fr-FR" w:eastAsia="en-US"/>
        </w:rPr>
        <w:tab/>
      </w:r>
      <w:r w:rsidR="003B5634" w:rsidRPr="00C03BCE">
        <w:rPr>
          <w:highlight w:val="yellow"/>
          <w:lang w:val="fr-FR" w:eastAsia="en-US"/>
        </w:rPr>
        <w:t>L</w:t>
      </w:r>
      <w:r w:rsidR="008B013A" w:rsidRPr="00C03BCE">
        <w:rPr>
          <w:highlight w:val="yellow"/>
          <w:lang w:val="fr-FR" w:eastAsia="en-US"/>
        </w:rPr>
        <w:t>’</w:t>
      </w:r>
      <w:r w:rsidR="003B5634" w:rsidRPr="00C03BCE">
        <w:rPr>
          <w:highlight w:val="yellow"/>
          <w:lang w:val="fr-FR" w:eastAsia="en-US"/>
        </w:rPr>
        <w:t>invention revendiquée ne peut être considérée comme nouvelle par rapport au document considéré isolément</w:t>
      </w:r>
      <w:r w:rsidR="00074CC9" w:rsidRPr="00C03BCE">
        <w:rPr>
          <w:lang w:val="fr-FR" w:eastAsia="en-US"/>
        </w:rPr>
        <w:t>;</w:t>
      </w:r>
    </w:p>
    <w:p w:rsidR="0035137B" w:rsidRPr="00C03BCE" w:rsidRDefault="003006F5" w:rsidP="00A910F8">
      <w:pPr>
        <w:pStyle w:val="ONUMFS"/>
        <w:numPr>
          <w:ilvl w:val="1"/>
          <w:numId w:val="6"/>
        </w:numPr>
        <w:rPr>
          <w:lang w:val="fr-FR" w:eastAsia="en-US"/>
        </w:rPr>
      </w:pPr>
      <w:r w:rsidRPr="00C03BCE">
        <w:rPr>
          <w:lang w:val="fr-FR" w:eastAsia="en-US"/>
        </w:rPr>
        <w:t>n</w:t>
      </w:r>
      <w:r w:rsidR="004D77D3" w:rsidRPr="00C03BCE">
        <w:rPr>
          <w:lang w:val="fr-FR" w:eastAsia="en-US"/>
        </w:rPr>
        <w:t>ouvelle catégorie “</w:t>
      </w:r>
      <w:r w:rsidR="00074CC9" w:rsidRPr="00C03BCE">
        <w:rPr>
          <w:lang w:val="fr-FR" w:eastAsia="en-US"/>
        </w:rPr>
        <w:t>I”</w:t>
      </w:r>
      <w:r w:rsidR="00F47094" w:rsidRPr="00C03BCE">
        <w:rPr>
          <w:lang w:val="fr-FR" w:eastAsia="en-US"/>
        </w:rPr>
        <w:t> </w:t>
      </w:r>
      <w:proofErr w:type="gramStart"/>
      <w:r w:rsidR="00074CC9" w:rsidRPr="00C03BCE">
        <w:rPr>
          <w:lang w:val="fr-FR" w:eastAsia="en-US"/>
        </w:rPr>
        <w:t>:</w:t>
      </w:r>
      <w:proofErr w:type="gramEnd"/>
      <w:r w:rsidR="00F14A78" w:rsidRPr="00C03BCE">
        <w:rPr>
          <w:lang w:val="fr-FR" w:eastAsia="en-US"/>
        </w:rPr>
        <w:br/>
      </w:r>
      <w:r w:rsidR="0035137B" w:rsidRPr="00C03BCE">
        <w:rPr>
          <w:sz w:val="16"/>
          <w:szCs w:val="16"/>
          <w:lang w:val="fr-FR" w:eastAsia="en-US"/>
        </w:rPr>
        <w:br/>
      </w:r>
      <w:r w:rsidR="004D77D3" w:rsidRPr="00C03BCE">
        <w:rPr>
          <w:highlight w:val="yellow"/>
          <w:lang w:val="fr-FR" w:eastAsia="en-US"/>
        </w:rPr>
        <w:t>Catégorie </w:t>
      </w:r>
      <w:r w:rsidR="00074CC9" w:rsidRPr="00C03BCE">
        <w:rPr>
          <w:highlight w:val="yellow"/>
          <w:lang w:val="fr-FR" w:eastAsia="en-US"/>
        </w:rPr>
        <w:t>“I”</w:t>
      </w:r>
      <w:r w:rsidR="00F47094" w:rsidRPr="00C03BCE">
        <w:rPr>
          <w:highlight w:val="yellow"/>
          <w:lang w:val="fr-FR" w:eastAsia="en-US"/>
        </w:rPr>
        <w:t> </w:t>
      </w:r>
      <w:r w:rsidR="00074CC9" w:rsidRPr="00C03BCE">
        <w:rPr>
          <w:highlight w:val="yellow"/>
          <w:lang w:val="fr-FR" w:eastAsia="en-US"/>
        </w:rPr>
        <w:t>:</w:t>
      </w:r>
      <w:r w:rsidR="00C32651" w:rsidRPr="00C03BCE">
        <w:rPr>
          <w:highlight w:val="yellow"/>
          <w:lang w:val="fr-FR" w:eastAsia="en-US"/>
        </w:rPr>
        <w:t xml:space="preserve"> </w:t>
      </w:r>
      <w:r w:rsidR="00074CC9" w:rsidRPr="00C03BCE">
        <w:rPr>
          <w:highlight w:val="yellow"/>
          <w:lang w:val="fr-FR" w:eastAsia="en-US"/>
        </w:rPr>
        <w:tab/>
      </w:r>
      <w:r w:rsidR="003B5634" w:rsidRPr="00C03BCE">
        <w:rPr>
          <w:highlight w:val="yellow"/>
          <w:lang w:val="fr-FR" w:eastAsia="en-US"/>
        </w:rPr>
        <w:t>L</w:t>
      </w:r>
      <w:r w:rsidR="008B013A" w:rsidRPr="00C03BCE">
        <w:rPr>
          <w:highlight w:val="yellow"/>
          <w:lang w:val="fr-FR" w:eastAsia="en-US"/>
        </w:rPr>
        <w:t>’</w:t>
      </w:r>
      <w:r w:rsidR="003B5634" w:rsidRPr="00C03BCE">
        <w:rPr>
          <w:highlight w:val="yellow"/>
          <w:lang w:val="fr-FR" w:eastAsia="en-US"/>
        </w:rPr>
        <w:t xml:space="preserve">invention revendiquée ne peut être considérée comme impliquant une activité inventive par rapport </w:t>
      </w:r>
      <w:r w:rsidR="009F03E5">
        <w:rPr>
          <w:highlight w:val="yellow"/>
          <w:lang w:val="fr-FR" w:eastAsia="en-US"/>
        </w:rPr>
        <w:t xml:space="preserve">au </w:t>
      </w:r>
      <w:r w:rsidR="003B5634" w:rsidRPr="00C03BCE">
        <w:rPr>
          <w:highlight w:val="yellow"/>
          <w:lang w:val="fr-FR" w:eastAsia="en-US"/>
        </w:rPr>
        <w:t>document considéré isolément</w:t>
      </w:r>
      <w:r w:rsidR="00074CC9" w:rsidRPr="00C03BCE">
        <w:rPr>
          <w:highlight w:val="yellow"/>
          <w:lang w:val="fr-FR" w:eastAsia="en-US"/>
        </w:rPr>
        <w:t>;</w:t>
      </w:r>
    </w:p>
    <w:p w:rsidR="003B5634" w:rsidRPr="000A7483" w:rsidRDefault="003006F5" w:rsidP="003B5634">
      <w:pPr>
        <w:pStyle w:val="ONUMFS"/>
        <w:numPr>
          <w:ilvl w:val="1"/>
          <w:numId w:val="6"/>
        </w:numPr>
        <w:rPr>
          <w:rFonts w:eastAsia="Times New Roman"/>
          <w:szCs w:val="22"/>
          <w:lang w:val="fr-FR" w:eastAsia="fr-FR"/>
        </w:rPr>
      </w:pPr>
      <w:r w:rsidRPr="000A7483">
        <w:rPr>
          <w:lang w:val="fr-FR" w:eastAsia="en-US"/>
        </w:rPr>
        <w:t xml:space="preserve">définition révisée de la catégorie “X” </w:t>
      </w:r>
      <w:r w:rsidR="00F47094" w:rsidRPr="000A7483">
        <w:rPr>
          <w:lang w:val="fr-FR" w:eastAsia="en-US"/>
        </w:rPr>
        <w:t>assortie de</w:t>
      </w:r>
      <w:r w:rsidRPr="000A7483">
        <w:rPr>
          <w:lang w:val="fr-FR" w:eastAsia="en-US"/>
        </w:rPr>
        <w:t xml:space="preserve"> la recommandation qu</w:t>
      </w:r>
      <w:r w:rsidR="008B013A" w:rsidRPr="000A7483">
        <w:rPr>
          <w:lang w:val="fr-FR" w:eastAsia="en-US"/>
        </w:rPr>
        <w:t>’</w:t>
      </w:r>
      <w:r w:rsidRPr="000A7483">
        <w:rPr>
          <w:lang w:val="fr-FR" w:eastAsia="en-US"/>
        </w:rPr>
        <w:t>elle</w:t>
      </w:r>
      <w:r w:rsidR="00F47094" w:rsidRPr="000A7483">
        <w:rPr>
          <w:lang w:val="fr-FR" w:eastAsia="en-US"/>
        </w:rPr>
        <w:t xml:space="preserve"> ne devrait </w:t>
      </w:r>
      <w:r w:rsidRPr="000A7483">
        <w:rPr>
          <w:lang w:val="fr-FR" w:eastAsia="en-US"/>
        </w:rPr>
        <w:t>plus être utilisée dans les nouveaux rapports de recherche.</w:t>
      </w:r>
      <w:r w:rsidR="007701E2">
        <w:rPr>
          <w:lang w:val="fr-FR" w:eastAsia="en-US"/>
        </w:rPr>
        <w:br/>
      </w:r>
      <w:r w:rsidR="0035137B" w:rsidRPr="00EF03AE">
        <w:rPr>
          <w:sz w:val="16"/>
          <w:szCs w:val="16"/>
          <w:lang w:val="fr-FR" w:eastAsia="en-US"/>
        </w:rPr>
        <w:br/>
      </w:r>
      <w:r w:rsidR="0035137B" w:rsidRPr="00EF03AE">
        <w:rPr>
          <w:rFonts w:eastAsia="Times New Roman"/>
          <w:strike/>
          <w:color w:val="FFFFFF"/>
          <w:highlight w:val="darkRed"/>
          <w:lang w:val="fr-FR" w:eastAsia="en-US"/>
        </w:rPr>
        <w:t xml:space="preserve"> </w:t>
      </w:r>
      <w:proofErr w:type="spellStart"/>
      <w:r w:rsidR="00074CC9" w:rsidRPr="00EF03AE">
        <w:rPr>
          <w:rFonts w:eastAsia="Times New Roman"/>
          <w:strike/>
          <w:color w:val="FFFFFF"/>
          <w:highlight w:val="darkRed"/>
          <w:lang w:val="fr-FR" w:eastAsia="en-US"/>
        </w:rPr>
        <w:t>Categor</w:t>
      </w:r>
      <w:r w:rsidR="00825C85" w:rsidRPr="00EF03AE">
        <w:rPr>
          <w:rFonts w:eastAsia="Times New Roman"/>
          <w:strike/>
          <w:color w:val="FFFFFF"/>
          <w:highlight w:val="darkRed"/>
          <w:lang w:val="fr-FR" w:eastAsia="en-US"/>
        </w:rPr>
        <w:t>ie</w:t>
      </w:r>
      <w:proofErr w:type="spellEnd"/>
      <w:r w:rsidR="00F47094" w:rsidRPr="00EF03AE">
        <w:rPr>
          <w:rFonts w:eastAsia="Times New Roman"/>
          <w:strike/>
          <w:color w:val="FFFFFF"/>
          <w:highlight w:val="darkRed"/>
          <w:lang w:val="fr-FR" w:eastAsia="en-US"/>
        </w:rPr>
        <w:t> </w:t>
      </w:r>
      <w:r w:rsidR="00074CC9" w:rsidRPr="00EF03AE">
        <w:rPr>
          <w:rFonts w:eastAsia="Times New Roman"/>
          <w:strike/>
          <w:color w:val="FFFFFF"/>
          <w:highlight w:val="darkRed"/>
          <w:lang w:val="fr-FR" w:eastAsia="en-US"/>
        </w:rPr>
        <w:t>“X”</w:t>
      </w:r>
      <w:r w:rsidR="00F47094" w:rsidRPr="00EF03AE">
        <w:rPr>
          <w:rFonts w:eastAsia="Times New Roman"/>
          <w:strike/>
          <w:color w:val="FFFFFF"/>
          <w:highlight w:val="darkRed"/>
          <w:lang w:val="fr-FR" w:eastAsia="en-US"/>
        </w:rPr>
        <w:t> </w:t>
      </w:r>
      <w:r w:rsidR="00074CC9" w:rsidRPr="00EF03AE">
        <w:rPr>
          <w:rFonts w:eastAsia="Times New Roman"/>
          <w:strike/>
          <w:color w:val="FFFFFF"/>
          <w:highlight w:val="darkRed"/>
          <w:lang w:val="fr-FR" w:eastAsia="en-US"/>
        </w:rPr>
        <w:t>:</w:t>
      </w:r>
      <w:r w:rsidR="00C32651" w:rsidRPr="00EF03AE">
        <w:rPr>
          <w:rFonts w:eastAsia="Times New Roman"/>
          <w:strike/>
          <w:color w:val="FFFFFF"/>
          <w:highlight w:val="darkRed"/>
          <w:lang w:val="fr-FR" w:eastAsia="en-US"/>
        </w:rPr>
        <w:t xml:space="preserve"> </w:t>
      </w:r>
      <w:r w:rsidR="00074CC9" w:rsidRPr="00EF03AE">
        <w:rPr>
          <w:rFonts w:eastAsia="Times New Roman"/>
          <w:strike/>
          <w:color w:val="FFFFFF"/>
          <w:highlight w:val="darkRed"/>
          <w:lang w:val="fr-FR" w:eastAsia="en-US"/>
        </w:rPr>
        <w:tab/>
      </w:r>
      <w:r w:rsidR="00825C85" w:rsidRPr="00EF03AE">
        <w:rPr>
          <w:rFonts w:eastAsia="Times New Roman"/>
          <w:strike/>
          <w:color w:val="FFFFFF"/>
          <w:highlight w:val="darkRed"/>
          <w:lang w:val="fr-FR" w:eastAsia="en-US"/>
        </w:rPr>
        <w:t>L</w:t>
      </w:r>
      <w:r w:rsidR="008B013A" w:rsidRPr="00EF03AE">
        <w:rPr>
          <w:rFonts w:eastAsia="Times New Roman"/>
          <w:strike/>
          <w:color w:val="FFFFFF"/>
          <w:highlight w:val="darkRed"/>
          <w:lang w:val="fr-FR" w:eastAsia="en-US"/>
        </w:rPr>
        <w:t>’</w:t>
      </w:r>
      <w:r w:rsidR="00825C85" w:rsidRPr="00EF03AE">
        <w:rPr>
          <w:rFonts w:eastAsia="Times New Roman"/>
          <w:strike/>
          <w:color w:val="FFFFFF"/>
          <w:highlight w:val="darkRed"/>
          <w:lang w:val="fr-FR" w:eastAsia="en-US"/>
        </w:rPr>
        <w:t>invention revendiquée ne peut être considérée comme nouvelle ou comme impliquant une activité inventive par rapport au document considéré isolément</w:t>
      </w:r>
      <w:r w:rsidR="00074CC9" w:rsidRPr="00EF03AE">
        <w:rPr>
          <w:rFonts w:eastAsia="Times New Roman"/>
          <w:lang w:val="fr-FR" w:eastAsia="en-US"/>
        </w:rPr>
        <w:t>;</w:t>
      </w:r>
      <w:r w:rsidR="00F14A78" w:rsidRPr="00EF03AE">
        <w:rPr>
          <w:rFonts w:eastAsia="Times New Roman"/>
          <w:lang w:val="fr-FR" w:eastAsia="en-US"/>
        </w:rPr>
        <w:br/>
      </w:r>
      <w:r w:rsidR="0035137B" w:rsidRPr="00EF03AE">
        <w:rPr>
          <w:rFonts w:eastAsia="Times New Roman"/>
          <w:sz w:val="16"/>
          <w:szCs w:val="16"/>
          <w:lang w:val="fr-FR" w:eastAsia="en-US"/>
        </w:rPr>
        <w:br/>
      </w:r>
      <w:r w:rsidR="003B5634" w:rsidRPr="00EF03AE">
        <w:rPr>
          <w:highlight w:val="yellow"/>
          <w:lang w:val="fr-FR" w:eastAsia="en-US"/>
        </w:rPr>
        <w:t>Catégorie </w:t>
      </w:r>
      <w:r w:rsidR="003B5634" w:rsidRPr="00EF03AE">
        <w:rPr>
          <w:rFonts w:eastAsia="Times New Roman"/>
          <w:highlight w:val="yellow"/>
          <w:lang w:val="fr-FR" w:eastAsia="en-US"/>
        </w:rPr>
        <w:t>“X”</w:t>
      </w:r>
      <w:r w:rsidR="003B5634" w:rsidRPr="00EF03AE">
        <w:rPr>
          <w:rFonts w:eastAsia="Times New Roman"/>
          <w:highlight w:val="yellow"/>
          <w:vertAlign w:val="superscript"/>
          <w:lang w:val="fr-FR" w:eastAsia="en-US"/>
        </w:rPr>
        <w:t>1</w:t>
      </w:r>
      <w:r w:rsidR="00F47094" w:rsidRPr="00EF03AE">
        <w:rPr>
          <w:rFonts w:eastAsia="Times New Roman"/>
          <w:highlight w:val="yellow"/>
          <w:lang w:val="fr-FR" w:eastAsia="en-US"/>
        </w:rPr>
        <w:t> </w:t>
      </w:r>
      <w:r w:rsidR="003B5634" w:rsidRPr="00EF03AE">
        <w:rPr>
          <w:highlight w:val="yellow"/>
          <w:lang w:val="fr-FR"/>
        </w:rPr>
        <w:t>:</w:t>
      </w:r>
      <w:r w:rsidR="00C32651" w:rsidRPr="00EF03AE">
        <w:rPr>
          <w:rFonts w:eastAsia="Times New Roman"/>
          <w:highlight w:val="yellow"/>
          <w:lang w:val="fr-FR" w:eastAsia="en-US"/>
        </w:rPr>
        <w:t xml:space="preserve"> </w:t>
      </w:r>
      <w:r w:rsidR="003B5634" w:rsidRPr="00EF03AE">
        <w:rPr>
          <w:rFonts w:eastAsia="Times New Roman"/>
          <w:szCs w:val="22"/>
          <w:highlight w:val="yellow"/>
          <w:lang w:val="fr-FR" w:eastAsia="fr-FR"/>
        </w:rPr>
        <w:tab/>
        <w:t>Il était précédemment recommandé d</w:t>
      </w:r>
      <w:r w:rsidR="008B013A" w:rsidRPr="00EF03AE">
        <w:rPr>
          <w:rFonts w:eastAsia="Times New Roman"/>
          <w:szCs w:val="22"/>
          <w:highlight w:val="yellow"/>
          <w:lang w:val="fr-FR" w:eastAsia="fr-FR"/>
        </w:rPr>
        <w:t>’</w:t>
      </w:r>
      <w:r w:rsidR="003B5634" w:rsidRPr="00EF03AE">
        <w:rPr>
          <w:rFonts w:eastAsia="Times New Roman"/>
          <w:szCs w:val="22"/>
          <w:highlight w:val="yellow"/>
          <w:lang w:val="fr-FR" w:eastAsia="fr-FR"/>
        </w:rPr>
        <w:t>utiliser cette catégorie pour signaler que l</w:t>
      </w:r>
      <w:r w:rsidR="008B013A" w:rsidRPr="00EF03AE">
        <w:rPr>
          <w:rFonts w:eastAsia="Times New Roman"/>
          <w:szCs w:val="22"/>
          <w:highlight w:val="yellow"/>
          <w:lang w:val="fr-FR" w:eastAsia="fr-FR"/>
        </w:rPr>
        <w:t>’</w:t>
      </w:r>
      <w:r w:rsidR="003B5634" w:rsidRPr="00EF03AE">
        <w:rPr>
          <w:rFonts w:eastAsia="Times New Roman"/>
          <w:szCs w:val="22"/>
          <w:highlight w:val="yellow"/>
          <w:lang w:val="fr-FR" w:eastAsia="fr-FR"/>
        </w:rPr>
        <w:t xml:space="preserve">invention revendiquée ne pouvait être considérée comme nouvelle ou comme impliquant une activité inventive par rapport au document considéré isolément. </w:t>
      </w:r>
      <w:r w:rsidR="00C32651" w:rsidRPr="00EF03AE">
        <w:rPr>
          <w:rFonts w:eastAsia="Times New Roman"/>
          <w:szCs w:val="22"/>
          <w:highlight w:val="yellow"/>
          <w:lang w:val="fr-FR" w:eastAsia="fr-FR"/>
        </w:rPr>
        <w:t xml:space="preserve"> </w:t>
      </w:r>
      <w:r w:rsidR="00F47094" w:rsidRPr="00EF03AE">
        <w:rPr>
          <w:rFonts w:eastAsia="Times New Roman"/>
          <w:szCs w:val="22"/>
          <w:highlight w:val="yellow"/>
          <w:lang w:val="fr-FR" w:eastAsia="fr-FR"/>
        </w:rPr>
        <w:t>Elle ne devrait</w:t>
      </w:r>
      <w:r w:rsidR="003B5634" w:rsidRPr="00EF03AE">
        <w:rPr>
          <w:rFonts w:eastAsia="Times New Roman"/>
          <w:szCs w:val="22"/>
          <w:highlight w:val="yellow"/>
          <w:lang w:val="fr-FR" w:eastAsia="fr-FR"/>
        </w:rPr>
        <w:t xml:space="preserve"> plus être utilisée dans les nouveaux rapports de </w:t>
      </w:r>
      <w:r w:rsidR="00F47094" w:rsidRPr="00EF03AE">
        <w:rPr>
          <w:rFonts w:eastAsia="Times New Roman"/>
          <w:szCs w:val="22"/>
          <w:highlight w:val="yellow"/>
          <w:lang w:val="fr-FR" w:eastAsia="fr-FR"/>
        </w:rPr>
        <w:t>recherche.  Il conviendrait</w:t>
      </w:r>
      <w:r w:rsidR="003B5634" w:rsidRPr="00EF03AE">
        <w:rPr>
          <w:rFonts w:eastAsia="Times New Roman"/>
          <w:szCs w:val="22"/>
          <w:highlight w:val="yellow"/>
          <w:lang w:val="fr-FR" w:eastAsia="fr-FR"/>
        </w:rPr>
        <w:t xml:space="preserve"> d</w:t>
      </w:r>
      <w:r w:rsidR="008B013A" w:rsidRPr="00EF03AE">
        <w:rPr>
          <w:rFonts w:eastAsia="Times New Roman"/>
          <w:szCs w:val="22"/>
          <w:highlight w:val="yellow"/>
          <w:lang w:val="fr-FR" w:eastAsia="fr-FR"/>
        </w:rPr>
        <w:t>’</w:t>
      </w:r>
      <w:r w:rsidR="003B5634" w:rsidRPr="00EF03AE">
        <w:rPr>
          <w:rFonts w:eastAsia="Times New Roman"/>
          <w:szCs w:val="22"/>
          <w:highlight w:val="yellow"/>
          <w:lang w:val="fr-FR" w:eastAsia="fr-FR"/>
        </w:rPr>
        <w:t>utiliser à la place les catégories “N” ou “I”, plus spécifiques.</w:t>
      </w:r>
      <w:r w:rsidR="000A7483" w:rsidRPr="000A7483">
        <w:rPr>
          <w:rFonts w:eastAsia="Times New Roman"/>
          <w:szCs w:val="22"/>
          <w:lang w:val="fr-FR" w:eastAsia="fr-FR"/>
        </w:rPr>
        <w:t xml:space="preserve"> </w:t>
      </w:r>
    </w:p>
    <w:p w:rsidR="0035137B" w:rsidRPr="00C03BCE" w:rsidRDefault="003006F5" w:rsidP="00A910F8">
      <w:pPr>
        <w:pStyle w:val="ONUMFS"/>
        <w:numPr>
          <w:ilvl w:val="1"/>
          <w:numId w:val="6"/>
        </w:numPr>
        <w:rPr>
          <w:lang w:val="fr-FR" w:eastAsia="en-US"/>
        </w:rPr>
      </w:pPr>
      <w:r w:rsidRPr="00C03BCE">
        <w:rPr>
          <w:lang w:val="fr-FR" w:eastAsia="en-US"/>
        </w:rPr>
        <w:t>Définitions modifiées des catégories </w:t>
      </w:r>
      <w:r w:rsidR="00074CC9" w:rsidRPr="00C03BCE">
        <w:rPr>
          <w:lang w:val="fr-FR" w:eastAsia="en-US"/>
        </w:rPr>
        <w:t xml:space="preserve">“E” </w:t>
      </w:r>
      <w:r w:rsidRPr="00C03BCE">
        <w:rPr>
          <w:lang w:val="fr-FR" w:eastAsia="en-US"/>
        </w:rPr>
        <w:t>et</w:t>
      </w:r>
      <w:r w:rsidR="00074CC9" w:rsidRPr="00C03BCE">
        <w:rPr>
          <w:lang w:val="fr-FR" w:eastAsia="en-US"/>
        </w:rPr>
        <w:t xml:space="preserve"> “O” </w:t>
      </w:r>
      <w:r w:rsidRPr="00C03BCE">
        <w:rPr>
          <w:lang w:val="fr-FR" w:eastAsia="en-US"/>
        </w:rPr>
        <w:t>assorties de la recommandation que ces catégories devraient de préférence être accompagnées d</w:t>
      </w:r>
      <w:r w:rsidR="008B013A" w:rsidRPr="00C03BCE">
        <w:rPr>
          <w:lang w:val="fr-FR" w:eastAsia="en-US"/>
        </w:rPr>
        <w:t>’</w:t>
      </w:r>
      <w:r w:rsidRPr="00C03BCE">
        <w:rPr>
          <w:lang w:val="fr-FR" w:eastAsia="en-US"/>
        </w:rPr>
        <w:t>autres catégories</w:t>
      </w:r>
      <w:r w:rsidR="00F47094" w:rsidRPr="00C03BCE">
        <w:rPr>
          <w:lang w:val="fr-FR" w:eastAsia="en-US"/>
        </w:rPr>
        <w:t> </w:t>
      </w:r>
      <w:r w:rsidR="00074CC9" w:rsidRPr="00C03BCE">
        <w:rPr>
          <w:lang w:val="fr-FR" w:eastAsia="en-US"/>
        </w:rPr>
        <w:t>:</w:t>
      </w:r>
    </w:p>
    <w:p w:rsidR="00D355E4" w:rsidRPr="00C03BCE" w:rsidRDefault="004D77D3" w:rsidP="00F14A78">
      <w:pPr>
        <w:pStyle w:val="ONUME"/>
        <w:ind w:left="567"/>
        <w:rPr>
          <w:rFonts w:eastAsia="Times New Roman"/>
          <w:lang w:val="fr-FR" w:eastAsia="en-US"/>
        </w:rPr>
      </w:pPr>
      <w:r w:rsidRPr="00C03BCE">
        <w:rPr>
          <w:lang w:val="fr-FR" w:eastAsia="en-US"/>
        </w:rPr>
        <w:t>Catégorie </w:t>
      </w:r>
      <w:r w:rsidR="00074CC9" w:rsidRPr="00C03BCE">
        <w:rPr>
          <w:rFonts w:eastAsia="Times New Roman"/>
          <w:lang w:val="fr-FR" w:eastAsia="en-US"/>
        </w:rPr>
        <w:t>“E”</w:t>
      </w:r>
      <w:r w:rsidR="00F47094" w:rsidRPr="00C03BCE">
        <w:rPr>
          <w:rFonts w:eastAsia="Times New Roman"/>
          <w:lang w:val="fr-FR" w:eastAsia="en-US"/>
        </w:rPr>
        <w:t> </w:t>
      </w:r>
      <w:r w:rsidR="00074CC9" w:rsidRPr="00C03BCE">
        <w:rPr>
          <w:rFonts w:eastAsia="Times New Roman"/>
          <w:lang w:val="fr-FR" w:eastAsia="en-US"/>
        </w:rPr>
        <w:t>:</w:t>
      </w:r>
      <w:r w:rsidR="00C32651" w:rsidRPr="00C03BCE">
        <w:rPr>
          <w:rFonts w:eastAsia="Times New Roman"/>
          <w:lang w:val="fr-FR" w:eastAsia="en-US"/>
        </w:rPr>
        <w:t xml:space="preserve"> </w:t>
      </w:r>
      <w:r w:rsidR="00074CC9" w:rsidRPr="00C03BCE">
        <w:rPr>
          <w:rFonts w:eastAsia="Times New Roman"/>
          <w:lang w:val="fr-FR" w:eastAsia="en-US"/>
        </w:rPr>
        <w:tab/>
      </w:r>
      <w:r w:rsidR="008E6475" w:rsidRPr="00C03BCE">
        <w:rPr>
          <w:rFonts w:eastAsia="Times New Roman"/>
          <w:lang w:val="fr-FR" w:eastAsia="en-US"/>
        </w:rPr>
        <w:t>Document de breve</w:t>
      </w:r>
      <w:r w:rsidR="00F47094" w:rsidRPr="00C03BCE">
        <w:rPr>
          <w:rFonts w:eastAsia="Times New Roman"/>
          <w:lang w:val="fr-FR" w:eastAsia="en-US"/>
        </w:rPr>
        <w:t>t antérieur au sens de la règle </w:t>
      </w:r>
      <w:r w:rsidR="008E6475" w:rsidRPr="00C03BCE">
        <w:rPr>
          <w:rFonts w:eastAsia="Times New Roman"/>
          <w:lang w:val="fr-FR" w:eastAsia="en-US"/>
        </w:rPr>
        <w:t>33.1</w:t>
      </w:r>
      <w:r w:rsidR="007701E2">
        <w:rPr>
          <w:rFonts w:eastAsia="Times New Roman"/>
          <w:lang w:val="fr-FR" w:eastAsia="en-US"/>
        </w:rPr>
        <w:t>.</w:t>
      </w:r>
      <w:r w:rsidR="008E6475" w:rsidRPr="00C03BCE">
        <w:rPr>
          <w:rFonts w:eastAsia="Times New Roman"/>
          <w:lang w:val="fr-FR" w:eastAsia="en-US"/>
        </w:rPr>
        <w:t>c) du règlement</w:t>
      </w:r>
      <w:r w:rsidR="008B013A" w:rsidRPr="00C03BCE">
        <w:rPr>
          <w:rFonts w:eastAsia="Times New Roman"/>
          <w:lang w:val="fr-FR" w:eastAsia="en-US"/>
        </w:rPr>
        <w:t xml:space="preserve"> </w:t>
      </w:r>
      <w:r w:rsidR="00FA6F8D">
        <w:rPr>
          <w:rFonts w:eastAsia="Times New Roman"/>
          <w:lang w:val="fr-FR" w:eastAsia="en-US"/>
        </w:rPr>
        <w:t xml:space="preserve">d’exécution </w:t>
      </w:r>
      <w:r w:rsidR="008B013A" w:rsidRPr="00C03BCE">
        <w:rPr>
          <w:rFonts w:eastAsia="Times New Roman"/>
          <w:lang w:val="fr-FR" w:eastAsia="en-US"/>
        </w:rPr>
        <w:t>du PCT</w:t>
      </w:r>
      <w:r w:rsidR="00074CC9" w:rsidRPr="00C03BCE">
        <w:rPr>
          <w:rFonts w:eastAsia="Times New Roman"/>
          <w:lang w:val="fr-FR" w:eastAsia="en-US"/>
        </w:rPr>
        <w:t xml:space="preserve">, </w:t>
      </w:r>
      <w:r w:rsidR="00D34A38" w:rsidRPr="00C03BCE">
        <w:rPr>
          <w:rFonts w:eastAsia="Times New Roman"/>
          <w:strike/>
          <w:color w:val="FFFFFF"/>
          <w:highlight w:val="darkRed"/>
          <w:lang w:val="fr-FR" w:eastAsia="en-US"/>
        </w:rPr>
        <w:t>mais</w:t>
      </w:r>
      <w:r w:rsidR="00074CC9" w:rsidRPr="00C03BCE">
        <w:rPr>
          <w:rFonts w:eastAsia="Times New Roman"/>
          <w:lang w:val="fr-FR" w:eastAsia="en-US"/>
        </w:rPr>
        <w:t xml:space="preserve"> </w:t>
      </w:r>
      <w:r w:rsidR="00D34A38" w:rsidRPr="00C03BCE">
        <w:rPr>
          <w:rFonts w:eastAsia="Times New Roman"/>
          <w:lang w:val="fr-FR" w:eastAsia="en-US"/>
        </w:rPr>
        <w:t>publié à la date du dépôt international ou après cette date</w:t>
      </w:r>
      <w:r w:rsidR="00074CC9" w:rsidRPr="00C03BCE">
        <w:rPr>
          <w:rFonts w:eastAsia="Times New Roman"/>
          <w:lang w:val="fr-FR" w:eastAsia="en-US"/>
        </w:rPr>
        <w:t xml:space="preserve">.  </w:t>
      </w:r>
      <w:r w:rsidR="00FA6F8D">
        <w:rPr>
          <w:rFonts w:eastAsia="Times New Roman"/>
          <w:highlight w:val="yellow"/>
          <w:lang w:val="fr-FR" w:eastAsia="en-US"/>
        </w:rPr>
        <w:t>Le </w:t>
      </w:r>
      <w:r w:rsidR="008E6475" w:rsidRPr="00C03BCE">
        <w:rPr>
          <w:rFonts w:eastAsia="Times New Roman"/>
          <w:highlight w:val="yellow"/>
          <w:lang w:val="fr-FR" w:eastAsia="en-US"/>
        </w:rPr>
        <w:t>code “E” devrait toujours être accompagné de l</w:t>
      </w:r>
      <w:r w:rsidR="008B013A" w:rsidRPr="00C03BCE">
        <w:rPr>
          <w:rFonts w:eastAsia="Times New Roman"/>
          <w:highlight w:val="yellow"/>
          <w:lang w:val="fr-FR" w:eastAsia="en-US"/>
        </w:rPr>
        <w:t>’</w:t>
      </w:r>
      <w:r w:rsidR="008E6475" w:rsidRPr="00C03BCE">
        <w:rPr>
          <w:rFonts w:eastAsia="Times New Roman"/>
          <w:highlight w:val="yellow"/>
          <w:lang w:val="fr-FR" w:eastAsia="en-US"/>
        </w:rPr>
        <w:t>une des catégories</w:t>
      </w:r>
      <w:r w:rsidR="00725F02" w:rsidRPr="00C03BCE">
        <w:rPr>
          <w:rFonts w:eastAsia="Times New Roman"/>
          <w:highlight w:val="yellow"/>
          <w:lang w:val="fr-FR" w:eastAsia="en-US"/>
        </w:rPr>
        <w:t> “N”, “I”, “X”</w:t>
      </w:r>
      <w:r w:rsidR="00725F02" w:rsidRPr="00C03BCE">
        <w:rPr>
          <w:rFonts w:eastAsia="Times New Roman"/>
          <w:highlight w:val="yellow"/>
          <w:vertAlign w:val="superscript"/>
          <w:lang w:val="fr-FR" w:eastAsia="en-US"/>
        </w:rPr>
        <w:t>1</w:t>
      </w:r>
      <w:r w:rsidR="00FA6F8D">
        <w:rPr>
          <w:rFonts w:eastAsia="Times New Roman"/>
          <w:highlight w:val="yellow"/>
          <w:lang w:val="fr-FR" w:eastAsia="en-US"/>
        </w:rPr>
        <w:t>, “Y” ou </w:t>
      </w:r>
      <w:r w:rsidR="00725F02" w:rsidRPr="00C03BCE">
        <w:rPr>
          <w:rFonts w:eastAsia="Times New Roman"/>
          <w:highlight w:val="yellow"/>
          <w:lang w:val="fr-FR" w:eastAsia="en-US"/>
        </w:rPr>
        <w:t>“A”</w:t>
      </w:r>
      <w:r w:rsidR="00725F02" w:rsidRPr="00C03BCE">
        <w:rPr>
          <w:rFonts w:eastAsia="Times New Roman"/>
          <w:lang w:val="fr-FR" w:eastAsia="en-US"/>
        </w:rPr>
        <w:t>;</w:t>
      </w:r>
    </w:p>
    <w:p w:rsidR="0035137B" w:rsidRPr="00C03BCE" w:rsidRDefault="004D77D3" w:rsidP="00F14A78">
      <w:pPr>
        <w:pStyle w:val="ONUME"/>
        <w:ind w:left="567"/>
        <w:rPr>
          <w:rFonts w:eastAsia="Times New Roman"/>
          <w:spacing w:val="-4"/>
          <w:lang w:val="fr-FR" w:eastAsia="en-US"/>
        </w:rPr>
      </w:pPr>
      <w:r w:rsidRPr="00C03BCE">
        <w:rPr>
          <w:lang w:val="fr-FR" w:eastAsia="en-US"/>
        </w:rPr>
        <w:t>Catégorie </w:t>
      </w:r>
      <w:r w:rsidR="00074CC9" w:rsidRPr="00C03BCE">
        <w:rPr>
          <w:rFonts w:eastAsia="Times New Roman"/>
          <w:spacing w:val="-4"/>
          <w:lang w:val="fr-FR" w:eastAsia="en-US"/>
        </w:rPr>
        <w:t>“O”</w:t>
      </w:r>
      <w:r w:rsidR="00F47094" w:rsidRPr="00C03BCE">
        <w:rPr>
          <w:rFonts w:eastAsia="Times New Roman"/>
          <w:spacing w:val="-4"/>
          <w:lang w:val="fr-FR" w:eastAsia="en-US"/>
        </w:rPr>
        <w:t> </w:t>
      </w:r>
      <w:r w:rsidR="00074CC9" w:rsidRPr="00C03BCE">
        <w:rPr>
          <w:rFonts w:eastAsia="Times New Roman"/>
          <w:spacing w:val="-4"/>
          <w:lang w:val="fr-FR" w:eastAsia="en-US"/>
        </w:rPr>
        <w:t>:</w:t>
      </w:r>
      <w:r w:rsidR="00C32651" w:rsidRPr="00C03BCE">
        <w:rPr>
          <w:rFonts w:eastAsia="Times New Roman"/>
          <w:spacing w:val="-4"/>
          <w:lang w:val="fr-FR" w:eastAsia="en-US"/>
        </w:rPr>
        <w:t xml:space="preserve"> </w:t>
      </w:r>
      <w:r w:rsidR="00074CC9" w:rsidRPr="00C03BCE">
        <w:rPr>
          <w:rFonts w:eastAsia="Times New Roman"/>
          <w:spacing w:val="-4"/>
          <w:lang w:val="fr-FR" w:eastAsia="en-US"/>
        </w:rPr>
        <w:tab/>
      </w:r>
      <w:r w:rsidR="008E6475" w:rsidRPr="00C03BCE">
        <w:rPr>
          <w:rFonts w:eastAsia="Times New Roman"/>
          <w:spacing w:val="-4"/>
          <w:lang w:val="fr-FR" w:eastAsia="en-US"/>
        </w:rPr>
        <w:t>Document se référant à une divulgation orale, à un usage, à une exposition ou à tous autres moyens</w:t>
      </w:r>
      <w:r w:rsidR="00074CC9" w:rsidRPr="00C03BCE">
        <w:rPr>
          <w:rFonts w:eastAsia="Times New Roman"/>
          <w:spacing w:val="-4"/>
          <w:lang w:val="fr-FR" w:eastAsia="en-US"/>
        </w:rPr>
        <w:t xml:space="preserve">.  </w:t>
      </w:r>
      <w:r w:rsidR="008E6475" w:rsidRPr="00C03BCE">
        <w:rPr>
          <w:rFonts w:eastAsia="Times New Roman"/>
          <w:spacing w:val="-4"/>
          <w:highlight w:val="yellow"/>
          <w:lang w:val="fr-FR" w:eastAsia="en-US"/>
        </w:rPr>
        <w:t>Le code “O” devrait toujours être acc</w:t>
      </w:r>
      <w:r w:rsidR="00725F02" w:rsidRPr="00C03BCE">
        <w:rPr>
          <w:rFonts w:eastAsia="Times New Roman"/>
          <w:spacing w:val="-4"/>
          <w:highlight w:val="yellow"/>
          <w:lang w:val="fr-FR" w:eastAsia="en-US"/>
        </w:rPr>
        <w:t>ompagné de l</w:t>
      </w:r>
      <w:r w:rsidR="008B013A" w:rsidRPr="00C03BCE">
        <w:rPr>
          <w:rFonts w:eastAsia="Times New Roman"/>
          <w:spacing w:val="-4"/>
          <w:highlight w:val="yellow"/>
          <w:lang w:val="fr-FR" w:eastAsia="en-US"/>
        </w:rPr>
        <w:t>’</w:t>
      </w:r>
      <w:r w:rsidR="00725F02" w:rsidRPr="00C03BCE">
        <w:rPr>
          <w:rFonts w:eastAsia="Times New Roman"/>
          <w:spacing w:val="-4"/>
          <w:highlight w:val="yellow"/>
          <w:lang w:val="fr-FR" w:eastAsia="en-US"/>
        </w:rPr>
        <w:t>une des catégories </w:t>
      </w:r>
      <w:r w:rsidR="008E6475" w:rsidRPr="00C03BCE">
        <w:rPr>
          <w:rFonts w:eastAsia="Times New Roman"/>
          <w:spacing w:val="-4"/>
          <w:highlight w:val="yellow"/>
          <w:lang w:val="fr-FR" w:eastAsia="en-US"/>
        </w:rPr>
        <w:t>“N</w:t>
      </w:r>
      <w:r w:rsidR="008E6475" w:rsidRPr="00C03BCE">
        <w:rPr>
          <w:rFonts w:eastAsia="Times New Roman"/>
          <w:spacing w:val="-4"/>
          <w:szCs w:val="22"/>
          <w:highlight w:val="yellow"/>
          <w:lang w:val="fr-FR" w:eastAsia="en-US"/>
        </w:rPr>
        <w:t xml:space="preserve">”, </w:t>
      </w:r>
      <w:r w:rsidR="00725F02" w:rsidRPr="00C03BCE">
        <w:rPr>
          <w:rFonts w:eastAsia="Times New Roman" w:cs="Times New Roman"/>
          <w:szCs w:val="22"/>
          <w:highlight w:val="yellow"/>
          <w:lang w:val="fr-FR" w:eastAsia="en-US"/>
        </w:rPr>
        <w:t>“I”, “X”</w:t>
      </w:r>
      <w:r w:rsidR="00725F02" w:rsidRPr="00C03BCE">
        <w:rPr>
          <w:rFonts w:eastAsia="Times New Roman" w:cs="Times New Roman"/>
          <w:szCs w:val="22"/>
          <w:highlight w:val="yellow"/>
          <w:vertAlign w:val="superscript"/>
          <w:lang w:val="fr-FR" w:eastAsia="en-US"/>
        </w:rPr>
        <w:t>1</w:t>
      </w:r>
      <w:r w:rsidR="00725F02" w:rsidRPr="00C03BCE">
        <w:rPr>
          <w:rFonts w:eastAsia="Times New Roman" w:cs="Times New Roman"/>
          <w:szCs w:val="22"/>
          <w:highlight w:val="yellow"/>
          <w:lang w:val="fr-FR" w:eastAsia="en-US"/>
        </w:rPr>
        <w:t>,</w:t>
      </w:r>
      <w:r w:rsidR="00725F02" w:rsidRPr="00C03BCE">
        <w:rPr>
          <w:rFonts w:eastAsia="Times New Roman" w:cs="Times New Roman"/>
          <w:sz w:val="17"/>
          <w:highlight w:val="yellow"/>
          <w:lang w:val="fr-FR" w:eastAsia="en-US"/>
        </w:rPr>
        <w:t xml:space="preserve"> </w:t>
      </w:r>
      <w:r w:rsidR="008E6475" w:rsidRPr="00C03BCE">
        <w:rPr>
          <w:rFonts w:eastAsia="Times New Roman"/>
          <w:spacing w:val="-4"/>
          <w:szCs w:val="22"/>
          <w:highlight w:val="yellow"/>
          <w:lang w:val="fr-FR" w:eastAsia="en-US"/>
        </w:rPr>
        <w:t>“</w:t>
      </w:r>
      <w:r w:rsidR="008E6475" w:rsidRPr="00C03BCE">
        <w:rPr>
          <w:rFonts w:eastAsia="Times New Roman"/>
          <w:spacing w:val="-4"/>
          <w:highlight w:val="yellow"/>
          <w:lang w:val="fr-FR" w:eastAsia="en-US"/>
        </w:rPr>
        <w:t>Y” ou “A”;</w:t>
      </w:r>
    </w:p>
    <w:p w:rsidR="001D16DA" w:rsidRPr="00C03BCE" w:rsidRDefault="009C075E" w:rsidP="00A910F8">
      <w:pPr>
        <w:pStyle w:val="ONUMFS"/>
        <w:numPr>
          <w:ilvl w:val="1"/>
          <w:numId w:val="6"/>
        </w:numPr>
        <w:rPr>
          <w:lang w:val="fr-FR"/>
        </w:rPr>
      </w:pPr>
      <w:r w:rsidRPr="00C03BCE">
        <w:rPr>
          <w:lang w:val="fr-FR" w:eastAsia="en-US"/>
        </w:rPr>
        <w:t>Définition révisée de la catégorie </w:t>
      </w:r>
      <w:r w:rsidR="001D16DA" w:rsidRPr="00C03BCE">
        <w:rPr>
          <w:lang w:val="fr-FR" w:eastAsia="en-US"/>
        </w:rPr>
        <w:t>“P”</w:t>
      </w:r>
      <w:r w:rsidRPr="00C03BCE">
        <w:rPr>
          <w:lang w:val="fr-FR" w:eastAsia="en-US"/>
        </w:rPr>
        <w:t xml:space="preserve"> pour élargir son champ d</w:t>
      </w:r>
      <w:r w:rsidR="008B013A" w:rsidRPr="00C03BCE">
        <w:rPr>
          <w:lang w:val="fr-FR" w:eastAsia="en-US"/>
        </w:rPr>
        <w:t>’</w:t>
      </w:r>
      <w:r w:rsidRPr="00C03BCE">
        <w:rPr>
          <w:lang w:val="fr-FR" w:eastAsia="en-US"/>
        </w:rPr>
        <w:t>application aux documents publiés à la date de priorité revendiquée dans la demande</w:t>
      </w:r>
      <w:r w:rsidR="00846334" w:rsidRPr="00C03BCE">
        <w:rPr>
          <w:lang w:val="fr-FR" w:eastAsia="en-US"/>
        </w:rPr>
        <w:t> </w:t>
      </w:r>
      <w:proofErr w:type="gramStart"/>
      <w:r w:rsidR="00F14A78" w:rsidRPr="00C03BCE">
        <w:rPr>
          <w:lang w:val="fr-FR"/>
        </w:rPr>
        <w:t>:</w:t>
      </w:r>
      <w:proofErr w:type="gramEnd"/>
      <w:r w:rsidR="00F14A78" w:rsidRPr="00C03BCE">
        <w:rPr>
          <w:lang w:val="fr-FR"/>
        </w:rPr>
        <w:br/>
      </w:r>
      <w:r w:rsidR="001D16DA" w:rsidRPr="00C03BCE">
        <w:rPr>
          <w:sz w:val="16"/>
          <w:szCs w:val="16"/>
          <w:lang w:val="fr-FR"/>
        </w:rPr>
        <w:br/>
      </w:r>
      <w:r w:rsidR="004D77D3" w:rsidRPr="00C03BCE">
        <w:rPr>
          <w:lang w:val="fr-FR" w:eastAsia="en-US"/>
        </w:rPr>
        <w:t>Catégorie </w:t>
      </w:r>
      <w:r w:rsidR="001D16DA" w:rsidRPr="00C03BCE">
        <w:rPr>
          <w:lang w:val="fr-FR"/>
        </w:rPr>
        <w:t>“P”</w:t>
      </w:r>
      <w:r w:rsidR="00F47094" w:rsidRPr="00C03BCE">
        <w:rPr>
          <w:lang w:val="fr-FR"/>
        </w:rPr>
        <w:t> </w:t>
      </w:r>
      <w:r w:rsidR="001D16DA" w:rsidRPr="00C03BCE">
        <w:rPr>
          <w:lang w:val="fr-FR"/>
        </w:rPr>
        <w:t>:</w:t>
      </w:r>
      <w:r w:rsidR="00C32651" w:rsidRPr="00C03BCE">
        <w:rPr>
          <w:lang w:val="fr-FR"/>
        </w:rPr>
        <w:t xml:space="preserve"> </w:t>
      </w:r>
      <w:r w:rsidR="001D16DA" w:rsidRPr="00C03BCE">
        <w:rPr>
          <w:lang w:val="fr-FR"/>
        </w:rPr>
        <w:tab/>
        <w:t xml:space="preserve">Document </w:t>
      </w:r>
      <w:r w:rsidR="003006F5" w:rsidRPr="00C03BCE">
        <w:rPr>
          <w:lang w:val="fr-FR"/>
        </w:rPr>
        <w:t xml:space="preserve">publié avant la date de </w:t>
      </w:r>
      <w:r w:rsidR="00195EE0" w:rsidRPr="00C03BCE">
        <w:rPr>
          <w:lang w:val="fr-FR"/>
        </w:rPr>
        <w:t>dépôt</w:t>
      </w:r>
      <w:r w:rsidR="003006F5" w:rsidRPr="00C03BCE">
        <w:rPr>
          <w:lang w:val="fr-FR"/>
        </w:rPr>
        <w:t xml:space="preserve"> (dans le cas</w:t>
      </w:r>
      <w:r w:rsidR="008B013A" w:rsidRPr="00C03BCE">
        <w:rPr>
          <w:lang w:val="fr-FR"/>
        </w:rPr>
        <w:t xml:space="preserve"> du PCT</w:t>
      </w:r>
      <w:r w:rsidR="003006F5" w:rsidRPr="00C03BCE">
        <w:rPr>
          <w:lang w:val="fr-FR"/>
        </w:rPr>
        <w:t xml:space="preserve">, la date du dépôt international), mais </w:t>
      </w:r>
      <w:r w:rsidR="003006F5" w:rsidRPr="00C03BCE">
        <w:rPr>
          <w:highlight w:val="yellow"/>
          <w:lang w:val="fr-FR"/>
        </w:rPr>
        <w:t>à la date</w:t>
      </w:r>
      <w:r w:rsidR="00195EE0" w:rsidRPr="00C03BCE">
        <w:rPr>
          <w:lang w:val="fr-FR"/>
        </w:rPr>
        <w:t xml:space="preserve"> </w:t>
      </w:r>
      <w:r w:rsidR="00D34A38" w:rsidRPr="00C03BCE">
        <w:rPr>
          <w:strike/>
          <w:color w:val="FFFFFF"/>
          <w:highlight w:val="darkRed"/>
          <w:lang w:val="fr-FR"/>
        </w:rPr>
        <w:t>après la</w:t>
      </w:r>
      <w:r w:rsidR="00195EE0" w:rsidRPr="00C03BCE">
        <w:rPr>
          <w:lang w:val="fr-FR"/>
        </w:rPr>
        <w:t xml:space="preserve"> de priorité revendiquée dans la demande ou </w:t>
      </w:r>
      <w:r w:rsidR="00F47094" w:rsidRPr="00C03BCE">
        <w:rPr>
          <w:highlight w:val="yellow"/>
          <w:lang w:val="fr-FR"/>
        </w:rPr>
        <w:t>après</w:t>
      </w:r>
      <w:r w:rsidR="00195EE0" w:rsidRPr="00C03BCE">
        <w:rPr>
          <w:highlight w:val="yellow"/>
          <w:lang w:val="fr-FR"/>
        </w:rPr>
        <w:t xml:space="preserve"> cette date</w:t>
      </w:r>
      <w:r w:rsidR="001D16DA" w:rsidRPr="00C03BCE">
        <w:rPr>
          <w:lang w:val="fr-FR"/>
        </w:rPr>
        <w:t xml:space="preserve">.  </w:t>
      </w:r>
      <w:r w:rsidR="00195EE0" w:rsidRPr="00C03BCE">
        <w:rPr>
          <w:lang w:val="fr-FR"/>
        </w:rPr>
        <w:t>Le code </w:t>
      </w:r>
      <w:r w:rsidR="001D16DA" w:rsidRPr="00C03BCE">
        <w:rPr>
          <w:lang w:val="fr-FR"/>
        </w:rPr>
        <w:t xml:space="preserve">“P” </w:t>
      </w:r>
      <w:r w:rsidR="00825C85" w:rsidRPr="00C03BCE">
        <w:rPr>
          <w:lang w:val="fr-FR"/>
        </w:rPr>
        <w:t xml:space="preserve">devrait toujours être accompagné </w:t>
      </w:r>
      <w:r w:rsidR="008C483B" w:rsidRPr="00C03BCE">
        <w:rPr>
          <w:lang w:val="fr-FR"/>
        </w:rPr>
        <w:t>de l</w:t>
      </w:r>
      <w:r w:rsidR="008B013A" w:rsidRPr="00C03BCE">
        <w:rPr>
          <w:lang w:val="fr-FR"/>
        </w:rPr>
        <w:t>’</w:t>
      </w:r>
      <w:r w:rsidR="008C483B" w:rsidRPr="00C03BCE">
        <w:rPr>
          <w:lang w:val="fr-FR"/>
        </w:rPr>
        <w:t>une des catégories</w:t>
      </w:r>
      <w:r w:rsidR="00725F02" w:rsidRPr="00C03BCE">
        <w:rPr>
          <w:lang w:val="fr-FR"/>
        </w:rPr>
        <w:t> </w:t>
      </w:r>
      <w:r w:rsidR="00E843E5" w:rsidRPr="00C03BCE">
        <w:rPr>
          <w:highlight w:val="yellow"/>
          <w:lang w:val="fr-FR"/>
        </w:rPr>
        <w:t>“N”, “I”,</w:t>
      </w:r>
      <w:r w:rsidR="00E843E5" w:rsidRPr="00C03BCE">
        <w:rPr>
          <w:lang w:val="fr-FR"/>
        </w:rPr>
        <w:t xml:space="preserve"> “X”</w:t>
      </w:r>
      <w:r w:rsidR="00E843E5" w:rsidRPr="00C03BCE">
        <w:rPr>
          <w:highlight w:val="yellow"/>
          <w:vertAlign w:val="superscript"/>
          <w:lang w:val="fr-FR"/>
        </w:rPr>
        <w:t>1</w:t>
      </w:r>
      <w:r w:rsidR="00E843E5" w:rsidRPr="00C03BCE">
        <w:rPr>
          <w:lang w:val="fr-FR"/>
        </w:rPr>
        <w:t>, “Y” ou “A”;</w:t>
      </w:r>
    </w:p>
    <w:p w:rsidR="00D879E1" w:rsidRDefault="00D879E1">
      <w:pPr>
        <w:rPr>
          <w:lang w:val="fr-FR" w:eastAsia="en-US"/>
        </w:rPr>
      </w:pPr>
      <w:r>
        <w:rPr>
          <w:lang w:val="fr-FR" w:eastAsia="en-US"/>
        </w:rPr>
        <w:br w:type="page"/>
      </w:r>
    </w:p>
    <w:p w:rsidR="009963EF" w:rsidRPr="009963EF" w:rsidRDefault="00F47094" w:rsidP="009963EF">
      <w:pPr>
        <w:pStyle w:val="ONUMFS"/>
        <w:numPr>
          <w:ilvl w:val="1"/>
          <w:numId w:val="6"/>
        </w:numPr>
        <w:rPr>
          <w:lang w:val="fr-FR"/>
        </w:rPr>
      </w:pPr>
      <w:r w:rsidRPr="009963EF">
        <w:rPr>
          <w:lang w:val="fr-FR" w:eastAsia="en-US"/>
        </w:rPr>
        <w:lastRenderedPageBreak/>
        <w:t>N</w:t>
      </w:r>
      <w:r w:rsidR="009C075E" w:rsidRPr="009963EF">
        <w:rPr>
          <w:lang w:val="fr-FR" w:eastAsia="en-US"/>
        </w:rPr>
        <w:t xml:space="preserve">ouvelle note indiquant les nouvelles dispositions de mise en œuvre conformément à </w:t>
      </w:r>
      <w:r w:rsidRPr="009963EF">
        <w:rPr>
          <w:lang w:val="fr-FR" w:eastAsia="en-US"/>
        </w:rPr>
        <w:t>l</w:t>
      </w:r>
      <w:r w:rsidR="009C075E" w:rsidRPr="009963EF">
        <w:rPr>
          <w:lang w:val="fr-FR" w:eastAsia="en-US"/>
        </w:rPr>
        <w:t>a note de la rédaction (voir l</w:t>
      </w:r>
      <w:r w:rsidR="008B013A" w:rsidRPr="009963EF">
        <w:rPr>
          <w:lang w:val="fr-FR" w:eastAsia="en-US"/>
        </w:rPr>
        <w:t>’</w:t>
      </w:r>
      <w:r w:rsidR="009C075E" w:rsidRPr="009963EF">
        <w:rPr>
          <w:lang w:val="fr-FR" w:eastAsia="en-US"/>
        </w:rPr>
        <w:t>annexe </w:t>
      </w:r>
      <w:r w:rsidR="001D16DA" w:rsidRPr="009963EF">
        <w:rPr>
          <w:lang w:val="fr-FR" w:eastAsia="en-US"/>
        </w:rPr>
        <w:t xml:space="preserve">II </w:t>
      </w:r>
      <w:r w:rsidR="009C075E" w:rsidRPr="009963EF">
        <w:rPr>
          <w:lang w:val="fr-FR" w:eastAsia="en-US"/>
        </w:rPr>
        <w:t>au document</w:t>
      </w:r>
      <w:r w:rsidR="001D16DA" w:rsidRPr="009963EF">
        <w:rPr>
          <w:lang w:val="fr-FR" w:eastAsia="en-US"/>
        </w:rPr>
        <w:t xml:space="preserve"> CWS/4/5)</w:t>
      </w:r>
      <w:r w:rsidR="00846334" w:rsidRPr="009963EF">
        <w:rPr>
          <w:lang w:val="fr-FR" w:eastAsia="en-US"/>
        </w:rPr>
        <w:t> </w:t>
      </w:r>
      <w:r w:rsidR="001D16DA" w:rsidRPr="009963EF">
        <w:rPr>
          <w:lang w:val="fr-FR" w:eastAsia="en-US"/>
        </w:rPr>
        <w:t>:</w:t>
      </w:r>
    </w:p>
    <w:p w:rsidR="008B013A" w:rsidRPr="00C03BCE" w:rsidRDefault="00C72AB3" w:rsidP="009963EF">
      <w:pPr>
        <w:pStyle w:val="ONUMFS"/>
        <w:numPr>
          <w:ilvl w:val="0"/>
          <w:numId w:val="0"/>
        </w:numPr>
        <w:ind w:left="567"/>
        <w:rPr>
          <w:highlight w:val="yellow"/>
          <w:lang w:val="fr-FR"/>
        </w:rPr>
      </w:pPr>
      <w:r w:rsidRPr="00C03BCE">
        <w:rPr>
          <w:sz w:val="16"/>
          <w:szCs w:val="16"/>
          <w:lang w:val="fr-FR" w:eastAsia="en-US"/>
        </w:rPr>
        <w:br/>
      </w:r>
      <w:r w:rsidR="00074CC9" w:rsidRPr="00C03BCE">
        <w:rPr>
          <w:highlight w:val="yellow"/>
          <w:vertAlign w:val="superscript"/>
          <w:lang w:val="fr-FR"/>
        </w:rPr>
        <w:t>1</w:t>
      </w:r>
      <w:r w:rsidR="009F03E5">
        <w:rPr>
          <w:highlight w:val="yellow"/>
          <w:lang w:val="fr-FR"/>
        </w:rPr>
        <w:t xml:space="preserve"> </w:t>
      </w:r>
      <w:r w:rsidR="00647384" w:rsidRPr="00C03BCE">
        <w:rPr>
          <w:highlight w:val="yellow"/>
          <w:lang w:val="fr-FR"/>
        </w:rPr>
        <w:t>Il n</w:t>
      </w:r>
      <w:r w:rsidR="008B013A" w:rsidRPr="00C03BCE">
        <w:rPr>
          <w:highlight w:val="yellow"/>
          <w:lang w:val="fr-FR"/>
        </w:rPr>
        <w:t>’</w:t>
      </w:r>
      <w:r w:rsidR="00647384" w:rsidRPr="00C03BCE">
        <w:rPr>
          <w:highlight w:val="yellow"/>
          <w:lang w:val="fr-FR"/>
        </w:rPr>
        <w:t>est plus recommandé que les offices de propriété industrielle utilisent la catégorie </w:t>
      </w:r>
      <w:r w:rsidR="00074CC9" w:rsidRPr="00C03BCE">
        <w:rPr>
          <w:highlight w:val="yellow"/>
          <w:lang w:val="fr-FR"/>
        </w:rPr>
        <w:t>“X”</w:t>
      </w:r>
      <w:r w:rsidR="00647384" w:rsidRPr="00C03BCE">
        <w:rPr>
          <w:highlight w:val="yellow"/>
          <w:lang w:val="fr-FR"/>
        </w:rPr>
        <w:t xml:space="preserve">, </w:t>
      </w:r>
      <w:r w:rsidR="00647384" w:rsidRPr="00C03BCE">
        <w:rPr>
          <w:szCs w:val="22"/>
          <w:highlight w:val="yellow"/>
          <w:lang w:val="fr-FR"/>
        </w:rPr>
        <w:t>mais les rapports de recherche établis avant le 1</w:t>
      </w:r>
      <w:r w:rsidR="00FA48F1" w:rsidRPr="00FA48F1">
        <w:rPr>
          <w:szCs w:val="22"/>
          <w:highlight w:val="yellow"/>
          <w:vertAlign w:val="superscript"/>
          <w:lang w:val="fr-FR"/>
        </w:rPr>
        <w:t>er</w:t>
      </w:r>
      <w:r w:rsidR="00647384" w:rsidRPr="00C03BCE">
        <w:rPr>
          <w:szCs w:val="22"/>
          <w:highlight w:val="yellow"/>
          <w:lang w:val="fr-FR"/>
        </w:rPr>
        <w:t> </w:t>
      </w:r>
      <w:r w:rsidR="008B013A" w:rsidRPr="00C03BCE">
        <w:rPr>
          <w:szCs w:val="22"/>
          <w:highlight w:val="yellow"/>
          <w:lang w:val="fr-FR"/>
        </w:rPr>
        <w:t>juillet 20</w:t>
      </w:r>
      <w:r w:rsidR="00647384" w:rsidRPr="00C03BCE">
        <w:rPr>
          <w:szCs w:val="22"/>
          <w:highlight w:val="yellow"/>
          <w:lang w:val="fr-FR"/>
        </w:rPr>
        <w:t>15 peuvent contenir cette catégorie soit en tant que catégorie principale, soit accompagnée des catégories “E”, “O” ou “P”.</w:t>
      </w:r>
    </w:p>
    <w:p w:rsidR="00611D8E" w:rsidRDefault="00611D8E" w:rsidP="00D879E1">
      <w:pPr>
        <w:pStyle w:val="Endofdocument-Annex"/>
        <w:rPr>
          <w:highlight w:val="yellow"/>
          <w:lang w:val="fr-FR" w:eastAsia="en-US"/>
        </w:rPr>
      </w:pPr>
    </w:p>
    <w:p w:rsidR="00D879E1" w:rsidRPr="00C03BCE" w:rsidRDefault="00D879E1" w:rsidP="00D879E1">
      <w:pPr>
        <w:pStyle w:val="Endofdocument-Annex"/>
        <w:rPr>
          <w:highlight w:val="yellow"/>
          <w:lang w:val="fr-FR" w:eastAsia="en-US"/>
        </w:rPr>
      </w:pPr>
    </w:p>
    <w:p w:rsidR="00CB2DEE" w:rsidRPr="00C03BCE" w:rsidRDefault="00074CC9" w:rsidP="009F03E5">
      <w:pPr>
        <w:pStyle w:val="Endofdocument-Annex"/>
        <w:rPr>
          <w:lang w:val="fr-FR" w:eastAsia="en-US"/>
        </w:rPr>
        <w:sectPr w:rsidR="00CB2DEE" w:rsidRPr="00C03BCE" w:rsidSect="00B56D49">
          <w:headerReference w:type="default" r:id="rId10"/>
          <w:headerReference w:type="first" r:id="rId11"/>
          <w:endnotePr>
            <w:numFmt w:val="decimal"/>
          </w:endnotePr>
          <w:pgSz w:w="11907" w:h="16840" w:code="9"/>
          <w:pgMar w:top="567" w:right="1134" w:bottom="1276" w:left="1418" w:header="510" w:footer="1021" w:gutter="0"/>
          <w:pgNumType w:start="1"/>
          <w:cols w:space="720"/>
          <w:titlePg/>
          <w:docGrid w:linePitch="299"/>
        </w:sectPr>
      </w:pPr>
      <w:r w:rsidRPr="00C03BCE">
        <w:rPr>
          <w:lang w:val="fr-FR" w:eastAsia="en-US"/>
        </w:rPr>
        <w:t>[</w:t>
      </w:r>
      <w:r w:rsidR="00D34A38" w:rsidRPr="00C03BCE">
        <w:rPr>
          <w:lang w:val="fr-FR" w:eastAsia="en-US"/>
        </w:rPr>
        <w:t>L</w:t>
      </w:r>
      <w:r w:rsidR="008B013A" w:rsidRPr="00C03BCE">
        <w:rPr>
          <w:lang w:val="fr-FR" w:eastAsia="en-US"/>
        </w:rPr>
        <w:t>’</w:t>
      </w:r>
      <w:r w:rsidR="00D34A38" w:rsidRPr="00C03BCE">
        <w:rPr>
          <w:lang w:val="fr-FR" w:eastAsia="en-US"/>
        </w:rPr>
        <w:t>a</w:t>
      </w:r>
      <w:r w:rsidR="00654FFC" w:rsidRPr="00C03BCE">
        <w:rPr>
          <w:lang w:val="fr-FR" w:eastAsia="en-US"/>
        </w:rPr>
        <w:t>ppendice suit</w:t>
      </w:r>
      <w:r w:rsidRPr="00C03BCE">
        <w:rPr>
          <w:lang w:val="fr-FR" w:eastAsia="en-US"/>
        </w:rPr>
        <w:t>]</w:t>
      </w:r>
    </w:p>
    <w:p w:rsidR="00074CC9" w:rsidRPr="00C03BCE" w:rsidRDefault="009F03E5" w:rsidP="009F03E5">
      <w:pPr>
        <w:pStyle w:val="Heading2"/>
        <w:rPr>
          <w:lang w:val="fr-FR" w:eastAsia="en-US"/>
        </w:rPr>
      </w:pPr>
      <w:r w:rsidRPr="00C03BCE">
        <w:rPr>
          <w:caps w:val="0"/>
          <w:lang w:val="fr-FR" w:eastAsia="en-US"/>
        </w:rPr>
        <w:lastRenderedPageBreak/>
        <w:t>APPENDICE</w:t>
      </w:r>
    </w:p>
    <w:p w:rsidR="00074CC9" w:rsidRPr="00C03BCE" w:rsidRDefault="009F03E5" w:rsidP="00E21283">
      <w:pPr>
        <w:pStyle w:val="Heading2"/>
        <w:rPr>
          <w:lang w:val="fr-FR" w:eastAsia="en-US"/>
        </w:rPr>
      </w:pPr>
      <w:r>
        <w:rPr>
          <w:caps w:val="0"/>
          <w:lang w:val="fr-FR" w:eastAsia="en-US"/>
        </w:rPr>
        <w:t>P</w:t>
      </w:r>
      <w:r w:rsidRPr="00C03BCE">
        <w:rPr>
          <w:caps w:val="0"/>
          <w:lang w:val="fr-FR" w:eastAsia="en-US"/>
        </w:rPr>
        <w:t>ROJET DE VERSION REVISEE DU PARAGRAPHE 14 DE LA NORME </w:t>
      </w:r>
      <w:r>
        <w:rPr>
          <w:caps w:val="0"/>
          <w:lang w:val="fr-FR" w:eastAsia="en-US"/>
        </w:rPr>
        <w:t>ST</w:t>
      </w:r>
      <w:r w:rsidRPr="00C03BCE">
        <w:rPr>
          <w:caps w:val="0"/>
          <w:lang w:val="fr-FR" w:eastAsia="en-US"/>
        </w:rPr>
        <w:t>.14 DE L’</w:t>
      </w:r>
      <w:r>
        <w:rPr>
          <w:caps w:val="0"/>
          <w:lang w:val="fr-FR" w:eastAsia="en-US"/>
        </w:rPr>
        <w:t>OMPI</w:t>
      </w:r>
    </w:p>
    <w:p w:rsidR="00074CC9" w:rsidRPr="00C03BCE" w:rsidRDefault="00074CC9" w:rsidP="00074CC9">
      <w:pPr>
        <w:rPr>
          <w:rFonts w:eastAsia="Times New Roman"/>
          <w:lang w:val="fr-FR" w:eastAsia="en-US"/>
        </w:rPr>
      </w:pPr>
    </w:p>
    <w:p w:rsidR="00074CC9" w:rsidRPr="00C03BCE" w:rsidRDefault="00074CC9" w:rsidP="00074CC9">
      <w:pPr>
        <w:keepLines/>
        <w:spacing w:after="170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14.</w:t>
      </w:r>
      <w:r w:rsidRPr="00C03BCE">
        <w:rPr>
          <w:rFonts w:eastAsia="Times New Roman" w:cs="Times New Roman"/>
          <w:sz w:val="17"/>
          <w:lang w:val="fr-FR" w:eastAsia="en-US"/>
        </w:rPr>
        <w:tab/>
      </w:r>
      <w:r w:rsidR="00654FFC" w:rsidRPr="00C03BCE">
        <w:rPr>
          <w:rFonts w:eastAsia="Times New Roman" w:cs="Times New Roman"/>
          <w:sz w:val="17"/>
          <w:lang w:val="fr-FR" w:eastAsia="en-US"/>
        </w:rPr>
        <w:t>Il est recommandé que tout document</w:t>
      </w:r>
      <w:r w:rsidR="00E843E5" w:rsidRPr="00C03BCE">
        <w:rPr>
          <w:rFonts w:eastAsia="Times New Roman" w:cs="Times New Roman"/>
          <w:sz w:val="17"/>
          <w:lang w:val="fr-FR" w:eastAsia="en-US"/>
        </w:rPr>
        <w:t xml:space="preserve"> (référence) visé au paragraphe </w:t>
      </w:r>
      <w:r w:rsidR="00654FFC" w:rsidRPr="00C03BCE">
        <w:rPr>
          <w:rFonts w:eastAsia="Times New Roman" w:cs="Times New Roman"/>
          <w:sz w:val="17"/>
          <w:lang w:val="fr-FR" w:eastAsia="en-US"/>
        </w:rPr>
        <w:t>7 et cité dans le rapport de recherche soit signalé au moyen des lettres suivantes ou d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="00654FFC" w:rsidRPr="00C03BCE">
        <w:rPr>
          <w:rFonts w:eastAsia="Times New Roman" w:cs="Times New Roman"/>
          <w:sz w:val="17"/>
          <w:lang w:val="fr-FR" w:eastAsia="en-US"/>
        </w:rPr>
        <w:t>un signe apposé à côté de la citation du document (référence) en question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Pr="00C03BCE">
        <w:rPr>
          <w:rFonts w:eastAsia="Times New Roman" w:cs="Times New Roman"/>
          <w:sz w:val="17"/>
          <w:lang w:val="fr-FR" w:eastAsia="en-US"/>
        </w:rPr>
        <w:t>:</w:t>
      </w:r>
    </w:p>
    <w:p w:rsidR="00074CC9" w:rsidRPr="00C03BCE" w:rsidRDefault="00074CC9" w:rsidP="00074CC9">
      <w:pPr>
        <w:keepLines/>
        <w:spacing w:after="170"/>
        <w:ind w:firstLine="567"/>
        <w:rPr>
          <w:rFonts w:eastAsia="Times New Roman" w:cs="Times New Roman"/>
          <w:i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a)</w:t>
      </w:r>
      <w:r w:rsidRPr="00C03BCE">
        <w:rPr>
          <w:rFonts w:eastAsia="Times New Roman" w:cs="Times New Roman"/>
          <w:sz w:val="17"/>
          <w:lang w:val="fr-FR" w:eastAsia="en-US"/>
        </w:rPr>
        <w:tab/>
      </w:r>
      <w:r w:rsidR="00654FFC" w:rsidRPr="00C03BCE">
        <w:rPr>
          <w:rFonts w:eastAsia="Times New Roman" w:cs="Times New Roman"/>
          <w:i/>
          <w:sz w:val="17"/>
          <w:lang w:val="fr-FR" w:eastAsia="en-US"/>
        </w:rPr>
        <w:t xml:space="preserve">Catégories indiquant des documents cités (références) particulièrement </w:t>
      </w:r>
      <w:r w:rsidR="00FA48F1">
        <w:rPr>
          <w:rFonts w:eastAsia="Times New Roman" w:cs="Times New Roman"/>
          <w:i/>
          <w:sz w:val="17"/>
          <w:lang w:val="fr-FR" w:eastAsia="en-US"/>
        </w:rPr>
        <w:t>pertinents</w:t>
      </w:r>
      <w:r w:rsidR="00654FFC" w:rsidRPr="00C03BCE">
        <w:rPr>
          <w:rFonts w:eastAsia="Times New Roman" w:cs="Times New Roman"/>
          <w:i/>
          <w:sz w:val="17"/>
          <w:lang w:val="fr-FR" w:eastAsia="en-US"/>
        </w:rPr>
        <w:t> </w:t>
      </w:r>
      <w:r w:rsidRPr="00C03BCE">
        <w:rPr>
          <w:rFonts w:eastAsia="Times New Roman" w:cs="Times New Roman"/>
          <w:i/>
          <w:sz w:val="17"/>
          <w:lang w:val="fr-FR" w:eastAsia="en-US"/>
        </w:rPr>
        <w:t>: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“N”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="00C11DDC" w:rsidRPr="00C03BCE">
        <w:rPr>
          <w:sz w:val="17"/>
          <w:szCs w:val="17"/>
          <w:lang w:val="fr-FR" w:eastAsia="en-US"/>
        </w:rPr>
        <w:t>L</w:t>
      </w:r>
      <w:r w:rsidR="008B013A" w:rsidRPr="00C03BCE">
        <w:rPr>
          <w:sz w:val="17"/>
          <w:szCs w:val="17"/>
          <w:lang w:val="fr-FR" w:eastAsia="en-US"/>
        </w:rPr>
        <w:t>’</w:t>
      </w:r>
      <w:r w:rsidR="00C11DDC" w:rsidRPr="00C03BCE">
        <w:rPr>
          <w:sz w:val="17"/>
          <w:szCs w:val="17"/>
          <w:lang w:val="fr-FR" w:eastAsia="en-US"/>
        </w:rPr>
        <w:t>invention revendiquée ne peut être considérée comme nouvelle par rapport au document considéré isolément</w:t>
      </w:r>
      <w:r w:rsidR="00074CC9" w:rsidRPr="00C03BCE">
        <w:rPr>
          <w:rFonts w:eastAsia="Times New Roman" w:cs="Times New Roman"/>
          <w:sz w:val="17"/>
          <w:lang w:val="fr-FR" w:eastAsia="en-US"/>
        </w:rPr>
        <w:t>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“I”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="00C11DDC" w:rsidRPr="00C03BCE">
        <w:rPr>
          <w:sz w:val="17"/>
          <w:szCs w:val="17"/>
          <w:lang w:val="fr-FR" w:eastAsia="en-US"/>
        </w:rPr>
        <w:t>L</w:t>
      </w:r>
      <w:r w:rsidR="008B013A" w:rsidRPr="00C03BCE">
        <w:rPr>
          <w:sz w:val="17"/>
          <w:szCs w:val="17"/>
          <w:lang w:val="fr-FR" w:eastAsia="en-US"/>
        </w:rPr>
        <w:t>’</w:t>
      </w:r>
      <w:r w:rsidR="00C11DDC" w:rsidRPr="00C03BCE">
        <w:rPr>
          <w:sz w:val="17"/>
          <w:szCs w:val="17"/>
          <w:lang w:val="fr-FR" w:eastAsia="en-US"/>
        </w:rPr>
        <w:t>invention revendiquée ne peut être considérée comme impliquant une activité inventive par rapport document considéré isolément</w:t>
      </w:r>
      <w:r w:rsidR="00074CC9" w:rsidRPr="00C03BCE">
        <w:rPr>
          <w:rFonts w:eastAsia="Times New Roman" w:cs="Times New Roman"/>
          <w:sz w:val="17"/>
          <w:lang w:val="fr-FR" w:eastAsia="en-US"/>
        </w:rPr>
        <w:t>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“Y”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Pr="00C03BCE">
        <w:rPr>
          <w:rFonts w:eastAsia="Times New Roman" w:cs="Times New Roman"/>
          <w:sz w:val="17"/>
          <w:lang w:val="fr-FR" w:eastAsia="en-US"/>
        </w:rPr>
        <w:t>L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Pr="00C03BCE">
        <w:rPr>
          <w:rFonts w:eastAsia="Times New Roman" w:cs="Times New Roman"/>
          <w:sz w:val="17"/>
          <w:lang w:val="fr-FR" w:eastAsia="en-US"/>
        </w:rPr>
        <w:t>invention revendiquée ne peut être considérée comme impliquant une activité inventive lorsque le document est associé à un ou plusieurs autres documents de même nature, cette association étant évidente pour une personne du métier</w:t>
      </w:r>
      <w:r w:rsidR="00074CC9" w:rsidRPr="00C03BCE">
        <w:rPr>
          <w:rFonts w:eastAsia="Times New Roman" w:cs="Times New Roman"/>
          <w:sz w:val="17"/>
          <w:lang w:val="fr-FR" w:eastAsia="en-US"/>
        </w:rPr>
        <w:t>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“X”</w:t>
      </w:r>
      <w:r w:rsidR="00074CC9" w:rsidRPr="00690756">
        <w:rPr>
          <w:rFonts w:eastAsia="Times New Roman" w:cs="Times New Roman"/>
          <w:color w:val="0000FF"/>
          <w:sz w:val="17"/>
          <w:vertAlign w:val="superscript"/>
          <w:lang w:val="fr-FR" w:eastAsia="en-US"/>
        </w:rPr>
        <w:t>1</w:t>
      </w:r>
      <w:r w:rsidR="00112B92" w:rsidRPr="00112B92">
        <w:rPr>
          <w:rFonts w:eastAsia="Times New Roman" w:cs="Times New Roman"/>
          <w:sz w:val="17"/>
          <w:lang w:val="fr-FR" w:eastAsia="en-US"/>
        </w:rPr>
        <w:t> </w:t>
      </w:r>
      <w:r w:rsidR="00112B92">
        <w:rPr>
          <w:rFonts w:eastAsia="Times New Roman" w:cs="Times New Roman"/>
          <w:sz w:val="17"/>
          <w:lang w:val="fr-FR" w:eastAsia="en-US"/>
        </w:rPr>
        <w:t>:</w:t>
      </w:r>
      <w:r w:rsidR="00E21283">
        <w:rPr>
          <w:rFonts w:eastAsia="Times New Roman" w:cs="Times New Roman"/>
          <w:sz w:val="17"/>
          <w:szCs w:val="17"/>
          <w:lang w:val="fr-FR" w:eastAsia="en-US"/>
        </w:rPr>
        <w:tab/>
      </w:r>
      <w:r w:rsidR="00647384" w:rsidRPr="00C03BCE">
        <w:rPr>
          <w:rFonts w:eastAsia="Times New Roman"/>
          <w:sz w:val="17"/>
          <w:szCs w:val="17"/>
          <w:lang w:val="fr-FR" w:eastAsia="fr-FR"/>
        </w:rPr>
        <w:t>Il était précédemment recommandé d</w:t>
      </w:r>
      <w:r w:rsidR="008B013A" w:rsidRPr="00C03BCE">
        <w:rPr>
          <w:rFonts w:eastAsia="Times New Roman"/>
          <w:sz w:val="17"/>
          <w:szCs w:val="17"/>
          <w:lang w:val="fr-FR" w:eastAsia="fr-FR"/>
        </w:rPr>
        <w:t>’</w:t>
      </w:r>
      <w:r w:rsidR="00647384" w:rsidRPr="00C03BCE">
        <w:rPr>
          <w:rFonts w:eastAsia="Times New Roman"/>
          <w:sz w:val="17"/>
          <w:szCs w:val="17"/>
          <w:lang w:val="fr-FR" w:eastAsia="fr-FR"/>
        </w:rPr>
        <w:t>utiliser cette catégorie pour signaler que l</w:t>
      </w:r>
      <w:r w:rsidR="008B013A" w:rsidRPr="00C03BCE">
        <w:rPr>
          <w:rFonts w:eastAsia="Times New Roman"/>
          <w:sz w:val="17"/>
          <w:szCs w:val="17"/>
          <w:lang w:val="fr-FR" w:eastAsia="fr-FR"/>
        </w:rPr>
        <w:t>’</w:t>
      </w:r>
      <w:r w:rsidR="00647384" w:rsidRPr="00C03BCE">
        <w:rPr>
          <w:rFonts w:eastAsia="Times New Roman"/>
          <w:sz w:val="17"/>
          <w:szCs w:val="17"/>
          <w:lang w:val="fr-FR" w:eastAsia="fr-FR"/>
        </w:rPr>
        <w:t xml:space="preserve">invention revendiquée ne pouvait être considérée comme nouvelle ou comme impliquant une activité inventive par rapport au document considéré isolément. </w:t>
      </w:r>
      <w:r w:rsidR="00E843E5" w:rsidRPr="00C03BCE">
        <w:rPr>
          <w:rFonts w:eastAsia="Times New Roman"/>
          <w:sz w:val="17"/>
          <w:szCs w:val="17"/>
          <w:lang w:val="fr-FR" w:eastAsia="fr-FR"/>
        </w:rPr>
        <w:t xml:space="preserve"> </w:t>
      </w:r>
      <w:r w:rsidR="00647384" w:rsidRPr="00C03BCE">
        <w:rPr>
          <w:rFonts w:eastAsia="Times New Roman"/>
          <w:sz w:val="17"/>
          <w:szCs w:val="17"/>
          <w:lang w:val="fr-FR" w:eastAsia="fr-FR"/>
        </w:rPr>
        <w:t>Elle ne devrait plus être utilisée dans les nouveaux rapports de recherche.</w:t>
      </w:r>
      <w:r w:rsidR="00E843E5" w:rsidRPr="00C03BCE">
        <w:rPr>
          <w:rFonts w:eastAsia="Times New Roman"/>
          <w:sz w:val="17"/>
          <w:szCs w:val="17"/>
          <w:lang w:val="fr-FR" w:eastAsia="fr-FR"/>
        </w:rPr>
        <w:t xml:space="preserve"> </w:t>
      </w:r>
      <w:r w:rsidR="00647384" w:rsidRPr="00C03BCE">
        <w:rPr>
          <w:rFonts w:eastAsia="Times New Roman"/>
          <w:sz w:val="17"/>
          <w:szCs w:val="17"/>
          <w:lang w:val="fr-FR" w:eastAsia="fr-FR"/>
        </w:rPr>
        <w:t xml:space="preserve"> Il conviendrait d</w:t>
      </w:r>
      <w:r w:rsidR="008B013A" w:rsidRPr="00C03BCE">
        <w:rPr>
          <w:rFonts w:eastAsia="Times New Roman"/>
          <w:sz w:val="17"/>
          <w:szCs w:val="17"/>
          <w:lang w:val="fr-FR" w:eastAsia="fr-FR"/>
        </w:rPr>
        <w:t>’</w:t>
      </w:r>
      <w:r w:rsidR="00647384" w:rsidRPr="00C03BCE">
        <w:rPr>
          <w:rFonts w:eastAsia="Times New Roman"/>
          <w:sz w:val="17"/>
          <w:szCs w:val="17"/>
          <w:lang w:val="fr-FR" w:eastAsia="fr-FR"/>
        </w:rPr>
        <w:t>uti</w:t>
      </w:r>
      <w:r w:rsidR="00E843E5" w:rsidRPr="00C03BCE">
        <w:rPr>
          <w:rFonts w:eastAsia="Times New Roman"/>
          <w:sz w:val="17"/>
          <w:szCs w:val="17"/>
          <w:lang w:val="fr-FR" w:eastAsia="fr-FR"/>
        </w:rPr>
        <w:t>liser à la place les catégories </w:t>
      </w:r>
      <w:r w:rsidR="00647384" w:rsidRPr="00C03BCE">
        <w:rPr>
          <w:rFonts w:eastAsia="Times New Roman"/>
          <w:sz w:val="17"/>
          <w:szCs w:val="17"/>
          <w:lang w:val="fr-FR" w:eastAsia="fr-FR"/>
        </w:rPr>
        <w:t>“N” ou “I”, plus spécifiques</w:t>
      </w:r>
      <w:r w:rsidR="00074CC9" w:rsidRPr="00C03BCE">
        <w:rPr>
          <w:rFonts w:eastAsia="Times New Roman" w:cs="Times New Roman"/>
          <w:sz w:val="17"/>
          <w:lang w:val="fr-FR" w:eastAsia="en-US"/>
        </w:rPr>
        <w:t>.</w:t>
      </w:r>
    </w:p>
    <w:p w:rsidR="00074CC9" w:rsidRPr="00C03BCE" w:rsidRDefault="00074CC9" w:rsidP="008C483B">
      <w:pPr>
        <w:keepLines/>
        <w:spacing w:after="170"/>
        <w:ind w:left="567"/>
        <w:rPr>
          <w:rFonts w:eastAsia="Times New Roman" w:cs="Times New Roman"/>
          <w:i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b)</w:t>
      </w:r>
      <w:r w:rsidRPr="00C03BCE">
        <w:rPr>
          <w:rFonts w:eastAsia="Times New Roman" w:cs="Times New Roman"/>
          <w:sz w:val="17"/>
          <w:lang w:val="fr-FR" w:eastAsia="en-US"/>
        </w:rPr>
        <w:tab/>
      </w:r>
      <w:r w:rsidR="008C483B" w:rsidRPr="00C03BCE">
        <w:rPr>
          <w:rFonts w:eastAsia="Times New Roman" w:cs="Times New Roman"/>
          <w:i/>
          <w:sz w:val="17"/>
          <w:lang w:val="fr-FR" w:eastAsia="en-US"/>
        </w:rPr>
        <w:t>Catégories indiquant des documents cités (références) appartenant à un autre état pertinent de la technique </w:t>
      </w:r>
      <w:r w:rsidRPr="00C03BCE">
        <w:rPr>
          <w:rFonts w:eastAsia="Times New Roman" w:cs="Times New Roman"/>
          <w:i/>
          <w:sz w:val="17"/>
          <w:lang w:val="fr-FR" w:eastAsia="en-US"/>
        </w:rPr>
        <w:t>:</w:t>
      </w:r>
      <w:bookmarkStart w:id="0" w:name="_GoBack"/>
      <w:bookmarkEnd w:id="0"/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“A”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Pr="00C03BCE">
        <w:rPr>
          <w:rFonts w:eastAsia="Times New Roman" w:cs="Times New Roman"/>
          <w:sz w:val="17"/>
          <w:lang w:val="fr-FR" w:eastAsia="en-US"/>
        </w:rPr>
        <w:t>Document définissant l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Pr="00C03BCE">
        <w:rPr>
          <w:rFonts w:eastAsia="Times New Roman" w:cs="Times New Roman"/>
          <w:sz w:val="17"/>
          <w:lang w:val="fr-FR" w:eastAsia="en-US"/>
        </w:rPr>
        <w:t>état général de la technique, n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Pr="00C03BCE">
        <w:rPr>
          <w:rFonts w:eastAsia="Times New Roman" w:cs="Times New Roman"/>
          <w:sz w:val="17"/>
          <w:lang w:val="fr-FR" w:eastAsia="en-US"/>
        </w:rPr>
        <w:t>étant pas considéré comme particulièrement pertinent</w:t>
      </w:r>
      <w:r w:rsidR="00074CC9" w:rsidRPr="00C03BCE">
        <w:rPr>
          <w:rFonts w:eastAsia="Times New Roman" w:cs="Times New Roman"/>
          <w:sz w:val="17"/>
          <w:lang w:val="fr-FR" w:eastAsia="en-US"/>
        </w:rPr>
        <w:t>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“D”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Pr="00C03BCE">
        <w:rPr>
          <w:rFonts w:eastAsia="Times New Roman" w:cs="Times New Roman"/>
          <w:sz w:val="17"/>
          <w:lang w:val="fr-FR" w:eastAsia="en-US"/>
        </w:rPr>
        <w:t>Document cité dans la demande par le déposant et également mentionné au cours de la procédure de recherche (référence)</w:t>
      </w:r>
      <w:r w:rsidR="00074CC9" w:rsidRPr="00C03BCE">
        <w:rPr>
          <w:rFonts w:eastAsia="Times New Roman" w:cs="Times New Roman"/>
          <w:sz w:val="17"/>
          <w:lang w:val="fr-FR" w:eastAsia="en-US"/>
        </w:rPr>
        <w:t xml:space="preserve">.  </w:t>
      </w:r>
      <w:r w:rsidRPr="00C03BCE">
        <w:rPr>
          <w:rFonts w:eastAsia="Times New Roman" w:cs="Times New Roman"/>
          <w:sz w:val="17"/>
          <w:lang w:val="fr-FR" w:eastAsia="en-US"/>
        </w:rPr>
        <w:t>Le code “D” devrait toujours être accompagné de l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Pr="00C03BCE">
        <w:rPr>
          <w:rFonts w:eastAsia="Times New Roman" w:cs="Times New Roman"/>
          <w:sz w:val="17"/>
          <w:lang w:val="fr-FR" w:eastAsia="en-US"/>
        </w:rPr>
        <w:t>une des catégories indiquant la pertinence du document cité</w:t>
      </w:r>
      <w:r w:rsidR="00074CC9" w:rsidRPr="00C03BCE">
        <w:rPr>
          <w:rFonts w:eastAsia="Times New Roman" w:cs="Times New Roman"/>
          <w:sz w:val="17"/>
          <w:lang w:val="fr-FR" w:eastAsia="en-US"/>
        </w:rPr>
        <w:t>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“E”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Pr="00C03BCE">
        <w:rPr>
          <w:rFonts w:eastAsia="Times New Roman" w:cs="Times New Roman"/>
          <w:sz w:val="17"/>
          <w:lang w:val="fr-FR" w:eastAsia="en-US"/>
        </w:rPr>
        <w:t>Document de breve</w:t>
      </w:r>
      <w:r w:rsidR="00E843E5" w:rsidRPr="00C03BCE">
        <w:rPr>
          <w:rFonts w:eastAsia="Times New Roman" w:cs="Times New Roman"/>
          <w:sz w:val="17"/>
          <w:lang w:val="fr-FR" w:eastAsia="en-US"/>
        </w:rPr>
        <w:t>t antérieur au sens de la règle </w:t>
      </w:r>
      <w:r w:rsidRPr="00C03BCE">
        <w:rPr>
          <w:rFonts w:eastAsia="Times New Roman" w:cs="Times New Roman"/>
          <w:sz w:val="17"/>
          <w:lang w:val="fr-FR" w:eastAsia="en-US"/>
        </w:rPr>
        <w:t>33.1</w:t>
      </w:r>
      <w:r w:rsidR="00FA48F1">
        <w:rPr>
          <w:rFonts w:eastAsia="Times New Roman" w:cs="Times New Roman"/>
          <w:sz w:val="17"/>
          <w:lang w:val="fr-FR" w:eastAsia="en-US"/>
        </w:rPr>
        <w:t>.c</w:t>
      </w:r>
      <w:r w:rsidRPr="00C03BCE">
        <w:rPr>
          <w:rFonts w:eastAsia="Times New Roman" w:cs="Times New Roman"/>
          <w:sz w:val="17"/>
          <w:lang w:val="fr-FR" w:eastAsia="en-US"/>
        </w:rPr>
        <w:t xml:space="preserve">) du </w:t>
      </w:r>
      <w:r w:rsidR="00C32651" w:rsidRPr="00C03BCE">
        <w:rPr>
          <w:rFonts w:eastAsia="Times New Roman" w:cs="Times New Roman"/>
          <w:sz w:val="17"/>
          <w:lang w:val="fr-FR" w:eastAsia="en-US"/>
        </w:rPr>
        <w:t>règle</w:t>
      </w:r>
      <w:r w:rsidRPr="00C03BCE">
        <w:rPr>
          <w:rFonts w:eastAsia="Times New Roman" w:cs="Times New Roman"/>
          <w:sz w:val="17"/>
          <w:lang w:val="fr-FR" w:eastAsia="en-US"/>
        </w:rPr>
        <w:t>ment</w:t>
      </w:r>
      <w:r w:rsidR="008B013A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FA6F8D">
        <w:rPr>
          <w:rFonts w:eastAsia="Times New Roman" w:cs="Times New Roman"/>
          <w:sz w:val="17"/>
          <w:lang w:val="fr-FR" w:eastAsia="en-US"/>
        </w:rPr>
        <w:t xml:space="preserve">d’exécution </w:t>
      </w:r>
      <w:r w:rsidR="008B013A" w:rsidRPr="00C03BCE">
        <w:rPr>
          <w:rFonts w:eastAsia="Times New Roman" w:cs="Times New Roman"/>
          <w:sz w:val="17"/>
          <w:lang w:val="fr-FR" w:eastAsia="en-US"/>
        </w:rPr>
        <w:t>du PCT</w:t>
      </w:r>
      <w:r w:rsidRPr="00C03BCE">
        <w:rPr>
          <w:rFonts w:eastAsia="Times New Roman" w:cs="Times New Roman"/>
          <w:sz w:val="17"/>
          <w:lang w:val="fr-FR" w:eastAsia="en-US"/>
        </w:rPr>
        <w:t xml:space="preserve">, publié à la date du dépôt international ou après cette </w:t>
      </w:r>
      <w:r w:rsidRPr="00C03BCE">
        <w:rPr>
          <w:rFonts w:eastAsia="Times New Roman" w:cs="Times New Roman"/>
          <w:sz w:val="17"/>
          <w:szCs w:val="17"/>
          <w:lang w:val="fr-FR" w:eastAsia="en-US"/>
        </w:rPr>
        <w:t xml:space="preserve">date.  </w:t>
      </w:r>
      <w:r w:rsidRPr="00C03BCE">
        <w:rPr>
          <w:rFonts w:eastAsia="Times New Roman"/>
          <w:sz w:val="17"/>
          <w:szCs w:val="17"/>
          <w:lang w:val="fr-FR" w:eastAsia="en-US"/>
        </w:rPr>
        <w:t>Le code “E” devrait toujours être accompagné de l</w:t>
      </w:r>
      <w:r w:rsidR="008B013A" w:rsidRPr="00C03BCE">
        <w:rPr>
          <w:rFonts w:eastAsia="Times New Roman"/>
          <w:sz w:val="17"/>
          <w:szCs w:val="17"/>
          <w:lang w:val="fr-FR" w:eastAsia="en-US"/>
        </w:rPr>
        <w:t>’</w:t>
      </w:r>
      <w:r w:rsidRPr="00C03BCE">
        <w:rPr>
          <w:rFonts w:eastAsia="Times New Roman"/>
          <w:sz w:val="17"/>
          <w:szCs w:val="17"/>
          <w:lang w:val="fr-FR" w:eastAsia="en-US"/>
        </w:rPr>
        <w:t>une des catégories</w:t>
      </w:r>
      <w:r w:rsidRPr="00C03BCE">
        <w:rPr>
          <w:rFonts w:eastAsia="Times New Roman" w:cs="Times New Roman"/>
          <w:sz w:val="17"/>
          <w:szCs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>“N”, “I”, “X”</w:t>
      </w:r>
      <w:r w:rsidR="00074CC9" w:rsidRPr="00C03BCE">
        <w:rPr>
          <w:rFonts w:eastAsia="Times New Roman" w:cs="Times New Roman"/>
          <w:color w:val="0000FF"/>
          <w:sz w:val="17"/>
          <w:vertAlign w:val="superscript"/>
          <w:lang w:val="fr-FR" w:eastAsia="en-US"/>
        </w:rPr>
        <w:footnoteReference w:id="2"/>
      </w:r>
      <w:r w:rsidRPr="00C03BCE">
        <w:rPr>
          <w:rFonts w:eastAsia="Times New Roman" w:cs="Times New Roman"/>
          <w:sz w:val="17"/>
          <w:lang w:val="fr-FR" w:eastAsia="en-US"/>
        </w:rPr>
        <w:t>, “Y” ou</w:t>
      </w:r>
      <w:r w:rsidR="00074CC9" w:rsidRPr="00C03BCE">
        <w:rPr>
          <w:rFonts w:eastAsia="Times New Roman" w:cs="Times New Roman"/>
          <w:sz w:val="17"/>
          <w:lang w:val="fr-FR" w:eastAsia="en-US"/>
        </w:rPr>
        <w:t xml:space="preserve"> “A”;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“L”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Pr="00C03BCE">
        <w:rPr>
          <w:rFonts w:eastAsia="Times New Roman" w:cs="Times New Roman"/>
          <w:sz w:val="17"/>
          <w:lang w:val="fr-FR" w:eastAsia="en-US"/>
        </w:rPr>
        <w:t>Document pouvant jeter un doute sur une ou plusieurs revendications de priorité ou cité pour déterminer la date de publication d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Pr="00C03BCE">
        <w:rPr>
          <w:rFonts w:eastAsia="Times New Roman" w:cs="Times New Roman"/>
          <w:sz w:val="17"/>
          <w:lang w:val="fr-FR" w:eastAsia="en-US"/>
        </w:rPr>
        <w:t>une autre citation ou pour une autre raison spéciale (avec une mention expliquant les raisons de cette citation</w:t>
      </w:r>
      <w:r w:rsidR="00074CC9" w:rsidRPr="00C03BCE">
        <w:rPr>
          <w:rFonts w:eastAsia="Times New Roman" w:cs="Times New Roman"/>
          <w:sz w:val="17"/>
          <w:lang w:val="fr-FR" w:eastAsia="en-US"/>
        </w:rPr>
        <w:t>);</w:t>
      </w:r>
    </w:p>
    <w:p w:rsidR="00074CC9" w:rsidRPr="00C03BCE" w:rsidRDefault="008C483B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“O”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="00654FFC" w:rsidRPr="00C03BCE">
        <w:rPr>
          <w:rFonts w:eastAsia="Times New Roman" w:cs="Times New Roman"/>
          <w:sz w:val="17"/>
          <w:lang w:val="fr-FR" w:eastAsia="en-US"/>
        </w:rPr>
        <w:t>Document se référant à une divulgation orale, à un usage, à une exposition ou à tous autres moyens</w:t>
      </w:r>
      <w:r w:rsidR="00074CC9" w:rsidRPr="00C03BCE">
        <w:rPr>
          <w:rFonts w:eastAsia="Times New Roman" w:cs="Times New Roman"/>
          <w:sz w:val="17"/>
          <w:lang w:val="fr-FR" w:eastAsia="en-US"/>
        </w:rPr>
        <w:t xml:space="preserve">. </w:t>
      </w:r>
      <w:r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Pr="00C03BCE">
        <w:rPr>
          <w:rFonts w:eastAsia="Times New Roman"/>
          <w:spacing w:val="-4"/>
          <w:sz w:val="17"/>
          <w:szCs w:val="17"/>
          <w:lang w:val="fr-FR" w:eastAsia="en-US"/>
        </w:rPr>
        <w:t>Le code “O” devrait toujours être accompagné de l</w:t>
      </w:r>
      <w:r w:rsidR="008B013A" w:rsidRPr="00C03BCE">
        <w:rPr>
          <w:rFonts w:eastAsia="Times New Roman"/>
          <w:spacing w:val="-4"/>
          <w:sz w:val="17"/>
          <w:szCs w:val="17"/>
          <w:lang w:val="fr-FR" w:eastAsia="en-US"/>
        </w:rPr>
        <w:t>’</w:t>
      </w:r>
      <w:r w:rsidRPr="00C03BCE">
        <w:rPr>
          <w:rFonts w:eastAsia="Times New Roman"/>
          <w:spacing w:val="-4"/>
          <w:sz w:val="17"/>
          <w:szCs w:val="17"/>
          <w:lang w:val="fr-FR" w:eastAsia="en-US"/>
        </w:rPr>
        <w:t>une des catégories</w:t>
      </w:r>
      <w:r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>“N”, “I”, “X”</w:t>
      </w:r>
      <w:r w:rsidR="00074CC9" w:rsidRPr="00690756">
        <w:rPr>
          <w:rFonts w:eastAsia="Times New Roman" w:cs="Times New Roman"/>
          <w:color w:val="0000FF"/>
          <w:sz w:val="17"/>
          <w:vertAlign w:val="superscript"/>
          <w:lang w:val="fr-FR" w:eastAsia="en-US"/>
        </w:rPr>
        <w:t>1</w:t>
      </w:r>
      <w:r w:rsidR="00E843E5" w:rsidRPr="00C03BCE">
        <w:rPr>
          <w:rFonts w:eastAsia="Times New Roman" w:cs="Times New Roman"/>
          <w:sz w:val="17"/>
          <w:lang w:val="fr-FR" w:eastAsia="en-US"/>
        </w:rPr>
        <w:t>, “Y” ou</w:t>
      </w:r>
      <w:r w:rsidR="00074CC9" w:rsidRPr="00C03BCE">
        <w:rPr>
          <w:rFonts w:eastAsia="Times New Roman" w:cs="Times New Roman"/>
          <w:sz w:val="17"/>
          <w:lang w:val="fr-FR" w:eastAsia="en-US"/>
        </w:rPr>
        <w:t xml:space="preserve"> “A”;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“P”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="008C483B" w:rsidRPr="00C03BCE">
        <w:rPr>
          <w:sz w:val="17"/>
          <w:szCs w:val="17"/>
          <w:lang w:val="fr-FR"/>
        </w:rPr>
        <w:t>Document publié avant la date de dépôt (dans le cas</w:t>
      </w:r>
      <w:r w:rsidR="008B013A" w:rsidRPr="00C03BCE">
        <w:rPr>
          <w:sz w:val="17"/>
          <w:szCs w:val="17"/>
          <w:lang w:val="fr-FR"/>
        </w:rPr>
        <w:t xml:space="preserve"> du PCT</w:t>
      </w:r>
      <w:r w:rsidR="008C483B" w:rsidRPr="00C03BCE">
        <w:rPr>
          <w:sz w:val="17"/>
          <w:szCs w:val="17"/>
          <w:lang w:val="fr-FR"/>
        </w:rPr>
        <w:t>, la date du dépôt international), mais à la date de priorité revendiquée dans la demande ou après cette date</w:t>
      </w:r>
      <w:r w:rsidR="00074CC9" w:rsidRPr="00C03BCE">
        <w:rPr>
          <w:rFonts w:eastAsia="Times New Roman" w:cs="Times New Roman"/>
          <w:sz w:val="17"/>
          <w:lang w:val="fr-FR" w:eastAsia="en-US"/>
        </w:rPr>
        <w:t xml:space="preserve">.  </w:t>
      </w:r>
      <w:r w:rsidR="008C483B" w:rsidRPr="00C03BCE">
        <w:rPr>
          <w:sz w:val="17"/>
          <w:szCs w:val="17"/>
          <w:lang w:val="fr-FR"/>
        </w:rPr>
        <w:t>Le code “P” devrait toujours être accompagné</w:t>
      </w:r>
      <w:r w:rsidR="008C483B" w:rsidRPr="00C03BCE">
        <w:rPr>
          <w:lang w:val="fr-FR"/>
        </w:rPr>
        <w:t xml:space="preserve"> </w:t>
      </w:r>
      <w:r w:rsidR="008C483B" w:rsidRPr="00C03BCE">
        <w:rPr>
          <w:rFonts w:eastAsia="Times New Roman" w:cs="Times New Roman"/>
          <w:sz w:val="17"/>
          <w:lang w:val="fr-FR" w:eastAsia="en-US"/>
        </w:rPr>
        <w:t>de l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="008C483B" w:rsidRPr="00C03BCE">
        <w:rPr>
          <w:rFonts w:eastAsia="Times New Roman" w:cs="Times New Roman"/>
          <w:sz w:val="17"/>
          <w:lang w:val="fr-FR" w:eastAsia="en-US"/>
        </w:rPr>
        <w:t>une des catégorie</w:t>
      </w:r>
      <w:r w:rsidR="00074CC9" w:rsidRPr="00C03BCE">
        <w:rPr>
          <w:rFonts w:eastAsia="Times New Roman" w:cs="Times New Roman"/>
          <w:sz w:val="17"/>
          <w:lang w:val="fr-FR" w:eastAsia="en-US"/>
        </w:rPr>
        <w:t>s “N”, “I”, “X”</w:t>
      </w:r>
      <w:r w:rsidR="00074CC9" w:rsidRPr="00690756">
        <w:rPr>
          <w:rFonts w:eastAsia="Times New Roman" w:cs="Times New Roman"/>
          <w:color w:val="0000FF"/>
          <w:sz w:val="17"/>
          <w:vertAlign w:val="superscript"/>
          <w:lang w:val="fr-FR" w:eastAsia="en-US"/>
        </w:rPr>
        <w:t>1</w:t>
      </w:r>
      <w:r w:rsidR="00E843E5" w:rsidRPr="00C03BCE">
        <w:rPr>
          <w:rFonts w:eastAsia="Times New Roman" w:cs="Times New Roman"/>
          <w:sz w:val="17"/>
          <w:lang w:val="fr-FR" w:eastAsia="en-US"/>
        </w:rPr>
        <w:t>, “Y” ou</w:t>
      </w:r>
      <w:r w:rsidR="00074CC9" w:rsidRPr="00C03BCE">
        <w:rPr>
          <w:rFonts w:eastAsia="Times New Roman" w:cs="Times New Roman"/>
          <w:sz w:val="17"/>
          <w:lang w:val="fr-FR" w:eastAsia="en-US"/>
        </w:rPr>
        <w:t xml:space="preserve"> “A”;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“T”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="00C11DDC" w:rsidRPr="00C03BCE">
        <w:rPr>
          <w:rFonts w:eastAsia="Times New Roman" w:cs="Times New Roman"/>
          <w:sz w:val="17"/>
          <w:lang w:val="fr-FR" w:eastAsia="en-US"/>
        </w:rPr>
        <w:t>Document ultérieur publié après la date de dépôt (dans le cas</w:t>
      </w:r>
      <w:r w:rsidR="008B013A" w:rsidRPr="00C03BCE">
        <w:rPr>
          <w:rFonts w:eastAsia="Times New Roman" w:cs="Times New Roman"/>
          <w:sz w:val="17"/>
          <w:lang w:val="fr-FR" w:eastAsia="en-US"/>
        </w:rPr>
        <w:t xml:space="preserve"> du PCT</w:t>
      </w:r>
      <w:r w:rsidR="00C11DDC" w:rsidRPr="00C03BCE">
        <w:rPr>
          <w:rFonts w:eastAsia="Times New Roman" w:cs="Times New Roman"/>
          <w:sz w:val="17"/>
          <w:lang w:val="fr-FR" w:eastAsia="en-US"/>
        </w:rPr>
        <w:t>, la date du dépôt international) ou la date de priorité et ne s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="00C11DDC" w:rsidRPr="00C03BCE">
        <w:rPr>
          <w:rFonts w:eastAsia="Times New Roman" w:cs="Times New Roman"/>
          <w:sz w:val="17"/>
          <w:lang w:val="fr-FR" w:eastAsia="en-US"/>
        </w:rPr>
        <w:t>opposant pas à la demande, mais cité pour le principe ou la théorie constituant la base de l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="00C11DDC" w:rsidRPr="00C03BCE">
        <w:rPr>
          <w:rFonts w:eastAsia="Times New Roman" w:cs="Times New Roman"/>
          <w:sz w:val="17"/>
          <w:lang w:val="fr-FR" w:eastAsia="en-US"/>
        </w:rPr>
        <w:t>invention</w:t>
      </w:r>
      <w:r w:rsidR="00074CC9" w:rsidRPr="00C03BCE">
        <w:rPr>
          <w:rFonts w:eastAsia="Times New Roman" w:cs="Times New Roman"/>
          <w:sz w:val="17"/>
          <w:lang w:val="fr-FR" w:eastAsia="en-US"/>
        </w:rPr>
        <w:t>;</w:t>
      </w:r>
    </w:p>
    <w:p w:rsidR="00074CC9" w:rsidRPr="00C03BCE" w:rsidRDefault="00654FFC" w:rsidP="00E21283">
      <w:pPr>
        <w:keepLines/>
        <w:spacing w:after="170"/>
        <w:ind w:left="2552" w:hanging="1418"/>
        <w:rPr>
          <w:rFonts w:eastAsia="Times New Roman" w:cs="Times New Roman"/>
          <w:sz w:val="17"/>
          <w:lang w:val="fr-FR" w:eastAsia="en-US"/>
        </w:rPr>
      </w:pPr>
      <w:r w:rsidRPr="00C03BCE">
        <w:rPr>
          <w:rFonts w:eastAsia="Times New Roman" w:cs="Times New Roman"/>
          <w:sz w:val="17"/>
          <w:lang w:val="fr-FR" w:eastAsia="en-US"/>
        </w:rPr>
        <w:t>Catégorie </w:t>
      </w:r>
      <w:r w:rsidR="00074CC9" w:rsidRPr="00C03BCE">
        <w:rPr>
          <w:rFonts w:eastAsia="Times New Roman" w:cs="Times New Roman"/>
          <w:sz w:val="17"/>
          <w:lang w:val="fr-FR" w:eastAsia="en-US"/>
        </w:rPr>
        <w:t>“&amp;”</w:t>
      </w:r>
      <w:r w:rsidR="00E843E5" w:rsidRPr="00C03BCE">
        <w:rPr>
          <w:rFonts w:eastAsia="Times New Roman" w:cs="Times New Roman"/>
          <w:sz w:val="17"/>
          <w:lang w:val="fr-FR" w:eastAsia="en-US"/>
        </w:rPr>
        <w:t> </w:t>
      </w:r>
      <w:r w:rsidR="00074CC9" w:rsidRPr="00C03BCE">
        <w:rPr>
          <w:rFonts w:eastAsia="Times New Roman" w:cs="Times New Roman"/>
          <w:sz w:val="17"/>
          <w:lang w:val="fr-FR" w:eastAsia="en-US"/>
        </w:rPr>
        <w:t>:</w:t>
      </w:r>
      <w:r w:rsidR="00C32651" w:rsidRPr="00C03BCE">
        <w:rPr>
          <w:rFonts w:eastAsia="Times New Roman" w:cs="Times New Roman"/>
          <w:sz w:val="17"/>
          <w:lang w:val="fr-FR" w:eastAsia="en-US"/>
        </w:rPr>
        <w:t xml:space="preserve"> </w:t>
      </w:r>
      <w:r w:rsidR="00074CC9" w:rsidRPr="00C03BCE">
        <w:rPr>
          <w:rFonts w:eastAsia="Times New Roman" w:cs="Times New Roman"/>
          <w:sz w:val="17"/>
          <w:lang w:val="fr-FR" w:eastAsia="en-US"/>
        </w:rPr>
        <w:tab/>
      </w:r>
      <w:r w:rsidR="00C11DDC" w:rsidRPr="00C03BCE">
        <w:rPr>
          <w:rFonts w:eastAsia="Times New Roman" w:cs="Times New Roman"/>
          <w:sz w:val="17"/>
          <w:lang w:val="fr-FR" w:eastAsia="en-US"/>
        </w:rPr>
        <w:t>Document faisant partie de la même famille de brevets ou document dont la teneur n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="00C11DDC" w:rsidRPr="00C03BCE">
        <w:rPr>
          <w:rFonts w:eastAsia="Times New Roman" w:cs="Times New Roman"/>
          <w:sz w:val="17"/>
          <w:lang w:val="fr-FR" w:eastAsia="en-US"/>
        </w:rPr>
        <w:t>a pas été vérifiée par l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="00C11DDC" w:rsidRPr="00C03BCE">
        <w:rPr>
          <w:rFonts w:eastAsia="Times New Roman" w:cs="Times New Roman"/>
          <w:sz w:val="17"/>
          <w:lang w:val="fr-FR" w:eastAsia="en-US"/>
        </w:rPr>
        <w:t>examinateur chargé de la recherche mais paraît être largement identique à celle d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="00C11DDC" w:rsidRPr="00C03BCE">
        <w:rPr>
          <w:rFonts w:eastAsia="Times New Roman" w:cs="Times New Roman"/>
          <w:sz w:val="17"/>
          <w:lang w:val="fr-FR" w:eastAsia="en-US"/>
        </w:rPr>
        <w:t>un autre document consulté par l</w:t>
      </w:r>
      <w:r w:rsidR="008B013A" w:rsidRPr="00C03BCE">
        <w:rPr>
          <w:rFonts w:eastAsia="Times New Roman" w:cs="Times New Roman"/>
          <w:sz w:val="17"/>
          <w:lang w:val="fr-FR" w:eastAsia="en-US"/>
        </w:rPr>
        <w:t>’</w:t>
      </w:r>
      <w:r w:rsidR="00C11DDC" w:rsidRPr="00C03BCE">
        <w:rPr>
          <w:rFonts w:eastAsia="Times New Roman" w:cs="Times New Roman"/>
          <w:sz w:val="17"/>
          <w:lang w:val="fr-FR" w:eastAsia="en-US"/>
        </w:rPr>
        <w:t>examinateur chargé de la recherche</w:t>
      </w:r>
      <w:r w:rsidR="00074CC9" w:rsidRPr="00C03BCE">
        <w:rPr>
          <w:rFonts w:eastAsia="Times New Roman" w:cs="Times New Roman"/>
          <w:sz w:val="17"/>
          <w:lang w:val="fr-FR" w:eastAsia="en-US"/>
        </w:rPr>
        <w:t>.</w:t>
      </w:r>
    </w:p>
    <w:p w:rsidR="00CC62F1" w:rsidRPr="00C03BCE" w:rsidRDefault="00CC62F1" w:rsidP="00074CC9">
      <w:pPr>
        <w:rPr>
          <w:lang w:val="fr-FR"/>
        </w:rPr>
      </w:pPr>
    </w:p>
    <w:sectPr w:rsidR="00CC62F1" w:rsidRPr="00C03BCE" w:rsidSect="00B56D49">
      <w:headerReference w:type="first" r:id="rId12"/>
      <w:endnotePr>
        <w:numFmt w:val="decimal"/>
      </w:endnotePr>
      <w:pgSz w:w="11907" w:h="16840" w:code="9"/>
      <w:pgMar w:top="567" w:right="1134" w:bottom="1276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28CD" w:rsidRDefault="00AD28CD">
      <w:r>
        <w:separator/>
      </w:r>
    </w:p>
  </w:endnote>
  <w:endnote w:type="continuationSeparator" w:id="0">
    <w:p w:rsidR="00AD28CD" w:rsidRDefault="00AD28CD" w:rsidP="003B38C1">
      <w:r>
        <w:separator/>
      </w:r>
    </w:p>
    <w:p w:rsidR="00AD28CD" w:rsidRPr="003B38C1" w:rsidRDefault="00AD28CD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D28CD" w:rsidRPr="003B38C1" w:rsidRDefault="00AD28CD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28CD" w:rsidRDefault="00AD28CD">
      <w:r>
        <w:separator/>
      </w:r>
    </w:p>
  </w:footnote>
  <w:footnote w:type="continuationSeparator" w:id="0">
    <w:p w:rsidR="00AD28CD" w:rsidRDefault="00AD28CD" w:rsidP="008B60B2">
      <w:r>
        <w:separator/>
      </w:r>
    </w:p>
    <w:p w:rsidR="00AD28CD" w:rsidRPr="00ED77FB" w:rsidRDefault="00AD28CD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D28CD" w:rsidRPr="00ED77FB" w:rsidRDefault="00AD28CD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074CC9" w:rsidRPr="00647384" w:rsidRDefault="00074CC9" w:rsidP="00074CC9">
      <w:pPr>
        <w:pStyle w:val="FootnoteText"/>
        <w:rPr>
          <w:sz w:val="16"/>
          <w:lang w:val="fr-FR"/>
        </w:rPr>
      </w:pPr>
      <w:r>
        <w:rPr>
          <w:rStyle w:val="FootnoteReference"/>
          <w:sz w:val="16"/>
        </w:rPr>
        <w:footnoteRef/>
      </w:r>
      <w:r w:rsidRPr="00647384">
        <w:rPr>
          <w:sz w:val="16"/>
          <w:lang w:val="fr-FR"/>
        </w:rPr>
        <w:t xml:space="preserve"> </w:t>
      </w:r>
      <w:r w:rsidR="009F03E5">
        <w:rPr>
          <w:sz w:val="16"/>
          <w:lang w:val="fr-FR"/>
        </w:rPr>
        <w:t xml:space="preserve"> </w:t>
      </w:r>
      <w:r w:rsidR="00647384" w:rsidRPr="00647384">
        <w:rPr>
          <w:sz w:val="16"/>
          <w:lang w:val="fr-FR"/>
        </w:rPr>
        <w:t>Il n’est plus recommandé que les offices de propriété industrielle utilisent la c</w:t>
      </w:r>
      <w:r w:rsidRPr="00647384">
        <w:rPr>
          <w:sz w:val="16"/>
          <w:lang w:val="fr-FR"/>
        </w:rPr>
        <w:t>at</w:t>
      </w:r>
      <w:r w:rsidR="00647384" w:rsidRPr="00647384">
        <w:rPr>
          <w:sz w:val="16"/>
          <w:lang w:val="fr-FR"/>
        </w:rPr>
        <w:t>é</w:t>
      </w:r>
      <w:r w:rsidRPr="00647384">
        <w:rPr>
          <w:sz w:val="16"/>
          <w:lang w:val="fr-FR"/>
        </w:rPr>
        <w:t>gor</w:t>
      </w:r>
      <w:r w:rsidR="00647384" w:rsidRPr="00647384">
        <w:rPr>
          <w:sz w:val="16"/>
          <w:lang w:val="fr-FR"/>
        </w:rPr>
        <w:t>ie</w:t>
      </w:r>
      <w:r w:rsidR="00E843E5">
        <w:rPr>
          <w:sz w:val="16"/>
          <w:lang w:val="fr-FR"/>
        </w:rPr>
        <w:t> </w:t>
      </w:r>
      <w:r w:rsidRPr="00647384">
        <w:rPr>
          <w:sz w:val="16"/>
          <w:lang w:val="fr-FR"/>
        </w:rPr>
        <w:t>“X”</w:t>
      </w:r>
      <w:r w:rsidR="00647384" w:rsidRPr="00647384">
        <w:rPr>
          <w:sz w:val="16"/>
          <w:lang w:val="fr-FR"/>
        </w:rPr>
        <w:t>, mais les rapports de recherche établis avant le 1</w:t>
      </w:r>
      <w:r w:rsidR="00112B92" w:rsidRPr="00112B92">
        <w:rPr>
          <w:sz w:val="16"/>
          <w:vertAlign w:val="superscript"/>
          <w:lang w:val="fr-FR"/>
        </w:rPr>
        <w:t>er</w:t>
      </w:r>
      <w:r w:rsidR="00647384" w:rsidRPr="00647384">
        <w:rPr>
          <w:sz w:val="16"/>
          <w:lang w:val="fr-FR"/>
        </w:rPr>
        <w:t xml:space="preserve"> juillet </w:t>
      </w:r>
      <w:r w:rsidRPr="00647384">
        <w:rPr>
          <w:sz w:val="16"/>
          <w:lang w:val="fr-FR"/>
        </w:rPr>
        <w:t xml:space="preserve">2015 </w:t>
      </w:r>
      <w:r w:rsidR="00647384">
        <w:rPr>
          <w:sz w:val="16"/>
          <w:lang w:val="fr-FR"/>
        </w:rPr>
        <w:t>peuvent contenir cette catégorie soit en tant que catégorie principale, soit accompagnée des catégories “E”, “O” ou</w:t>
      </w:r>
      <w:r w:rsidRPr="00647384">
        <w:rPr>
          <w:sz w:val="16"/>
          <w:lang w:val="fr-FR"/>
        </w:rPr>
        <w:t xml:space="preserve"> “P”.</w:t>
      </w:r>
    </w:p>
    <w:p w:rsidR="00074CC9" w:rsidRPr="00647384" w:rsidRDefault="00074CC9" w:rsidP="00074CC9">
      <w:pPr>
        <w:pStyle w:val="FootnoteText"/>
        <w:rPr>
          <w:sz w:val="16"/>
          <w:lang w:val="fr-FR"/>
        </w:rPr>
      </w:pPr>
    </w:p>
    <w:p w:rsidR="00074CC9" w:rsidRPr="00647384" w:rsidRDefault="00074CC9" w:rsidP="00074CC9">
      <w:pPr>
        <w:pStyle w:val="FootnoteText"/>
        <w:rPr>
          <w:sz w:val="16"/>
          <w:lang w:val="fr-FR"/>
        </w:rPr>
      </w:pPr>
    </w:p>
    <w:p w:rsidR="00074CC9" w:rsidRPr="00647384" w:rsidRDefault="00074CC9" w:rsidP="00074CC9">
      <w:pPr>
        <w:pStyle w:val="FootnoteText"/>
        <w:rPr>
          <w:sz w:val="16"/>
          <w:lang w:val="fr-FR"/>
        </w:rPr>
      </w:pPr>
    </w:p>
    <w:p w:rsidR="00074CC9" w:rsidRPr="00647384" w:rsidRDefault="00074CC9" w:rsidP="00074CC9">
      <w:pPr>
        <w:pStyle w:val="FootnoteText"/>
        <w:rPr>
          <w:sz w:val="16"/>
          <w:lang w:val="fr-FR"/>
        </w:rPr>
      </w:pPr>
    </w:p>
    <w:p w:rsidR="00074CC9" w:rsidRDefault="00074CC9" w:rsidP="00611D8E">
      <w:pPr>
        <w:pStyle w:val="Endofdocument-Annex"/>
      </w:pPr>
      <w:r>
        <w:t>[</w:t>
      </w:r>
      <w:proofErr w:type="spellStart"/>
      <w:r w:rsidR="00C11DDC">
        <w:t>L’annexe</w:t>
      </w:r>
      <w:proofErr w:type="spellEnd"/>
      <w:r w:rsidR="00C11DDC">
        <w:t> </w:t>
      </w:r>
      <w:r>
        <w:t xml:space="preserve">II </w:t>
      </w:r>
      <w:r w:rsidR="00C11DDC">
        <w:t>suit</w:t>
      </w:r>
      <w:r>
        <w:t>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EE" w:rsidRDefault="00CB2DEE" w:rsidP="00CB2DEE">
    <w:pPr>
      <w:jc w:val="right"/>
    </w:pPr>
    <w:r>
      <w:t>CWS/4/5</w:t>
    </w:r>
  </w:p>
  <w:p w:rsidR="00CB2DEE" w:rsidRDefault="00CB2DEE" w:rsidP="00CB2DEE">
    <w:pPr>
      <w:jc w:val="right"/>
    </w:pPr>
    <w:proofErr w:type="spellStart"/>
    <w:r>
      <w:t>Annexe</w:t>
    </w:r>
    <w:proofErr w:type="spellEnd"/>
    <w:r>
      <w:t xml:space="preserve"> I, page </w:t>
    </w:r>
    <w:r>
      <w:fldChar w:fldCharType="begin"/>
    </w:r>
    <w:r>
      <w:instrText>PAGE   \* MERGEFORMAT</w:instrText>
    </w:r>
    <w:r>
      <w:fldChar w:fldCharType="separate"/>
    </w:r>
    <w:r w:rsidR="0019049E" w:rsidRPr="0019049E">
      <w:rPr>
        <w:noProof/>
        <w:lang w:val="fr-FR"/>
      </w:rPr>
      <w:t>2</w:t>
    </w:r>
    <w:r>
      <w:fldChar w:fldCharType="end"/>
    </w:r>
  </w:p>
  <w:p w:rsidR="00CB2DEE" w:rsidRDefault="00CB2DEE" w:rsidP="00CB2DEE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4B8" w:rsidRDefault="0059069D" w:rsidP="009567DC">
    <w:pPr>
      <w:jc w:val="right"/>
    </w:pPr>
    <w:r>
      <w:t>CWS/</w:t>
    </w:r>
    <w:r w:rsidR="00574F31">
      <w:t>4</w:t>
    </w:r>
    <w:r w:rsidR="00BB74B8">
      <w:t>/</w:t>
    </w:r>
    <w:r w:rsidR="00074CC9">
      <w:t>5</w:t>
    </w:r>
  </w:p>
  <w:p w:rsidR="00BB74B8" w:rsidRDefault="00BB74B8" w:rsidP="00BB74B8">
    <w:pPr>
      <w:jc w:val="right"/>
    </w:pPr>
    <w:r>
      <w:t>ANNEX</w:t>
    </w:r>
    <w:r w:rsidR="004D77D3">
      <w:t>E </w:t>
    </w:r>
    <w:r w:rsidR="00FF7A73">
      <w:t>I</w:t>
    </w:r>
  </w:p>
  <w:p w:rsidR="00BB74B8" w:rsidRDefault="00BB74B8" w:rsidP="00BB74B8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DEE" w:rsidRDefault="00CB2DEE" w:rsidP="00CB2DEE">
    <w:pPr>
      <w:jc w:val="right"/>
    </w:pPr>
    <w:r>
      <w:t>CWS/4/5</w:t>
    </w:r>
  </w:p>
  <w:p w:rsidR="00CB2DEE" w:rsidRDefault="00CB2DEE" w:rsidP="00CB2DEE">
    <w:pPr>
      <w:jc w:val="right"/>
    </w:pPr>
    <w:r>
      <w:t>ANNEXE I, APPENDICE</w:t>
    </w:r>
  </w:p>
  <w:p w:rsidR="00CB2DEE" w:rsidRDefault="00CB2DEE" w:rsidP="00CB2DE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5D1A07"/>
    <w:multiLevelType w:val="hybridMultilevel"/>
    <w:tmpl w:val="FBD01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8278F"/>
    <w:multiLevelType w:val="hybridMultilevel"/>
    <w:tmpl w:val="C8FAD648"/>
    <w:lvl w:ilvl="0" w:tplc="D38092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6CD29E3"/>
    <w:multiLevelType w:val="multilevel"/>
    <w:tmpl w:val="366AEFF6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  <w:lang w:val="fr-FR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42A325B"/>
    <w:multiLevelType w:val="multilevel"/>
    <w:tmpl w:val="D3A63670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3"/>
  </w:num>
  <w:num w:numId="24">
    <w:abstractNumId w:val="1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76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57F"/>
    <w:rsid w:val="00017F59"/>
    <w:rsid w:val="00043CAA"/>
    <w:rsid w:val="00074CC9"/>
    <w:rsid w:val="00075432"/>
    <w:rsid w:val="00076D20"/>
    <w:rsid w:val="0008257F"/>
    <w:rsid w:val="00083024"/>
    <w:rsid w:val="000968ED"/>
    <w:rsid w:val="000A7483"/>
    <w:rsid w:val="000B75E0"/>
    <w:rsid w:val="000F369C"/>
    <w:rsid w:val="000F5E56"/>
    <w:rsid w:val="00112B92"/>
    <w:rsid w:val="00117C6B"/>
    <w:rsid w:val="001362EE"/>
    <w:rsid w:val="001832A6"/>
    <w:rsid w:val="0019049E"/>
    <w:rsid w:val="00195EE0"/>
    <w:rsid w:val="001A28D4"/>
    <w:rsid w:val="001A61A8"/>
    <w:rsid w:val="001B5A33"/>
    <w:rsid w:val="001D16DA"/>
    <w:rsid w:val="00206FA3"/>
    <w:rsid w:val="00230D89"/>
    <w:rsid w:val="0023103F"/>
    <w:rsid w:val="00235634"/>
    <w:rsid w:val="002634C4"/>
    <w:rsid w:val="00285D69"/>
    <w:rsid w:val="002928D3"/>
    <w:rsid w:val="002D3440"/>
    <w:rsid w:val="002F1FE6"/>
    <w:rsid w:val="002F4E68"/>
    <w:rsid w:val="003006F5"/>
    <w:rsid w:val="00312F7F"/>
    <w:rsid w:val="003228B7"/>
    <w:rsid w:val="003306F8"/>
    <w:rsid w:val="003473DC"/>
    <w:rsid w:val="0035137B"/>
    <w:rsid w:val="00357F52"/>
    <w:rsid w:val="003673CF"/>
    <w:rsid w:val="003845C1"/>
    <w:rsid w:val="003A6F89"/>
    <w:rsid w:val="003B38C1"/>
    <w:rsid w:val="003B5634"/>
    <w:rsid w:val="003D1104"/>
    <w:rsid w:val="00421B47"/>
    <w:rsid w:val="00423E3E"/>
    <w:rsid w:val="00427AF4"/>
    <w:rsid w:val="004400E2"/>
    <w:rsid w:val="00442955"/>
    <w:rsid w:val="004567AF"/>
    <w:rsid w:val="004647DA"/>
    <w:rsid w:val="00474062"/>
    <w:rsid w:val="00477D6B"/>
    <w:rsid w:val="0049211A"/>
    <w:rsid w:val="004A72DB"/>
    <w:rsid w:val="004D77D3"/>
    <w:rsid w:val="004F2B3F"/>
    <w:rsid w:val="004F3536"/>
    <w:rsid w:val="0053057A"/>
    <w:rsid w:val="00560A29"/>
    <w:rsid w:val="00574F31"/>
    <w:rsid w:val="0059069D"/>
    <w:rsid w:val="005B666A"/>
    <w:rsid w:val="005C018B"/>
    <w:rsid w:val="005D0DEE"/>
    <w:rsid w:val="005D3F0A"/>
    <w:rsid w:val="005F67A2"/>
    <w:rsid w:val="00605827"/>
    <w:rsid w:val="00611D8E"/>
    <w:rsid w:val="00623FA6"/>
    <w:rsid w:val="00631F24"/>
    <w:rsid w:val="00646050"/>
    <w:rsid w:val="00647384"/>
    <w:rsid w:val="00654CC3"/>
    <w:rsid w:val="00654FFC"/>
    <w:rsid w:val="006713CA"/>
    <w:rsid w:val="00676C5C"/>
    <w:rsid w:val="006772C0"/>
    <w:rsid w:val="00690756"/>
    <w:rsid w:val="007058FB"/>
    <w:rsid w:val="00725F02"/>
    <w:rsid w:val="007529BB"/>
    <w:rsid w:val="007701E2"/>
    <w:rsid w:val="007B6A58"/>
    <w:rsid w:val="007D1613"/>
    <w:rsid w:val="007D5C56"/>
    <w:rsid w:val="00825C85"/>
    <w:rsid w:val="00830A9D"/>
    <w:rsid w:val="00846334"/>
    <w:rsid w:val="008776D4"/>
    <w:rsid w:val="008B013A"/>
    <w:rsid w:val="008B2CC1"/>
    <w:rsid w:val="008B3DA3"/>
    <w:rsid w:val="008B60B2"/>
    <w:rsid w:val="008C483B"/>
    <w:rsid w:val="008D4E63"/>
    <w:rsid w:val="008E6475"/>
    <w:rsid w:val="0090731E"/>
    <w:rsid w:val="00916EE2"/>
    <w:rsid w:val="00943D66"/>
    <w:rsid w:val="009567DC"/>
    <w:rsid w:val="00966263"/>
    <w:rsid w:val="00966A22"/>
    <w:rsid w:val="0096722F"/>
    <w:rsid w:val="00980843"/>
    <w:rsid w:val="009956F1"/>
    <w:rsid w:val="009963EF"/>
    <w:rsid w:val="009C075E"/>
    <w:rsid w:val="009E01F5"/>
    <w:rsid w:val="009E2791"/>
    <w:rsid w:val="009E3F6F"/>
    <w:rsid w:val="009F03E5"/>
    <w:rsid w:val="009F499F"/>
    <w:rsid w:val="00A42DAF"/>
    <w:rsid w:val="00A45BD8"/>
    <w:rsid w:val="00A65D37"/>
    <w:rsid w:val="00A85B8E"/>
    <w:rsid w:val="00A910F8"/>
    <w:rsid w:val="00AC205C"/>
    <w:rsid w:val="00AD28CD"/>
    <w:rsid w:val="00B05A69"/>
    <w:rsid w:val="00B123E4"/>
    <w:rsid w:val="00B56D49"/>
    <w:rsid w:val="00B712B9"/>
    <w:rsid w:val="00B9734B"/>
    <w:rsid w:val="00BB74B8"/>
    <w:rsid w:val="00BF558E"/>
    <w:rsid w:val="00C03BCE"/>
    <w:rsid w:val="00C11BFE"/>
    <w:rsid w:val="00C11DDC"/>
    <w:rsid w:val="00C32651"/>
    <w:rsid w:val="00C44558"/>
    <w:rsid w:val="00C72AB3"/>
    <w:rsid w:val="00C85262"/>
    <w:rsid w:val="00C94629"/>
    <w:rsid w:val="00CB2DEE"/>
    <w:rsid w:val="00CC62F1"/>
    <w:rsid w:val="00CD28E0"/>
    <w:rsid w:val="00CD50CA"/>
    <w:rsid w:val="00CD6A92"/>
    <w:rsid w:val="00CF193C"/>
    <w:rsid w:val="00CF2C74"/>
    <w:rsid w:val="00D06252"/>
    <w:rsid w:val="00D2496E"/>
    <w:rsid w:val="00D34A38"/>
    <w:rsid w:val="00D355E4"/>
    <w:rsid w:val="00D45252"/>
    <w:rsid w:val="00D71B4D"/>
    <w:rsid w:val="00D8364B"/>
    <w:rsid w:val="00D879E1"/>
    <w:rsid w:val="00D93D55"/>
    <w:rsid w:val="00DF4342"/>
    <w:rsid w:val="00E051FA"/>
    <w:rsid w:val="00E21283"/>
    <w:rsid w:val="00E335FE"/>
    <w:rsid w:val="00E5021F"/>
    <w:rsid w:val="00E843E5"/>
    <w:rsid w:val="00EA2686"/>
    <w:rsid w:val="00EB782C"/>
    <w:rsid w:val="00EC4E49"/>
    <w:rsid w:val="00ED3B04"/>
    <w:rsid w:val="00ED6983"/>
    <w:rsid w:val="00ED77FB"/>
    <w:rsid w:val="00EF03AE"/>
    <w:rsid w:val="00F021A6"/>
    <w:rsid w:val="00F14A78"/>
    <w:rsid w:val="00F47094"/>
    <w:rsid w:val="00F53B24"/>
    <w:rsid w:val="00F57410"/>
    <w:rsid w:val="00F66152"/>
    <w:rsid w:val="00FA15B1"/>
    <w:rsid w:val="00FA48F1"/>
    <w:rsid w:val="00FA6F8D"/>
    <w:rsid w:val="00FF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DA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rsid w:val="0059069D"/>
    <w:rPr>
      <w:color w:val="800080"/>
      <w:u w:val="single"/>
    </w:rPr>
  </w:style>
  <w:style w:type="character" w:styleId="FootnoteReference">
    <w:name w:val="footnote reference"/>
    <w:unhideWhenUsed/>
    <w:rsid w:val="00074CC9"/>
    <w:rPr>
      <w:color w:val="0000FF"/>
      <w:sz w:val="17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16DA"/>
    <w:rPr>
      <w:rFonts w:ascii="Arial" w:eastAsia="SimSun" w:hAnsi="Arial" w:cs="Arial"/>
      <w:sz w:val="22"/>
      <w:lang w:val="en-US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character" w:styleId="Hyperlink">
    <w:name w:val="Hyperlink"/>
    <w:rsid w:val="00574F31"/>
    <w:rPr>
      <w:color w:val="0000FF"/>
      <w:u w:val="single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ListParagraph">
    <w:name w:val="List Paragraph"/>
    <w:basedOn w:val="Normal"/>
    <w:uiPriority w:val="34"/>
    <w:qFormat/>
    <w:rsid w:val="00574F31"/>
    <w:pPr>
      <w:ind w:left="567"/>
    </w:pPr>
    <w:rPr>
      <w:rFonts w:eastAsia="MS Mincho"/>
      <w:lang w:eastAsia="ja-JP"/>
    </w:rPr>
  </w:style>
  <w:style w:type="paragraph" w:styleId="BalloonText">
    <w:name w:val="Balloon Text"/>
    <w:basedOn w:val="Normal"/>
    <w:link w:val="BalloonTextChar"/>
    <w:rsid w:val="00654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54CC3"/>
    <w:rPr>
      <w:rFonts w:ascii="Tahoma" w:eastAsia="SimSun" w:hAnsi="Tahoma" w:cs="Tahoma"/>
      <w:sz w:val="16"/>
      <w:szCs w:val="16"/>
      <w:lang w:eastAsia="zh-CN"/>
    </w:rPr>
  </w:style>
  <w:style w:type="paragraph" w:customStyle="1" w:styleId="Endofdocument">
    <w:name w:val="End of document"/>
    <w:basedOn w:val="Normal"/>
    <w:rsid w:val="00654CC3"/>
    <w:pPr>
      <w:spacing w:after="120" w:line="260" w:lineRule="atLeast"/>
      <w:ind w:left="5534"/>
      <w:contextualSpacing/>
    </w:pPr>
    <w:rPr>
      <w:rFonts w:eastAsia="Times New Roman" w:cs="Times New Roman"/>
      <w:szCs w:val="22"/>
      <w:lang w:eastAsia="en-US"/>
    </w:rPr>
  </w:style>
  <w:style w:type="character" w:styleId="FollowedHyperlink">
    <w:name w:val="FollowedHyperlink"/>
    <w:rsid w:val="0059069D"/>
    <w:rPr>
      <w:color w:val="800080"/>
      <w:u w:val="single"/>
    </w:rPr>
  </w:style>
  <w:style w:type="character" w:styleId="FootnoteReference">
    <w:name w:val="footnote reference"/>
    <w:unhideWhenUsed/>
    <w:rsid w:val="00074CC9"/>
    <w:rPr>
      <w:color w:val="0000FF"/>
      <w:sz w:val="17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7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7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B8D375-F34B-4F72-BCCA-B405BC605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20B850-9051-4B74-B644-DD89991C2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1036</Words>
  <Characters>5498</Characters>
  <Application>Microsoft Office Word</Application>
  <DocSecurity>0</DocSecurity>
  <Lines>45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CWS/4/5 - Annexe I (en Français)</vt:lpstr>
      <vt:lpstr>CWS/4/5 - Annex I (in English)</vt:lpstr>
    </vt:vector>
  </TitlesOfParts>
  <Company>OMPI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CWS/4/5 - Annexe I (en Français)</dc:title>
  <dc:subject>Proposition de révision du paragraphe 14 de la norme ST.14 de l’OMPI</dc:subject>
  <dc:creator>OMPI</dc:creator>
  <cp:lastModifiedBy>Geraldine Rodriguez</cp:lastModifiedBy>
  <cp:revision>7</cp:revision>
  <cp:lastPrinted>2014-03-25T15:47:00Z</cp:lastPrinted>
  <dcterms:created xsi:type="dcterms:W3CDTF">2014-04-01T10:00:00Z</dcterms:created>
  <dcterms:modified xsi:type="dcterms:W3CDTF">2014-04-14T09:37:00Z</dcterms:modified>
</cp:coreProperties>
</file>