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AD956" w14:textId="77777777" w:rsidR="008B2CC1" w:rsidRPr="00290DCD" w:rsidRDefault="00DB0349" w:rsidP="00DB0349">
      <w:pPr>
        <w:spacing w:after="120"/>
        <w:jc w:val="right"/>
      </w:pPr>
      <w:r w:rsidRPr="00290DCD">
        <w:rPr>
          <w:noProof/>
          <w:lang w:eastAsia="en-US"/>
        </w:rPr>
        <w:drawing>
          <wp:inline distT="0" distB="0" distL="0" distR="0" wp14:anchorId="550AE8F7" wp14:editId="1E983468">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1">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290DCD">
        <w:rPr>
          <w:rFonts w:ascii="Arial Black" w:hAnsi="Arial Black"/>
          <w:caps/>
          <w:noProof/>
          <w:sz w:val="15"/>
          <w:szCs w:val="15"/>
          <w:lang w:eastAsia="en-US"/>
        </w:rPr>
        <mc:AlternateContent>
          <mc:Choice Requires="wps">
            <w:drawing>
              <wp:inline distT="0" distB="0" distL="0" distR="0" wp14:anchorId="501F4A1B" wp14:editId="5B6ABCDB">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1EF1237"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300796F" w14:textId="3F69B9BC" w:rsidR="008B2CC1" w:rsidRPr="00290DCD" w:rsidRDefault="00197881" w:rsidP="00DB0349">
      <w:pPr>
        <w:jc w:val="right"/>
        <w:rPr>
          <w:rFonts w:ascii="Arial Black" w:hAnsi="Arial Black"/>
          <w:caps/>
          <w:sz w:val="15"/>
          <w:szCs w:val="15"/>
        </w:rPr>
      </w:pPr>
      <w:r w:rsidRPr="00290DCD">
        <w:rPr>
          <w:rFonts w:ascii="Arial Black" w:hAnsi="Arial Black"/>
          <w:caps/>
          <w:sz w:val="15"/>
          <w:szCs w:val="15"/>
        </w:rPr>
        <w:t>CWS/1</w:t>
      </w:r>
      <w:r w:rsidR="00D871A7">
        <w:rPr>
          <w:rFonts w:ascii="Arial Black" w:hAnsi="Arial Black"/>
          <w:caps/>
          <w:sz w:val="15"/>
          <w:szCs w:val="15"/>
        </w:rPr>
        <w:t>4</w:t>
      </w:r>
      <w:r w:rsidRPr="00290DCD">
        <w:rPr>
          <w:rFonts w:ascii="Arial Black" w:hAnsi="Arial Black"/>
          <w:caps/>
          <w:sz w:val="15"/>
          <w:szCs w:val="15"/>
        </w:rPr>
        <w:t>/</w:t>
      </w:r>
      <w:bookmarkStart w:id="0" w:name="Code"/>
      <w:bookmarkEnd w:id="0"/>
      <w:r w:rsidR="00992031">
        <w:rPr>
          <w:rFonts w:ascii="Arial Black" w:hAnsi="Arial Black"/>
          <w:caps/>
          <w:sz w:val="15"/>
          <w:szCs w:val="15"/>
        </w:rPr>
        <w:t>26</w:t>
      </w:r>
    </w:p>
    <w:p w14:paraId="143F4BDA" w14:textId="3102B3E4" w:rsidR="008B2CC1" w:rsidRPr="00290DCD" w:rsidRDefault="00DB0349" w:rsidP="00DB0349">
      <w:pPr>
        <w:jc w:val="right"/>
        <w:rPr>
          <w:rFonts w:ascii="Arial Black" w:hAnsi="Arial Black"/>
          <w:caps/>
          <w:sz w:val="15"/>
          <w:szCs w:val="15"/>
        </w:rPr>
      </w:pPr>
      <w:r w:rsidRPr="00290DCD">
        <w:rPr>
          <w:rFonts w:ascii="Arial Black" w:hAnsi="Arial Black"/>
          <w:caps/>
          <w:sz w:val="15"/>
          <w:szCs w:val="15"/>
        </w:rPr>
        <w:t>Original</w:t>
      </w:r>
      <w:r w:rsidR="005510C2">
        <w:rPr>
          <w:rFonts w:ascii="Arial Black" w:hAnsi="Arial Black"/>
          <w:caps/>
          <w:sz w:val="15"/>
          <w:szCs w:val="15"/>
        </w:rPr>
        <w:t> :</w:t>
      </w:r>
      <w:r w:rsidRPr="00290DCD">
        <w:rPr>
          <w:rFonts w:ascii="Arial Black" w:hAnsi="Arial Black"/>
          <w:caps/>
          <w:sz w:val="15"/>
          <w:szCs w:val="15"/>
        </w:rPr>
        <w:t xml:space="preserve"> </w:t>
      </w:r>
      <w:bookmarkStart w:id="1" w:name="Original"/>
      <w:r w:rsidR="00992031">
        <w:rPr>
          <w:rFonts w:ascii="Arial Black" w:hAnsi="Arial Black"/>
          <w:caps/>
          <w:sz w:val="15"/>
          <w:szCs w:val="15"/>
        </w:rPr>
        <w:t>anglais</w:t>
      </w:r>
    </w:p>
    <w:bookmarkEnd w:id="1"/>
    <w:p w14:paraId="5B4DAA55" w14:textId="7BA575F6" w:rsidR="008B2CC1" w:rsidRPr="00290DCD" w:rsidRDefault="00B66A77" w:rsidP="00DB0349">
      <w:pPr>
        <w:spacing w:after="1200"/>
        <w:jc w:val="right"/>
        <w:rPr>
          <w:rFonts w:ascii="Arial Black" w:hAnsi="Arial Black"/>
          <w:caps/>
          <w:sz w:val="15"/>
          <w:szCs w:val="15"/>
        </w:rPr>
      </w:pPr>
      <w:r>
        <w:rPr>
          <w:rFonts w:ascii="Arial Black" w:hAnsi="Arial Black"/>
          <w:caps/>
          <w:sz w:val="15"/>
          <w:szCs w:val="15"/>
        </w:rPr>
        <w:t>D</w:t>
      </w:r>
      <w:r w:rsidR="00DB0349" w:rsidRPr="00290DCD">
        <w:rPr>
          <w:rFonts w:ascii="Arial Black" w:hAnsi="Arial Black"/>
          <w:caps/>
          <w:sz w:val="15"/>
          <w:szCs w:val="15"/>
        </w:rPr>
        <w:t>ate</w:t>
      </w:r>
      <w:r w:rsidR="005510C2">
        <w:rPr>
          <w:rFonts w:ascii="Arial Black" w:hAnsi="Arial Black"/>
          <w:caps/>
          <w:sz w:val="15"/>
          <w:szCs w:val="15"/>
        </w:rPr>
        <w:t> :</w:t>
      </w:r>
      <w:r w:rsidR="00DB0349" w:rsidRPr="00290DCD">
        <w:rPr>
          <w:rFonts w:ascii="Arial Black" w:hAnsi="Arial Black"/>
          <w:caps/>
          <w:sz w:val="15"/>
          <w:szCs w:val="15"/>
        </w:rPr>
        <w:t xml:space="preserve"> </w:t>
      </w:r>
      <w:bookmarkStart w:id="2" w:name="Date"/>
      <w:r w:rsidR="00992031">
        <w:rPr>
          <w:rFonts w:ascii="Arial Black" w:hAnsi="Arial Black"/>
          <w:caps/>
          <w:sz w:val="15"/>
          <w:szCs w:val="15"/>
        </w:rPr>
        <w:t>7 octobre 2026</w:t>
      </w:r>
    </w:p>
    <w:bookmarkEnd w:id="2"/>
    <w:p w14:paraId="4D8C6B4D" w14:textId="78DE8C7F" w:rsidR="00C40E15" w:rsidRPr="00290DCD" w:rsidRDefault="00197881" w:rsidP="00DB0349">
      <w:pPr>
        <w:spacing w:after="600"/>
        <w:rPr>
          <w:b/>
          <w:sz w:val="28"/>
          <w:szCs w:val="28"/>
        </w:rPr>
      </w:pPr>
      <w:r w:rsidRPr="00290DCD">
        <w:rPr>
          <w:b/>
          <w:sz w:val="28"/>
          <w:szCs w:val="28"/>
        </w:rPr>
        <w:t>Comité des normes de l</w:t>
      </w:r>
      <w:r w:rsidR="005510C2">
        <w:rPr>
          <w:b/>
          <w:sz w:val="28"/>
          <w:szCs w:val="28"/>
        </w:rPr>
        <w:t>’</w:t>
      </w:r>
      <w:r w:rsidRPr="00290DCD">
        <w:rPr>
          <w:b/>
          <w:sz w:val="28"/>
          <w:szCs w:val="28"/>
        </w:rPr>
        <w:t>OMPI (CWS)</w:t>
      </w:r>
    </w:p>
    <w:p w14:paraId="1EFD3C72" w14:textId="3E8A4BF2" w:rsidR="008B2CC1" w:rsidRPr="00290DCD" w:rsidRDefault="00D871A7" w:rsidP="008B2CC1">
      <w:pPr>
        <w:rPr>
          <w:b/>
          <w:sz w:val="28"/>
          <w:szCs w:val="24"/>
        </w:rPr>
      </w:pPr>
      <w:r>
        <w:rPr>
          <w:b/>
          <w:sz w:val="24"/>
        </w:rPr>
        <w:t>Quator</w:t>
      </w:r>
      <w:r w:rsidR="0099108F" w:rsidRPr="00290DCD">
        <w:rPr>
          <w:b/>
          <w:sz w:val="24"/>
        </w:rPr>
        <w:t>z</w:t>
      </w:r>
      <w:r w:rsidR="005510C2">
        <w:rPr>
          <w:b/>
          <w:sz w:val="24"/>
        </w:rPr>
        <w:t>ième session</w:t>
      </w:r>
    </w:p>
    <w:p w14:paraId="7404A239" w14:textId="77777777" w:rsidR="008B2CC1" w:rsidRPr="00290DCD" w:rsidRDefault="00197881" w:rsidP="00DB0349">
      <w:pPr>
        <w:spacing w:after="720"/>
        <w:rPr>
          <w:b/>
          <w:sz w:val="28"/>
          <w:szCs w:val="24"/>
        </w:rPr>
      </w:pPr>
      <w:r w:rsidRPr="00290DCD">
        <w:rPr>
          <w:b/>
          <w:sz w:val="24"/>
        </w:rPr>
        <w:t>Genève,</w:t>
      </w:r>
      <w:r w:rsidR="001352EC" w:rsidRPr="00290DCD">
        <w:rPr>
          <w:b/>
          <w:sz w:val="24"/>
        </w:rPr>
        <w:t xml:space="preserve"> </w:t>
      </w:r>
      <w:r w:rsidR="00D871A7">
        <w:rPr>
          <w:b/>
          <w:sz w:val="24"/>
        </w:rPr>
        <w:t>23</w:t>
      </w:r>
      <w:r w:rsidR="001352EC" w:rsidRPr="00290DCD">
        <w:rPr>
          <w:b/>
          <w:sz w:val="24"/>
        </w:rPr>
        <w:t xml:space="preserve"> – </w:t>
      </w:r>
      <w:r w:rsidR="00D871A7">
        <w:rPr>
          <w:b/>
          <w:sz w:val="24"/>
        </w:rPr>
        <w:t>27</w:t>
      </w:r>
      <w:r w:rsidR="0099108F" w:rsidRPr="00290DCD">
        <w:rPr>
          <w:b/>
          <w:sz w:val="24"/>
        </w:rPr>
        <w:t> nov</w:t>
      </w:r>
      <w:r w:rsidR="001352EC" w:rsidRPr="00290DCD">
        <w:rPr>
          <w:b/>
          <w:sz w:val="24"/>
        </w:rPr>
        <w:t>embre</w:t>
      </w:r>
      <w:r w:rsidR="0099108F" w:rsidRPr="00290DCD">
        <w:rPr>
          <w:b/>
          <w:sz w:val="24"/>
        </w:rPr>
        <w:t> </w:t>
      </w:r>
      <w:r w:rsidR="001352EC" w:rsidRPr="00290DCD">
        <w:rPr>
          <w:b/>
          <w:sz w:val="24"/>
        </w:rPr>
        <w:t>202</w:t>
      </w:r>
      <w:r w:rsidR="00D871A7">
        <w:rPr>
          <w:b/>
          <w:sz w:val="24"/>
        </w:rPr>
        <w:t>6</w:t>
      </w:r>
    </w:p>
    <w:p w14:paraId="70995E58" w14:textId="5D97CA89" w:rsidR="00992031" w:rsidRPr="007D3DD2" w:rsidRDefault="00992031" w:rsidP="00992031">
      <w:pPr>
        <w:spacing w:after="360"/>
        <w:rPr>
          <w:caps/>
          <w:sz w:val="24"/>
        </w:rPr>
      </w:pPr>
      <w:bookmarkStart w:id="3" w:name="TitleOfDoc"/>
      <w:r>
        <w:rPr>
          <w:caps/>
          <w:sz w:val="24"/>
        </w:rPr>
        <w:t>Rapport présenté par le Bureau international sur la prestation de services consultatifs et d</w:t>
      </w:r>
      <w:r w:rsidR="005510C2">
        <w:rPr>
          <w:caps/>
          <w:sz w:val="24"/>
        </w:rPr>
        <w:t>’</w:t>
      </w:r>
      <w:r>
        <w:rPr>
          <w:caps/>
          <w:sz w:val="24"/>
        </w:rPr>
        <w:t>assistance technique aux fins du renforcement des capacités des offices de propriété industrielle en rapport avec le mandat</w:t>
      </w:r>
      <w:r w:rsidR="005510C2">
        <w:rPr>
          <w:caps/>
          <w:sz w:val="24"/>
        </w:rPr>
        <w:t xml:space="preserve"> du CWS</w:t>
      </w:r>
    </w:p>
    <w:p w14:paraId="46C54C6E" w14:textId="77777777" w:rsidR="00992031" w:rsidRPr="007D3DD2" w:rsidRDefault="00992031" w:rsidP="008413B8">
      <w:pPr>
        <w:spacing w:after="960"/>
        <w:rPr>
          <w:i/>
        </w:rPr>
      </w:pPr>
      <w:bookmarkStart w:id="4" w:name="Prepared"/>
      <w:bookmarkEnd w:id="3"/>
      <w:r>
        <w:rPr>
          <w:i/>
        </w:rPr>
        <w:t>Document établi par le Bureau international</w:t>
      </w:r>
    </w:p>
    <w:p w14:paraId="1A11F88C" w14:textId="77777777" w:rsidR="00992031" w:rsidRPr="007D3DD2" w:rsidRDefault="00992031" w:rsidP="00F730A9">
      <w:pPr>
        <w:pStyle w:val="Heading2"/>
      </w:pPr>
      <w:r>
        <w:t>Introduction</w:t>
      </w:r>
    </w:p>
    <w:p w14:paraId="2A3C76C5" w14:textId="279733A9" w:rsidR="005510C2" w:rsidRDefault="00992031" w:rsidP="005510C2">
      <w:pPr>
        <w:pStyle w:val="ONUMFS"/>
        <w:rPr>
          <w:color w:val="000000" w:themeColor="text1"/>
        </w:rPr>
      </w:pPr>
      <w:r>
        <w:t>Le présent rapport vise à mettre en œuvre la décision prise par l</w:t>
      </w:r>
      <w:r w:rsidR="005510C2">
        <w:t>’</w:t>
      </w:r>
      <w:r>
        <w:t>Assemblée générale en 2011 eu égard au mandat</w:t>
      </w:r>
      <w:r w:rsidR="005510C2">
        <w:t xml:space="preserve"> du CWS</w:t>
      </w:r>
      <w:r>
        <w:t xml:space="preserve"> et à la soumission régulière de rapports écrits sur le détail des activités menées </w:t>
      </w:r>
      <w:r w:rsidR="005510C2">
        <w:t>en 2025</w:t>
      </w:r>
      <w:r>
        <w:t xml:space="preserve"> dans le cadre desquelles le Secrétariat ou le Bureau international de l</w:t>
      </w:r>
      <w:r w:rsidR="005510C2">
        <w:t>’</w:t>
      </w:r>
      <w:r>
        <w:t>OMPI s</w:t>
      </w:r>
      <w:r w:rsidR="005510C2">
        <w:t>’</w:t>
      </w:r>
      <w:r>
        <w:t>est efforcé “de fournir des services consultatifs et d</w:t>
      </w:r>
      <w:r w:rsidR="005510C2">
        <w:t>’</w:t>
      </w:r>
      <w:r>
        <w:t>assistance technique aux fins du renforcement des capacités aux offices de propriété intellectuelle en entreprenant des projets relatifs à la diffusion de l</w:t>
      </w:r>
      <w:r w:rsidR="005510C2">
        <w:t>’</w:t>
      </w:r>
      <w:r>
        <w:t xml:space="preserve">information en matière de normes de propriété intellectuelle” (voir le paragraphe 190 du </w:t>
      </w:r>
      <w:r w:rsidR="005510C2">
        <w:t>document</w:t>
      </w:r>
      <w:r w:rsidR="00F730A9">
        <w:t> </w:t>
      </w:r>
      <w:r w:rsidR="005510C2">
        <w:t>WO</w:t>
      </w:r>
      <w:r>
        <w:t xml:space="preserve">/GA/40/19). </w:t>
      </w:r>
      <w:r w:rsidR="002B3DD8">
        <w:t xml:space="preserve"> </w:t>
      </w:r>
      <w:r>
        <w:t>De plus amples informations sur les activités d</w:t>
      </w:r>
      <w:r w:rsidR="005510C2">
        <w:t>’</w:t>
      </w:r>
      <w:r>
        <w:t>assistance technique menées par l</w:t>
      </w:r>
      <w:r w:rsidR="005510C2">
        <w:t>’</w:t>
      </w:r>
      <w:r>
        <w:t>Organisation sont disponibles dans la base de données relatives à l</w:t>
      </w:r>
      <w:r w:rsidR="005510C2">
        <w:t>’</w:t>
      </w:r>
      <w:r>
        <w:t>assistance technique (</w:t>
      </w:r>
      <w:hyperlink r:id="rId12" w:history="1">
        <w:r>
          <w:rPr>
            <w:rStyle w:val="Hyperlink"/>
          </w:rPr>
          <w:t>www.wipo.int/tad</w:t>
        </w:r>
      </w:hyperlink>
      <w:r>
        <w:t>).</w:t>
      </w:r>
    </w:p>
    <w:p w14:paraId="3B23F9FE" w14:textId="3925AD5F" w:rsidR="00992031" w:rsidRPr="007D3DD2" w:rsidRDefault="00992031" w:rsidP="005510C2">
      <w:pPr>
        <w:pStyle w:val="ONUMFS"/>
      </w:pPr>
      <w:r>
        <w:t>Les normes de l</w:t>
      </w:r>
      <w:r w:rsidR="005510C2">
        <w:t>’</w:t>
      </w:r>
      <w:r>
        <w:t>OMPI étant appliquées dans divers systèmes informatiques et logiciels de l</w:t>
      </w:r>
      <w:r w:rsidR="005510C2">
        <w:t>’</w:t>
      </w:r>
      <w:r>
        <w:t>Organisation, tels que les Solutions opérationnelles de l</w:t>
      </w:r>
      <w:r w:rsidR="005510C2">
        <w:t>’</w:t>
      </w:r>
      <w:r>
        <w:t>OMPI à l</w:t>
      </w:r>
      <w:r w:rsidR="005510C2">
        <w:t>’</w:t>
      </w:r>
      <w:r>
        <w:t xml:space="preserve">intention des offices de propriété intellectuelle ou WIPO </w:t>
      </w:r>
      <w:proofErr w:type="spellStart"/>
      <w:r>
        <w:t>Sequence</w:t>
      </w:r>
      <w:proofErr w:type="spellEnd"/>
      <w:r>
        <w:t>, les activités indiquées ci</w:t>
      </w:r>
      <w:r w:rsidR="00F730A9">
        <w:noBreakHyphen/>
      </w:r>
      <w:r>
        <w:t>après portent aussi implicitement sur la diffusion d</w:t>
      </w:r>
      <w:r w:rsidR="005510C2">
        <w:t>’</w:t>
      </w:r>
      <w:r>
        <w:t>informations pertinentes en matière de normes de propriété intellectuelle.</w:t>
      </w:r>
    </w:p>
    <w:p w14:paraId="6E3A4EDA" w14:textId="31DB055F" w:rsidR="00992031" w:rsidRPr="007D3DD2" w:rsidRDefault="00992031" w:rsidP="00F730A9">
      <w:pPr>
        <w:pStyle w:val="Heading2"/>
      </w:pPr>
      <w:r>
        <w:lastRenderedPageBreak/>
        <w:t>Formation à l</w:t>
      </w:r>
      <w:r w:rsidR="005510C2">
        <w:t>’</w:t>
      </w:r>
      <w:r>
        <w:t>utilisation des normes de l</w:t>
      </w:r>
      <w:r w:rsidR="005510C2">
        <w:t>’</w:t>
      </w:r>
      <w:r>
        <w:t>OMPI et services consultatifs connexes</w:t>
      </w:r>
    </w:p>
    <w:p w14:paraId="4DEFE945" w14:textId="2301431A" w:rsidR="00992031" w:rsidRPr="007D3DD2" w:rsidRDefault="00992031" w:rsidP="00726E78">
      <w:pPr>
        <w:pStyle w:val="ONUMFS"/>
        <w:keepLines/>
      </w:pPr>
      <w:r>
        <w:t>En 2025, le Bureau international a fourni des services consultatifs afin d</w:t>
      </w:r>
      <w:r w:rsidR="005510C2">
        <w:t>’</w:t>
      </w:r>
      <w:r>
        <w:t>aider les offices et les utilisateurs à mettre en œuvre les normes de l</w:t>
      </w:r>
      <w:r w:rsidR="005510C2">
        <w:t>’</w:t>
      </w:r>
      <w:r>
        <w:t>OMPI dans le cadre de courriers électroniques et de conférences en ligne, notamment en ce qui concerne la mise en œuvre des normes</w:t>
      </w:r>
      <w:r w:rsidR="002B3DD8">
        <w:t> </w:t>
      </w:r>
      <w:r>
        <w:t>ST.26, ST.36 et ST.96 de l</w:t>
      </w:r>
      <w:r w:rsidR="005510C2">
        <w:t>’</w:t>
      </w:r>
      <w:r>
        <w:t>OMPI, ainsi que la création de fichiers d</w:t>
      </w:r>
      <w:r w:rsidR="005510C2">
        <w:t>’</w:t>
      </w:r>
      <w:r>
        <w:t>autorité conformes à la norme</w:t>
      </w:r>
      <w:r w:rsidR="002B3DD8">
        <w:t> </w:t>
      </w:r>
      <w:r>
        <w:t>ST.37 de l</w:t>
      </w:r>
      <w:r w:rsidR="005510C2">
        <w:t>’</w:t>
      </w:r>
      <w:r>
        <w:t>OMPI.</w:t>
      </w:r>
    </w:p>
    <w:p w14:paraId="161B3F88" w14:textId="101EC9C1" w:rsidR="005510C2" w:rsidRDefault="00992031" w:rsidP="005510C2">
      <w:pPr>
        <w:pStyle w:val="ONUMFS"/>
      </w:pPr>
      <w:r>
        <w:t>Les nouvelles exigences relatives à la documentation minimale du Traité de coopération en matière de brevets (PCT) devant entrer en vigueur le</w:t>
      </w:r>
      <w:r w:rsidR="005510C2">
        <w:t xml:space="preserve"> 1</w:t>
      </w:r>
      <w:r w:rsidR="005510C2" w:rsidRPr="005510C2">
        <w:rPr>
          <w:vertAlign w:val="superscript"/>
        </w:rPr>
        <w:t>er</w:t>
      </w:r>
      <w:r w:rsidR="005510C2">
        <w:t> </w:t>
      </w:r>
      <w:r>
        <w:t>janvier 2026, de nombreux offices se sont attelés à la constitution de fichiers d</w:t>
      </w:r>
      <w:r w:rsidR="005510C2">
        <w:t>’</w:t>
      </w:r>
      <w:r>
        <w:t>autorité conformes à la norme ST.37 de l</w:t>
      </w:r>
      <w:r w:rsidR="005510C2">
        <w:t>’</w:t>
      </w:r>
      <w:r>
        <w:t>OMPI, ainsi qu</w:t>
      </w:r>
      <w:r w:rsidR="005510C2">
        <w:t>’</w:t>
      </w:r>
      <w:r>
        <w:t>à la production, pour la première fois, de documents de brevet structurés conformes aux normes ST.36 ou ST.96 de l</w:t>
      </w:r>
      <w:r w:rsidR="005510C2">
        <w:t>’</w:t>
      </w:r>
      <w:r>
        <w:t>O</w:t>
      </w:r>
      <w:r w:rsidR="00F730A9">
        <w:t>MPI.  Le</w:t>
      </w:r>
      <w:r>
        <w:t xml:space="preserve"> Bureau international a fourni un appui pour la création de fichiers d</w:t>
      </w:r>
      <w:r w:rsidR="005510C2">
        <w:t>’</w:t>
      </w:r>
      <w:r>
        <w:t>autorité conformes à la norme ST.37 de l</w:t>
      </w:r>
      <w:r w:rsidR="005510C2">
        <w:t>’</w:t>
      </w:r>
      <w:r>
        <w:t>OMPI, ainsi que pour l</w:t>
      </w:r>
      <w:r w:rsidR="005510C2">
        <w:t>’</w:t>
      </w:r>
      <w:r>
        <w:t>examen et la formulation de commentaires concernant l</w:t>
      </w:r>
      <w:r w:rsidR="005510C2">
        <w:t>’</w:t>
      </w:r>
      <w:r>
        <w:t>ensemble des fichiers d</w:t>
      </w:r>
      <w:r w:rsidR="005510C2">
        <w:t>’</w:t>
      </w:r>
      <w:r>
        <w:t>autorité soumis au cours du processus de validation des administrations chargées de la recherche internationa</w:t>
      </w:r>
      <w:r w:rsidR="00F730A9">
        <w:t>le.  Le</w:t>
      </w:r>
      <w:r>
        <w:t xml:space="preserve"> </w:t>
      </w:r>
      <w:r w:rsidR="005510C2">
        <w:t>document</w:t>
      </w:r>
      <w:r w:rsidR="00F730A9">
        <w:t> </w:t>
      </w:r>
      <w:r w:rsidR="005510C2">
        <w:t>CW</w:t>
      </w:r>
      <w:r>
        <w:t>S/13/28 contient de plus amples informations sur l</w:t>
      </w:r>
      <w:r w:rsidR="005510C2">
        <w:t>’</w:t>
      </w:r>
      <w:r>
        <w:t>appui spécifique fourni par le Bureau international à cet égard.</w:t>
      </w:r>
    </w:p>
    <w:p w14:paraId="0CD9A30A" w14:textId="11BC4B93" w:rsidR="00992031" w:rsidRPr="007D3DD2" w:rsidRDefault="00992031" w:rsidP="005510C2">
      <w:pPr>
        <w:pStyle w:val="ONUMFS"/>
      </w:pPr>
      <w:r>
        <w:t>En réponse aux commentaires formulés tant par les offices que par les utilisateurs du secteur de la propriété intellectuelle, le Bureau international a lancé un nouveau projet de développement d</w:t>
      </w:r>
      <w:r w:rsidR="005510C2">
        <w:t>’</w:t>
      </w:r>
      <w:r>
        <w:t xml:space="preserve">un logiciel visant à mettre en œuvre de nouvelles fonctionnalités pour WIPO </w:t>
      </w:r>
      <w:proofErr w:type="spellStart"/>
      <w:r>
        <w:t>Sequence</w:t>
      </w:r>
      <w:proofErr w:type="spellEnd"/>
      <w:r>
        <w:t>, afin notamment de permettre aux utilisateurs d</w:t>
      </w:r>
      <w:r w:rsidR="005510C2">
        <w:t>’</w:t>
      </w:r>
      <w:r>
        <w:t>annoter plus facilement les séquences au sein d</w:t>
      </w:r>
      <w:r w:rsidR="005510C2">
        <w:t>’</w:t>
      </w:r>
      <w:r>
        <w:t>un projet de listage de séquen</w:t>
      </w:r>
      <w:r w:rsidR="00F730A9">
        <w:t>ce.  Ce</w:t>
      </w:r>
      <w:r>
        <w:t>tte version s</w:t>
      </w:r>
      <w:r w:rsidR="005510C2">
        <w:t>’</w:t>
      </w:r>
      <w:r>
        <w:t xml:space="preserve">appuie sur les nouvelles technologies mises en œuvre au cours des activités de développement menées </w:t>
      </w:r>
      <w:r w:rsidR="005510C2">
        <w:t>en 2024</w:t>
      </w:r>
      <w:r>
        <w:t xml:space="preserve">. </w:t>
      </w:r>
      <w:r w:rsidR="002B3DD8">
        <w:t xml:space="preserve"> </w:t>
      </w:r>
      <w:r>
        <w:t xml:space="preserve">Après le succès de son lancement </w:t>
      </w:r>
      <w:r w:rsidR="005510C2">
        <w:t>en 2024</w:t>
      </w:r>
      <w:r>
        <w:t xml:space="preserve">, le Bureau international a poursuivi sa collaboration avec le groupe WIPO </w:t>
      </w:r>
      <w:proofErr w:type="spellStart"/>
      <w:r>
        <w:t>Sequence</w:t>
      </w:r>
      <w:proofErr w:type="spellEnd"/>
      <w:r>
        <w:t xml:space="preserve"> </w:t>
      </w:r>
      <w:proofErr w:type="spellStart"/>
      <w:r>
        <w:t>Insiders</w:t>
      </w:r>
      <w:proofErr w:type="spellEnd"/>
      <w:r>
        <w:t xml:space="preserve"> et testé avec lui une nouvelle version, la version 3.0.0, en </w:t>
      </w:r>
      <w:r w:rsidR="005510C2">
        <w:t>juillet 20</w:t>
      </w:r>
      <w:r>
        <w:t>25.</w:t>
      </w:r>
    </w:p>
    <w:p w14:paraId="599C6491" w14:textId="43AD89C6" w:rsidR="005510C2" w:rsidRDefault="00992031" w:rsidP="005510C2">
      <w:pPr>
        <w:pStyle w:val="ONUMFS"/>
      </w:pPr>
      <w:r>
        <w:t>En ce qui concerne l</w:t>
      </w:r>
      <w:r w:rsidR="005510C2">
        <w:t>’</w:t>
      </w:r>
      <w:r>
        <w:t>assistance technique pour la mise en œuvre de la norme ST.26 de l</w:t>
      </w:r>
      <w:r w:rsidR="005510C2">
        <w:t>’</w:t>
      </w:r>
      <w:r>
        <w:t>OMPI et de WIPO </w:t>
      </w:r>
      <w:proofErr w:type="spellStart"/>
      <w:r>
        <w:t>Sequence</w:t>
      </w:r>
      <w:proofErr w:type="spellEnd"/>
      <w:r>
        <w:t>, le Bureau international a été invité à présenter des exposés lors d</w:t>
      </w:r>
      <w:r w:rsidR="005510C2">
        <w:t>’</w:t>
      </w:r>
      <w:r>
        <w:t>un webinaire sur ce sujet, proposé par le Bureau international à l</w:t>
      </w:r>
      <w:r w:rsidR="005510C2">
        <w:t>’</w:t>
      </w:r>
      <w:r>
        <w:t xml:space="preserve">intention des déposants de la Géorgie en </w:t>
      </w:r>
      <w:r w:rsidR="005510C2">
        <w:t>avril 20</w:t>
      </w:r>
      <w:r>
        <w:t>25.</w:t>
      </w:r>
    </w:p>
    <w:p w14:paraId="054FACC0" w14:textId="1983F7BE" w:rsidR="005510C2" w:rsidRDefault="00992031" w:rsidP="005510C2">
      <w:pPr>
        <w:pStyle w:val="ONUMFS"/>
      </w:pPr>
      <w:r>
        <w:t>En réponse à une demande formulée par l</w:t>
      </w:r>
      <w:r w:rsidR="005510C2">
        <w:t>’</w:t>
      </w:r>
      <w:r>
        <w:t>Office des brevets et des marques de l</w:t>
      </w:r>
      <w:r w:rsidR="005510C2">
        <w:t>’</w:t>
      </w:r>
      <w:r>
        <w:t>Italie, le Bureau international a rendu son avis sur un nouveau système de numérotation des brevets, des marques et des dessins et modèles industriels, qui sera mis en œuvre prochaineme</w:t>
      </w:r>
      <w:r w:rsidR="00F730A9">
        <w:t>nt.  Ce</w:t>
      </w:r>
      <w:r>
        <w:t>la incluait une assistance technique concernant les normes ST.6, ST.13 et ST.16 de l</w:t>
      </w:r>
      <w:r w:rsidR="005510C2">
        <w:t>’</w:t>
      </w:r>
      <w:r>
        <w:t>OMPI.</w:t>
      </w:r>
    </w:p>
    <w:p w14:paraId="14E8D7EF" w14:textId="06382E7C" w:rsidR="00992031" w:rsidRPr="007D3DD2" w:rsidRDefault="00992031" w:rsidP="005510C2">
      <w:pPr>
        <w:pStyle w:val="ONUMFS"/>
      </w:pPr>
      <w:r>
        <w:t>Le Bureau international a aidé l</w:t>
      </w:r>
      <w:r w:rsidR="005510C2">
        <w:t>’</w:t>
      </w:r>
      <w:r>
        <w:t>Office de la propriété industrielle de la République tchèque à examiner et à finaliser sa table de correspondance selon la norme ST.27 de l</w:t>
      </w:r>
      <w:r w:rsidR="005510C2">
        <w:t>’</w:t>
      </w:r>
      <w:r>
        <w:t>O</w:t>
      </w:r>
      <w:r w:rsidR="00F730A9">
        <w:t>MPI.  Le</w:t>
      </w:r>
      <w:r>
        <w:t>s recommandations portaient sur la mise en correspondance correcte des événements relatifs à la situation juridique nationale, notamment la distinction entre les événements concernant des brevets et ceux concernant des dessins ou modèles industriels, ainsi que sur l</w:t>
      </w:r>
      <w:r w:rsidR="005510C2">
        <w:t>’</w:t>
      </w:r>
      <w:r>
        <w:t>utilisation appropriée des événements principaux et détaillés de la norme ST.27 de l</w:t>
      </w:r>
      <w:r w:rsidR="005510C2">
        <w:t>’</w:t>
      </w:r>
      <w:r>
        <w:t xml:space="preserve">OMPI. </w:t>
      </w:r>
      <w:r w:rsidR="002B3DD8">
        <w:t xml:space="preserve"> </w:t>
      </w:r>
      <w:r>
        <w:t>À l</w:t>
      </w:r>
      <w:r w:rsidR="005510C2">
        <w:t>’</w:t>
      </w:r>
      <w:r>
        <w:t>issue de cette analyse, l</w:t>
      </w:r>
      <w:r w:rsidR="005510C2">
        <w:t>’</w:t>
      </w:r>
      <w:r>
        <w:t>office a révisé la table de correspondance conformément aux recommandations, ce qui a permis sa publication dans la partie 7.13.1 du Manuel de l</w:t>
      </w:r>
      <w:r w:rsidR="005510C2">
        <w:t>’</w:t>
      </w:r>
      <w:r>
        <w:t>OMPI.</w:t>
      </w:r>
    </w:p>
    <w:p w14:paraId="43B09C74" w14:textId="17BAA59B" w:rsidR="00992031" w:rsidRPr="007D3DD2" w:rsidRDefault="00992031" w:rsidP="005510C2">
      <w:pPr>
        <w:pStyle w:val="ONUMFS"/>
      </w:pPr>
      <w:r>
        <w:t>En réponse à la demande formulée par</w:t>
      </w:r>
      <w:r w:rsidR="005510C2">
        <w:t xml:space="preserve"> le CWS</w:t>
      </w:r>
      <w:r>
        <w:t xml:space="preserve"> lors de sa huit</w:t>
      </w:r>
      <w:r w:rsidR="005510C2">
        <w:t>ième session</w:t>
      </w:r>
      <w:r>
        <w:t xml:space="preserve">, le </w:t>
      </w:r>
      <w:r>
        <w:rPr>
          <w:i/>
          <w:iCs/>
        </w:rPr>
        <w:t>Catalogue</w:t>
      </w:r>
      <w:r w:rsidR="005510C2">
        <w:rPr>
          <w:i/>
          <w:iCs/>
        </w:rPr>
        <w:t xml:space="preserve"> des API</w:t>
      </w:r>
      <w:r>
        <w:rPr>
          <w:i/>
          <w:iCs/>
        </w:rPr>
        <w:t xml:space="preserve"> en matière de propriété intellectuelle</w:t>
      </w:r>
      <w:r>
        <w:t xml:space="preserve"> a été lancé en </w:t>
      </w:r>
      <w:r w:rsidR="005510C2">
        <w:t>juillet 20</w:t>
      </w:r>
      <w:r>
        <w:t xml:space="preserve">24. </w:t>
      </w:r>
      <w:r w:rsidR="002B3DD8">
        <w:t xml:space="preserve"> </w:t>
      </w:r>
      <w:r>
        <w:t>Ce catalogue présente une liste des interfaces de programmation (API) mises à disposition par les institutions de propriété intellectuelle pour leurs produits et services relatifs aux brevets, aux marques, aux dessins et modèles industriels, au droit d</w:t>
      </w:r>
      <w:r w:rsidR="005510C2">
        <w:t>’</w:t>
      </w:r>
      <w:r>
        <w:t>auteur, aux indications géographiques et à la protection des obtentions végétal</w:t>
      </w:r>
      <w:r w:rsidR="00F730A9">
        <w:t>es.  En</w:t>
      </w:r>
      <w:r w:rsidR="005510C2">
        <w:t> 2025</w:t>
      </w:r>
      <w:r>
        <w:t>, des progrès importants ont été réalisés dans l</w:t>
      </w:r>
      <w:r w:rsidR="005510C2">
        <w:t>’</w:t>
      </w:r>
      <w:r>
        <w:t>amélioration des fonctions du Catalogue</w:t>
      </w:r>
      <w:r w:rsidR="005510C2">
        <w:t xml:space="preserve"> des API</w:t>
      </w:r>
      <w:r>
        <w:t xml:space="preserve"> en matière de propriété intellectuel</w:t>
      </w:r>
      <w:r w:rsidR="00F730A9">
        <w:t>le.  Un</w:t>
      </w:r>
      <w:r>
        <w:t>e interface administrative de gestion des filtres a été développée afin de rationaliser les tâches administratives, tandis que l</w:t>
      </w:r>
      <w:r w:rsidR="005510C2">
        <w:t>’</w:t>
      </w:r>
      <w:r>
        <w:t>intégration d</w:t>
      </w:r>
      <w:r w:rsidR="005510C2">
        <w:t>’</w:t>
      </w:r>
      <w:proofErr w:type="spellStart"/>
      <w:r>
        <w:t>OpenSearch</w:t>
      </w:r>
      <w:proofErr w:type="spellEnd"/>
      <w:r>
        <w:t xml:space="preserve"> a amélioré la précision des recherches, notamment grâce à la prise en charge des recherches d</w:t>
      </w:r>
      <w:r w:rsidR="005510C2">
        <w:t>’</w:t>
      </w:r>
      <w:r>
        <w:t>expressions exactes entre guilleme</w:t>
      </w:r>
      <w:r w:rsidR="00F730A9">
        <w:t>ts.  Af</w:t>
      </w:r>
      <w:r>
        <w:t>in de mieux répondre aux besoins d</w:t>
      </w:r>
      <w:r w:rsidR="005510C2">
        <w:t>’</w:t>
      </w:r>
      <w:r>
        <w:t xml:space="preserve">un public international, le </w:t>
      </w:r>
      <w:hyperlink r:id="rId13">
        <w:r>
          <w:rPr>
            <w:rStyle w:val="Hyperlink"/>
          </w:rPr>
          <w:t>Guide du Catalogue</w:t>
        </w:r>
        <w:r w:rsidR="005510C2">
          <w:rPr>
            <w:rStyle w:val="Hyperlink"/>
          </w:rPr>
          <w:t xml:space="preserve"> des API</w:t>
        </w:r>
        <w:r>
          <w:rPr>
            <w:rStyle w:val="Hyperlink"/>
          </w:rPr>
          <w:t xml:space="preserve"> à l</w:t>
        </w:r>
        <w:r w:rsidR="005510C2">
          <w:rPr>
            <w:rStyle w:val="Hyperlink"/>
          </w:rPr>
          <w:t>’</w:t>
        </w:r>
        <w:r>
          <w:rPr>
            <w:rStyle w:val="Hyperlink"/>
          </w:rPr>
          <w:t>intention des utilisateurs</w:t>
        </w:r>
      </w:hyperlink>
      <w:r>
        <w:t xml:space="preserve"> et le </w:t>
      </w:r>
      <w:hyperlink r:id="rId14">
        <w:r>
          <w:rPr>
            <w:rStyle w:val="Hyperlink"/>
          </w:rPr>
          <w:t>Guide du Catalogue</w:t>
        </w:r>
        <w:r w:rsidR="005510C2">
          <w:rPr>
            <w:rStyle w:val="Hyperlink"/>
          </w:rPr>
          <w:t xml:space="preserve"> des API</w:t>
        </w:r>
        <w:r>
          <w:rPr>
            <w:rStyle w:val="Hyperlink"/>
          </w:rPr>
          <w:t xml:space="preserve"> à l</w:t>
        </w:r>
        <w:r w:rsidR="005510C2">
          <w:rPr>
            <w:rStyle w:val="Hyperlink"/>
          </w:rPr>
          <w:t>’</w:t>
        </w:r>
        <w:r>
          <w:rPr>
            <w:rStyle w:val="Hyperlink"/>
          </w:rPr>
          <w:t>intention des institutions de propriété intellectuelle</w:t>
        </w:r>
      </w:hyperlink>
      <w:r>
        <w:t xml:space="preserve"> ont été mis à disposition dans quatre</w:t>
      </w:r>
      <w:r w:rsidR="002B3DD8">
        <w:t> </w:t>
      </w:r>
      <w:r>
        <w:t>langues supplémentaires</w:t>
      </w:r>
      <w:r w:rsidR="005510C2">
        <w:t> :</w:t>
      </w:r>
      <w:r>
        <w:t xml:space="preserve"> l</w:t>
      </w:r>
      <w:r w:rsidR="005510C2">
        <w:t>’</w:t>
      </w:r>
      <w:r>
        <w:t>allemand, le japonais, le coréen et le portuga</w:t>
      </w:r>
      <w:r w:rsidR="00F730A9">
        <w:t>is.  L’i</w:t>
      </w:r>
      <w:r>
        <w:t>nterface utilisateur du catalogue a également été traduite en allemand, en arabe, en chinois, en coréen, en japonais, en portugais et en rus</w:t>
      </w:r>
      <w:r w:rsidR="00F730A9">
        <w:t>se.  Gr</w:t>
      </w:r>
      <w:r>
        <w:t>âce à ces mises à jour, la couverture linguistique a été étendue pour inclure les</w:t>
      </w:r>
      <w:r w:rsidR="00F730A9">
        <w:t> </w:t>
      </w:r>
      <w:r>
        <w:t>10 langues de publication</w:t>
      </w:r>
      <w:r w:rsidR="005510C2">
        <w:t xml:space="preserve"> du PCT</w:t>
      </w:r>
      <w:r>
        <w:t>.</w:t>
      </w:r>
    </w:p>
    <w:p w14:paraId="73F3F4BD" w14:textId="4BC194DB" w:rsidR="005510C2" w:rsidRDefault="00992031" w:rsidP="005510C2">
      <w:pPr>
        <w:pStyle w:val="ONUMFS"/>
      </w:pPr>
      <w:r>
        <w:t>Le Secrétariat continue de s</w:t>
      </w:r>
      <w:r w:rsidR="005510C2">
        <w:t>’</w:t>
      </w:r>
      <w:r>
        <w:t>engager à fournir une assistance technique et à dispenser des formations concernant les normes de l</w:t>
      </w:r>
      <w:r w:rsidR="005510C2">
        <w:t>’</w:t>
      </w:r>
      <w:r>
        <w:t>OMPI à la demande, en fonction de la disponibilité des ressources.</w:t>
      </w:r>
    </w:p>
    <w:p w14:paraId="5E1CC17C" w14:textId="16478BD9" w:rsidR="00992031" w:rsidRPr="007D3DD2" w:rsidRDefault="00992031" w:rsidP="00F730A9">
      <w:pPr>
        <w:pStyle w:val="Heading2"/>
      </w:pPr>
      <w:r>
        <w:t>Assistance technique aux fins du renforcement des infrastructures des institutions de propriété industrielle utilisant les normes de l</w:t>
      </w:r>
      <w:r w:rsidR="005510C2">
        <w:t>’</w:t>
      </w:r>
      <w:r>
        <w:t>OMPI</w:t>
      </w:r>
    </w:p>
    <w:p w14:paraId="10379867" w14:textId="2F5B397F" w:rsidR="00992031" w:rsidRPr="007D3DD2" w:rsidRDefault="00992031" w:rsidP="005510C2">
      <w:pPr>
        <w:pStyle w:val="ONUMFS"/>
      </w:pPr>
      <w:r>
        <w:t>Le programme de l</w:t>
      </w:r>
      <w:r w:rsidR="005510C2">
        <w:t>’</w:t>
      </w:r>
      <w:r>
        <w:t>OMPI de Solutions opérationnelles à l</w:t>
      </w:r>
      <w:r w:rsidR="005510C2">
        <w:t>’</w:t>
      </w:r>
      <w:r>
        <w:t>intention des offices a pour objectif de renforcer les systèmes de traitement et les infrastructures techniques des offices de propriété industrielle nationaux et régionaux afin qu</w:t>
      </w:r>
      <w:r w:rsidR="005510C2">
        <w:t>’</w:t>
      </w:r>
      <w:r>
        <w:t>ils puissent assurer des services offrant un meilleur rapport coût/efficacité et de meilleure qualité à leurs parties prenant</w:t>
      </w:r>
      <w:r w:rsidR="00F730A9">
        <w:t>es.  L’a</w:t>
      </w:r>
      <w:r>
        <w:t>ssistance fournie est conforme aux recommandations du Plan d</w:t>
      </w:r>
      <w:r w:rsidR="005510C2">
        <w:t>’</w:t>
      </w:r>
      <w:r>
        <w:t>action pour le développement visant à renforcer les infrastructures institutionnelles et techniques des offices et d</w:t>
      </w:r>
      <w:r w:rsidR="005510C2">
        <w:t>’</w:t>
      </w:r>
      <w:r>
        <w:t>autres institutions de propriété industriel</w:t>
      </w:r>
      <w:r w:rsidR="00F730A9">
        <w:t>le.  Le</w:t>
      </w:r>
      <w:r>
        <w:t>s services comprennent notamment la fourniture de conseils techniques, l</w:t>
      </w:r>
      <w:r w:rsidR="005510C2">
        <w:t>’</w:t>
      </w:r>
      <w:r>
        <w:t>évaluation des besoins opérationnels, la définition du périmètre et la planification du projet, ainsi que l</w:t>
      </w:r>
      <w:r w:rsidR="005510C2">
        <w:t>’</w:t>
      </w:r>
      <w:r>
        <w:t>analyse des processus opérationne</w:t>
      </w:r>
      <w:r w:rsidR="00F730A9">
        <w:t>ls.  Il</w:t>
      </w:r>
      <w:r>
        <w:t>s incluent également le développement et le déploiement continus de systèmes opérationnels sur mesure destinés à la gestion des droits de propriété intellectuelle et à l</w:t>
      </w:r>
      <w:r w:rsidR="005510C2">
        <w:t>’</w:t>
      </w:r>
      <w:r>
        <w:t>échange des documents de priorité et des résultats des recherches et des examens;  l</w:t>
      </w:r>
      <w:r w:rsidR="005510C2">
        <w:t>’</w:t>
      </w:r>
      <w:r>
        <w:t>établissement de bases de données sur la propriété intellectuelle;  l</w:t>
      </w:r>
      <w:r w:rsidR="005510C2">
        <w:t>’</w:t>
      </w:r>
      <w:r>
        <w:t>aide à la numérisation des dossiers de propriété intellectuelle et à la préparation des données pour la publication en ligne et l</w:t>
      </w:r>
      <w:r w:rsidR="005510C2">
        <w:t>’</w:t>
      </w:r>
      <w:r>
        <w:t>échange électronique;  la formation et le transfert de connaissances à l</w:t>
      </w:r>
      <w:r w:rsidR="005510C2">
        <w:t>’</w:t>
      </w:r>
      <w:r>
        <w:t xml:space="preserve">intention du personnel des institutions de propriété intellectuelle; </w:t>
      </w:r>
      <w:r w:rsidR="002B3DD8">
        <w:t xml:space="preserve"> </w:t>
      </w:r>
      <w:r>
        <w:t>ainsi que l</w:t>
      </w:r>
      <w:r w:rsidR="005510C2">
        <w:t>’</w:t>
      </w:r>
      <w:r>
        <w:t>appui aux systèmes fournis par l</w:t>
      </w:r>
      <w:r w:rsidR="005510C2">
        <w:t>’</w:t>
      </w:r>
      <w:r>
        <w:t>O</w:t>
      </w:r>
      <w:r w:rsidR="00F730A9">
        <w:t>MPI.  Le</w:t>
      </w:r>
      <w:r>
        <w:t xml:space="preserve"> cas échéant, l</w:t>
      </w:r>
      <w:r w:rsidR="005510C2">
        <w:t>’</w:t>
      </w:r>
      <w:r>
        <w:t>assistance porte sur les normes de l</w:t>
      </w:r>
      <w:r w:rsidR="005510C2">
        <w:t>’</w:t>
      </w:r>
      <w:r>
        <w:t>OMPI sur les données et l</w:t>
      </w:r>
      <w:r w:rsidR="005510C2">
        <w:t>’</w:t>
      </w:r>
      <w:r>
        <w:t>information en matière de propriété intellectuel</w:t>
      </w:r>
      <w:r w:rsidR="00F730A9">
        <w:t>le.  Le</w:t>
      </w:r>
      <w:r>
        <w:t>s formations sur le terrain et virtuelles, le parrainage et les ateliers régionaux représentent une part significative des activités et jouent un rôle essentiel dans l</w:t>
      </w:r>
      <w:r w:rsidR="005510C2">
        <w:t>’</w:t>
      </w:r>
      <w:r>
        <w:t>obtention des résultats souhaités.</w:t>
      </w:r>
    </w:p>
    <w:p w14:paraId="3FDE5F8A" w14:textId="54669AD4" w:rsidR="00992031" w:rsidRPr="007D3DD2" w:rsidRDefault="00992031" w:rsidP="005510C2">
      <w:pPr>
        <w:pStyle w:val="ONUMFS"/>
        <w:rPr>
          <w:color w:val="000000" w:themeColor="text1"/>
        </w:rPr>
      </w:pPr>
      <w:r>
        <w:t>À la fin de 2026, 98 offices de pays en développement de toutes les régions utilisaient activement les Solutions opérationnelles de l</w:t>
      </w:r>
      <w:r w:rsidR="005510C2">
        <w:t>’</w:t>
      </w:r>
      <w:r>
        <w:t>OMPI à l</w:t>
      </w:r>
      <w:r w:rsidR="005510C2">
        <w:t>’</w:t>
      </w:r>
      <w:r>
        <w:t>intention des offices de propriété intellectuelle pour l</w:t>
      </w:r>
      <w:r w:rsidR="005510C2">
        <w:t>’</w:t>
      </w:r>
      <w:r>
        <w:t>administration de leurs droits de propriété intellectuelle, dans lesquelles les normes de l</w:t>
      </w:r>
      <w:r w:rsidR="005510C2">
        <w:t>’</w:t>
      </w:r>
      <w:r>
        <w:t>OMPI sont intégré</w:t>
      </w:r>
      <w:r w:rsidR="00F730A9">
        <w:t>es.  So</w:t>
      </w:r>
      <w:r>
        <w:t>ixante</w:t>
      </w:r>
      <w:r w:rsidR="00F730A9">
        <w:noBreakHyphen/>
      </w:r>
      <w:r>
        <w:t>huit offices participaient à l</w:t>
      </w:r>
      <w:r w:rsidR="005510C2">
        <w:t>’</w:t>
      </w:r>
      <w:r>
        <w:t>une des plateformes d</w:t>
      </w:r>
      <w:r w:rsidR="005510C2">
        <w:t>’</w:t>
      </w:r>
      <w:r>
        <w:t>échange en ligne proposées par l</w:t>
      </w:r>
      <w:r w:rsidR="005510C2">
        <w:t>’</w:t>
      </w:r>
      <w:r>
        <w:t>OMPI (système d</w:t>
      </w:r>
      <w:r w:rsidR="005510C2">
        <w:t>’</w:t>
      </w:r>
      <w:r>
        <w:t>accès centralisé aux résultats de la recherche et de l</w:t>
      </w:r>
      <w:r w:rsidR="005510C2">
        <w:t>’</w:t>
      </w:r>
      <w:r>
        <w:t>examen et service d</w:t>
      </w:r>
      <w:r w:rsidR="005510C2">
        <w:t>’</w:t>
      </w:r>
      <w:r>
        <w:t>accès numérique aux documents de priori</w:t>
      </w:r>
      <w:r w:rsidR="00F730A9">
        <w:t>té).  Un</w:t>
      </w:r>
      <w:r>
        <w:t xml:space="preserve"> élément essentiel du programme consiste à améliorer le niveau de service des offices en les aidant à accéder à davantage de services en ligne pour le dépôt des demandes et la diffusion de l</w:t>
      </w:r>
      <w:r w:rsidR="005510C2">
        <w:t>’</w:t>
      </w:r>
      <w:r>
        <w:t>information en matière de propriété intellectuel</w:t>
      </w:r>
      <w:r w:rsidR="00F730A9">
        <w:t>le.  On</w:t>
      </w:r>
      <w:r>
        <w:t xml:space="preserve"> trouvera davantage d</w:t>
      </w:r>
      <w:r w:rsidR="005510C2">
        <w:t>’</w:t>
      </w:r>
      <w:r>
        <w:t>informations sur le site</w:t>
      </w:r>
      <w:r w:rsidR="002B3DD8">
        <w:t> </w:t>
      </w:r>
      <w:r>
        <w:t>Web du programme d</w:t>
      </w:r>
      <w:r w:rsidR="005510C2">
        <w:t>’</w:t>
      </w:r>
      <w:r>
        <w:t>assistance technique de l</w:t>
      </w:r>
      <w:r w:rsidR="005510C2">
        <w:t>’</w:t>
      </w:r>
      <w:r>
        <w:t>OMPI à l</w:t>
      </w:r>
      <w:r w:rsidR="005510C2">
        <w:t>’</w:t>
      </w:r>
      <w:r>
        <w:t>intention des offices à l</w:t>
      </w:r>
      <w:r w:rsidR="005510C2">
        <w:t>’</w:t>
      </w:r>
      <w:r>
        <w:t xml:space="preserve">adresse </w:t>
      </w:r>
      <w:hyperlink r:id="rId15">
        <w:r>
          <w:rPr>
            <w:rStyle w:val="Hyperlink"/>
          </w:rPr>
          <w:t>https://www.wipo.int/global_ip/fr/activities/ip_office_business_solutions/</w:t>
        </w:r>
      </w:hyperlink>
      <w:r>
        <w:t>.</w:t>
      </w:r>
    </w:p>
    <w:p w14:paraId="51040CD8" w14:textId="1F21E22F" w:rsidR="00992031" w:rsidRPr="007D3DD2" w:rsidRDefault="00992031" w:rsidP="00726E78">
      <w:pPr>
        <w:pStyle w:val="ONUMFS"/>
        <w:keepLines/>
        <w:rPr>
          <w:color w:val="000000"/>
          <w:szCs w:val="22"/>
        </w:rPr>
      </w:pPr>
      <w:r>
        <w:t>Dans le cadre du programme de l</w:t>
      </w:r>
      <w:r w:rsidR="005510C2">
        <w:t>’</w:t>
      </w:r>
      <w:r>
        <w:t>OMPI sur les bases de données mondiales, le Bureau international a continué de bénéficier de l</w:t>
      </w:r>
      <w:r w:rsidR="005510C2">
        <w:t>’</w:t>
      </w:r>
      <w:r>
        <w:t>appui du Fonds fiduciaire du Japon pour aider les États membres à créer du texte intégral d</w:t>
      </w:r>
      <w:r w:rsidR="005510C2">
        <w:t>’</w:t>
      </w:r>
      <w:r>
        <w:t>excellente qualité pour leurs publications de breve</w:t>
      </w:r>
      <w:r w:rsidR="00F730A9">
        <w:t>ts.  Po</w:t>
      </w:r>
      <w:r>
        <w:t>ur l</w:t>
      </w:r>
      <w:r w:rsidR="005510C2">
        <w:t>’</w:t>
      </w:r>
      <w:r>
        <w:t>exercice budgétaire 2025 du Japon, 18 879 documents de brevet (pour un total de</w:t>
      </w:r>
      <w:r w:rsidR="008413B8">
        <w:t> </w:t>
      </w:r>
      <w:r>
        <w:t>1 409 126 pages de description et de revendications) provenant de l</w:t>
      </w:r>
      <w:r w:rsidR="005510C2">
        <w:t>’</w:t>
      </w:r>
      <w:r>
        <w:t>Institut mexicain de la propriété industrielle ont fait l</w:t>
      </w:r>
      <w:r w:rsidR="005510C2">
        <w:t>’</w:t>
      </w:r>
      <w:r>
        <w:t>objet d</w:t>
      </w:r>
      <w:r w:rsidR="005510C2">
        <w:t>’</w:t>
      </w:r>
      <w:r>
        <w:t>une reconnaissance optique de caractères et ont été relus et convertis en langage XML avant d</w:t>
      </w:r>
      <w:r w:rsidR="005510C2">
        <w:t>’</w:t>
      </w:r>
      <w:r>
        <w:t>être intégrés dans PATENTSCOPE.</w:t>
      </w:r>
    </w:p>
    <w:p w14:paraId="236DA0E6" w14:textId="3931199F" w:rsidR="00992031" w:rsidRPr="007D3DD2" w:rsidRDefault="00992031" w:rsidP="00F730A9">
      <w:pPr>
        <w:pStyle w:val="Heading2"/>
      </w:pPr>
      <w:r>
        <w:t>Renforcement des capacités des agents des offices de propriété industrielle et des examinateurs aux fins de l</w:t>
      </w:r>
      <w:r w:rsidR="005510C2">
        <w:t>’</w:t>
      </w:r>
      <w:r>
        <w:t>utilisation des instruments internationaux</w:t>
      </w:r>
    </w:p>
    <w:p w14:paraId="3FC256A5" w14:textId="0DC14BF8" w:rsidR="00992031" w:rsidRPr="007D3DD2" w:rsidRDefault="00992031" w:rsidP="005510C2">
      <w:pPr>
        <w:pStyle w:val="ONUMFS"/>
      </w:pPr>
      <w:r>
        <w:t>Pour faire suite aux demandes, le Bureau international a organisé plusieurs activités de formation sur l</w:t>
      </w:r>
      <w:r w:rsidR="005510C2">
        <w:t>’</w:t>
      </w:r>
      <w:r>
        <w:t xml:space="preserve">utilisation de la Classification internationale des brevets (CIB) </w:t>
      </w:r>
      <w:r w:rsidR="005510C2">
        <w:t>en 2025</w:t>
      </w:r>
      <w:r>
        <w:t xml:space="preserve">. </w:t>
      </w:r>
      <w:r w:rsidR="002B3DD8">
        <w:t xml:space="preserve"> </w:t>
      </w:r>
      <w:r>
        <w:t>Parmi celles</w:t>
      </w:r>
      <w:r w:rsidR="00F730A9">
        <w:noBreakHyphen/>
      </w:r>
      <w:r>
        <w:t>ci figuraient un séminaire de formation destiné aux examinateurs de brevets, organisé conjointement par l</w:t>
      </w:r>
      <w:r w:rsidR="005510C2">
        <w:t>’</w:t>
      </w:r>
      <w:r>
        <w:t>Office de la propriété intellectuelle du Brunei (</w:t>
      </w:r>
      <w:proofErr w:type="spellStart"/>
      <w:r>
        <w:t>BruIPO</w:t>
      </w:r>
      <w:proofErr w:type="spellEnd"/>
      <w:r>
        <w:t>) et l</w:t>
      </w:r>
      <w:r w:rsidR="005510C2">
        <w:t>’</w:t>
      </w:r>
      <w:r>
        <w:t>OMPI, les</w:t>
      </w:r>
      <w:r w:rsidR="00F730A9">
        <w:t> </w:t>
      </w:r>
      <w:r>
        <w:t>4</w:t>
      </w:r>
      <w:r w:rsidR="00F730A9">
        <w:t> </w:t>
      </w:r>
      <w:r>
        <w:t>et</w:t>
      </w:r>
      <w:r w:rsidR="00F730A9">
        <w:t> </w:t>
      </w:r>
      <w:r>
        <w:t>5 mars;  un atelier consacré au Réseau des centres d</w:t>
      </w:r>
      <w:r w:rsidR="005510C2">
        <w:t>’</w:t>
      </w:r>
      <w:r>
        <w:t>appui à la technologie et à l</w:t>
      </w:r>
      <w:r w:rsidR="005510C2">
        <w:t>’</w:t>
      </w:r>
      <w:r>
        <w:t>innovation</w:t>
      </w:r>
      <w:r w:rsidR="00F730A9">
        <w:t> </w:t>
      </w:r>
      <w:r>
        <w:t>(CATI) au Botswana, qui s</w:t>
      </w:r>
      <w:r w:rsidR="005510C2">
        <w:t>’</w:t>
      </w:r>
      <w:r>
        <w:t>est tenu du 11 au 14 mars et qui comprenait une formation à l</w:t>
      </w:r>
      <w:r w:rsidR="005510C2">
        <w:t>’</w:t>
      </w:r>
      <w:r>
        <w:t>utilisation de</w:t>
      </w:r>
      <w:r w:rsidR="005510C2">
        <w:t xml:space="preserve"> la CIB</w:t>
      </w:r>
      <w:r>
        <w:t>;  ainsi que le programme de formation de niveau avancé de l</w:t>
      </w:r>
      <w:r w:rsidR="005510C2">
        <w:t>’</w:t>
      </w:r>
      <w:r>
        <w:t>OMPI et de l</w:t>
      </w:r>
      <w:r w:rsidR="005510C2">
        <w:t>’</w:t>
      </w:r>
      <w:r>
        <w:t>Institut national de gestion de la propriété intellectuelle Rajiv Gandhi à l</w:t>
      </w:r>
      <w:r w:rsidR="005510C2">
        <w:t>’</w:t>
      </w:r>
      <w:r>
        <w:t>intention des examinateurs de brevets, organisé conjointement les 5 et 6 mai avec l</w:t>
      </w:r>
      <w:r w:rsidR="005510C2">
        <w:t>’</w:t>
      </w:r>
      <w:r>
        <w:t>Institut national de gestion de la propriété intellectuelle Rajiv Gandhi et le Bureau du contrôleur général des brevets, des dessins et modèles et des marques de l</w:t>
      </w:r>
      <w:r w:rsidR="005510C2">
        <w:t>’</w:t>
      </w:r>
      <w:r>
        <w:t>In</w:t>
      </w:r>
      <w:r w:rsidR="00F730A9">
        <w:t>de.  Pa</w:t>
      </w:r>
      <w:r>
        <w:t>rmi les autres activités figuraient un atelier consacré aux outils de recherche en matière de brevets, de marques et de dessins et modèles, organisé le 27 août</w:t>
      </w:r>
      <w:r w:rsidR="005510C2">
        <w:t xml:space="preserve"> au CAT</w:t>
      </w:r>
      <w:r>
        <w:t>I du Lesotho, qui a également porté sur l</w:t>
      </w:r>
      <w:r w:rsidR="005510C2">
        <w:t>’</w:t>
      </w:r>
      <w:r>
        <w:t>utilisation de</w:t>
      </w:r>
      <w:r w:rsidR="005510C2">
        <w:t xml:space="preserve"> la CIB</w:t>
      </w:r>
      <w:r>
        <w:t>, ainsi qu</w:t>
      </w:r>
      <w:r w:rsidR="005510C2">
        <w:t>’</w:t>
      </w:r>
      <w:r>
        <w:t>un atelier similaire à Monrovia (Libéria), organisé conjointement par l</w:t>
      </w:r>
      <w:r w:rsidR="005510C2">
        <w:t>’</w:t>
      </w:r>
      <w:r>
        <w:t>OMPI, le Ministère du commerce et de l</w:t>
      </w:r>
      <w:r w:rsidR="005510C2">
        <w:t>’</w:t>
      </w:r>
      <w:r>
        <w:t>industrie et l</w:t>
      </w:r>
      <w:r w:rsidR="005510C2">
        <w:t>’</w:t>
      </w:r>
      <w:r>
        <w:t>Office de la propriété industrielle du Libéria les</w:t>
      </w:r>
      <w:r w:rsidR="00F730A9">
        <w:t> </w:t>
      </w:r>
      <w:r>
        <w:t>15</w:t>
      </w:r>
      <w:r w:rsidR="00F730A9">
        <w:t> </w:t>
      </w:r>
      <w:r>
        <w:t>et</w:t>
      </w:r>
      <w:r w:rsidR="00F730A9">
        <w:t> </w:t>
      </w:r>
      <w:r>
        <w:t>16 octob</w:t>
      </w:r>
      <w:r w:rsidR="00F730A9">
        <w:t>re.  Ce</w:t>
      </w:r>
      <w:r>
        <w:t>la a également été l</w:t>
      </w:r>
      <w:r w:rsidR="005510C2">
        <w:t>’</w:t>
      </w:r>
      <w:r>
        <w:t>occasion d</w:t>
      </w:r>
      <w:r w:rsidR="005510C2">
        <w:t>’</w:t>
      </w:r>
      <w:r>
        <w:t>expliquer la pertinence des normes de l</w:t>
      </w:r>
      <w:r w:rsidR="005510C2">
        <w:t>’</w:t>
      </w:r>
      <w:r>
        <w:t>OMPI.</w:t>
      </w:r>
    </w:p>
    <w:p w14:paraId="1D82CF89" w14:textId="56B3BEF8" w:rsidR="00992031" w:rsidRPr="007D3DD2" w:rsidRDefault="00992031" w:rsidP="00F730A9">
      <w:pPr>
        <w:pStyle w:val="Heading2"/>
      </w:pPr>
      <w:r>
        <w:t>Faire mieux connaître les normes de l</w:t>
      </w:r>
      <w:r w:rsidR="005510C2">
        <w:t>’</w:t>
      </w:r>
      <w:r>
        <w:t>OMPI</w:t>
      </w:r>
    </w:p>
    <w:p w14:paraId="3E607B35" w14:textId="756D54EB" w:rsidR="00992031" w:rsidRPr="007D3DD2" w:rsidRDefault="00992031" w:rsidP="005510C2">
      <w:pPr>
        <w:pStyle w:val="ONUMFS"/>
        <w:rPr>
          <w:szCs w:val="28"/>
        </w:rPr>
      </w:pPr>
      <w:r>
        <w:t>Afin de faire mieux connaître les normes de l</w:t>
      </w:r>
      <w:r w:rsidR="005510C2">
        <w:t>’</w:t>
      </w:r>
      <w:r>
        <w:t>OMPI dans les pays en développement et de faciliter la participation physique d</w:t>
      </w:r>
      <w:r w:rsidR="005510C2">
        <w:t>’</w:t>
      </w:r>
      <w:r>
        <w:t>un plus grand nombre de ces pays à l</w:t>
      </w:r>
      <w:r w:rsidR="005510C2">
        <w:t>’</w:t>
      </w:r>
      <w:r>
        <w:t>élaboration d</w:t>
      </w:r>
      <w:r w:rsidR="005510C2">
        <w:t>’</w:t>
      </w:r>
      <w:r>
        <w:t>une ou plusieurs normes de l</w:t>
      </w:r>
      <w:r w:rsidR="005510C2">
        <w:t>’</w:t>
      </w:r>
      <w:r>
        <w:t xml:space="preserve">OMPI nouvelles ou révisées, </w:t>
      </w:r>
      <w:proofErr w:type="gramStart"/>
      <w:r>
        <w:t>suite à</w:t>
      </w:r>
      <w:proofErr w:type="gramEnd"/>
      <w:r>
        <w:t xml:space="preserve"> la décision prise par l</w:t>
      </w:r>
      <w:r w:rsidR="005510C2">
        <w:t>’</w:t>
      </w:r>
      <w:r>
        <w:t>Assemblée générale en octobre 2011, la participation à la treiz</w:t>
      </w:r>
      <w:r w:rsidR="005510C2">
        <w:t>ième session</w:t>
      </w:r>
      <w:r>
        <w:t xml:space="preserve"> du CWS de 10 pays en développement ou de la catégorie des pays les moins avancés (PMA) a été financée par le Bureau international.</w:t>
      </w:r>
    </w:p>
    <w:p w14:paraId="705B2E9B" w14:textId="77777777" w:rsidR="005510C2" w:rsidRDefault="00992031" w:rsidP="00F730A9">
      <w:pPr>
        <w:pStyle w:val="Heading2"/>
      </w:pPr>
      <w:r>
        <w:t>Échange de données de propriété intellectuelle</w:t>
      </w:r>
    </w:p>
    <w:p w14:paraId="4A53AD54" w14:textId="15F53893" w:rsidR="005510C2" w:rsidRDefault="00992031" w:rsidP="005510C2">
      <w:pPr>
        <w:pStyle w:val="ONUMFS"/>
        <w:rPr>
          <w:color w:val="000000" w:themeColor="text1"/>
        </w:rPr>
      </w:pPr>
      <w:r>
        <w:rPr>
          <w:color w:val="000000" w:themeColor="text1"/>
        </w:rPr>
        <w:t>Le Bureau international a collaboré avec de nombreux offices, notamment dans certains groupes de pays en développement, pour promouvoir l</w:t>
      </w:r>
      <w:r w:rsidR="005510C2">
        <w:rPr>
          <w:color w:val="000000" w:themeColor="text1"/>
        </w:rPr>
        <w:t>’</w:t>
      </w:r>
      <w:r>
        <w:rPr>
          <w:color w:val="000000" w:themeColor="text1"/>
        </w:rPr>
        <w:t>échange de données en matière de propriété intellectuelle en vue d</w:t>
      </w:r>
      <w:r w:rsidR="005510C2">
        <w:rPr>
          <w:color w:val="000000" w:themeColor="text1"/>
        </w:rPr>
        <w:t>’</w:t>
      </w:r>
      <w:r>
        <w:rPr>
          <w:color w:val="000000" w:themeColor="text1"/>
        </w:rPr>
        <w:t>améliorer l</w:t>
      </w:r>
      <w:r w:rsidR="005510C2">
        <w:rPr>
          <w:color w:val="000000" w:themeColor="text1"/>
        </w:rPr>
        <w:t>’</w:t>
      </w:r>
      <w:r>
        <w:rPr>
          <w:color w:val="000000" w:themeColor="text1"/>
        </w:rPr>
        <w:t>accès des utilisateurs de ces pays à l</w:t>
      </w:r>
      <w:r w:rsidR="005510C2">
        <w:rPr>
          <w:color w:val="000000" w:themeColor="text1"/>
        </w:rPr>
        <w:t>’</w:t>
      </w:r>
      <w:r>
        <w:rPr>
          <w:color w:val="000000" w:themeColor="text1"/>
        </w:rPr>
        <w:t>information en matière de propriété intellectuelle de ces offic</w:t>
      </w:r>
      <w:r w:rsidR="00F730A9">
        <w:rPr>
          <w:color w:val="000000" w:themeColor="text1"/>
        </w:rPr>
        <w:t>es.  Ce</w:t>
      </w:r>
      <w:r>
        <w:rPr>
          <w:color w:val="000000" w:themeColor="text1"/>
        </w:rPr>
        <w:t>t échange a été organisé, le cas échéant, conformément aux normes applicables de l</w:t>
      </w:r>
      <w:r w:rsidR="005510C2">
        <w:rPr>
          <w:color w:val="000000" w:themeColor="text1"/>
        </w:rPr>
        <w:t>’</w:t>
      </w:r>
      <w:r>
        <w:rPr>
          <w:color w:val="000000" w:themeColor="text1"/>
        </w:rPr>
        <w:t>O</w:t>
      </w:r>
      <w:r w:rsidR="00F730A9">
        <w:rPr>
          <w:color w:val="000000" w:themeColor="text1"/>
        </w:rPr>
        <w:t>MPI.  En</w:t>
      </w:r>
      <w:r w:rsidR="005510C2">
        <w:rPr>
          <w:color w:val="000000" w:themeColor="text1"/>
        </w:rPr>
        <w:t> 2025</w:t>
      </w:r>
      <w:r>
        <w:rPr>
          <w:color w:val="000000" w:themeColor="text1"/>
        </w:rPr>
        <w:t>, les collections de marques de la Croatie, de la Grenade, de la Norvège et de Sri</w:t>
      </w:r>
      <w:r w:rsidR="002B3DD8">
        <w:rPr>
          <w:color w:val="000000" w:themeColor="text1"/>
        </w:rPr>
        <w:t> </w:t>
      </w:r>
      <w:r>
        <w:rPr>
          <w:color w:val="000000" w:themeColor="text1"/>
        </w:rPr>
        <w:t>Lanka ont été ajoutées à la Base de données mondiale sur les marques, tandis que la collection de dessins et modèles de la Croatie a été intégrée à la Base de données mondiale sur les dessins et modèl</w:t>
      </w:r>
      <w:r w:rsidR="00F730A9">
        <w:rPr>
          <w:color w:val="000000" w:themeColor="text1"/>
        </w:rPr>
        <w:t>es.  La</w:t>
      </w:r>
      <w:r>
        <w:rPr>
          <w:color w:val="000000" w:themeColor="text1"/>
        </w:rPr>
        <w:t xml:space="preserve"> même année, les collections de brevets de Saint</w:t>
      </w:r>
      <w:r w:rsidR="00F730A9">
        <w:rPr>
          <w:color w:val="000000" w:themeColor="text1"/>
        </w:rPr>
        <w:noBreakHyphen/>
      </w:r>
      <w:r>
        <w:rPr>
          <w:color w:val="000000" w:themeColor="text1"/>
        </w:rPr>
        <w:t>Marin et de la Croatie ont été intégrées à PATENTSCOPE, tandis que celles de l</w:t>
      </w:r>
      <w:r w:rsidR="005510C2">
        <w:rPr>
          <w:color w:val="000000" w:themeColor="text1"/>
        </w:rPr>
        <w:t>’</w:t>
      </w:r>
      <w:r>
        <w:rPr>
          <w:color w:val="000000" w:themeColor="text1"/>
        </w:rPr>
        <w:t>Argentine, du Mexique et de la Suisse ont été enrichies de données en texte intégral.</w:t>
      </w:r>
    </w:p>
    <w:p w14:paraId="70AFCDE8" w14:textId="7DE80F8B" w:rsidR="00992031" w:rsidRPr="00F730A9" w:rsidRDefault="00992031" w:rsidP="00726E78">
      <w:pPr>
        <w:pStyle w:val="ONUMFS"/>
        <w:keepLines/>
        <w:ind w:left="5533"/>
        <w:rPr>
          <w:i/>
        </w:rPr>
      </w:pPr>
      <w:r w:rsidRPr="00F730A9">
        <w:rPr>
          <w:i/>
        </w:rPr>
        <w:t>Le CWS est invité à prendre note des activités menées par le Bureau international en 2025 en ce qui concerne la prestation de services consultatifs et d</w:t>
      </w:r>
      <w:r w:rsidR="005510C2" w:rsidRPr="00F730A9">
        <w:rPr>
          <w:i/>
        </w:rPr>
        <w:t>’</w:t>
      </w:r>
      <w:r w:rsidRPr="00F730A9">
        <w:rPr>
          <w:i/>
        </w:rPr>
        <w:t>assistance technique aux fins du renforcement des capacités des offices portant sur la diffusion de l</w:t>
      </w:r>
      <w:r w:rsidR="005510C2" w:rsidRPr="00F730A9">
        <w:rPr>
          <w:i/>
        </w:rPr>
        <w:t>’</w:t>
      </w:r>
      <w:r w:rsidRPr="00F730A9">
        <w:rPr>
          <w:i/>
        </w:rPr>
        <w:t>information en matière de normes de propriété intellectuel</w:t>
      </w:r>
      <w:r w:rsidR="00F730A9" w:rsidRPr="00F730A9">
        <w:rPr>
          <w:i/>
        </w:rPr>
        <w:t>le.  Le</w:t>
      </w:r>
      <w:r w:rsidRPr="00F730A9">
        <w:rPr>
          <w:i/>
        </w:rPr>
        <w:t xml:space="preserve"> présent document servira de base au rapport qui sera présenté à l</w:t>
      </w:r>
      <w:r w:rsidR="005510C2" w:rsidRPr="00F730A9">
        <w:rPr>
          <w:i/>
        </w:rPr>
        <w:t>’</w:t>
      </w:r>
      <w:r w:rsidRPr="00F730A9">
        <w:rPr>
          <w:i/>
        </w:rPr>
        <w:t>Assemblée générale de l</w:t>
      </w:r>
      <w:r w:rsidR="005510C2" w:rsidRPr="00F730A9">
        <w:rPr>
          <w:i/>
        </w:rPr>
        <w:t>’</w:t>
      </w:r>
      <w:r w:rsidRPr="00F730A9">
        <w:rPr>
          <w:i/>
        </w:rPr>
        <w:t>OMPI à sa session de 2027, conformément à la demande formulée par cette dernière à sa quarant</w:t>
      </w:r>
      <w:r w:rsidR="005510C2" w:rsidRPr="00F730A9">
        <w:rPr>
          <w:i/>
        </w:rPr>
        <w:t>ième session</w:t>
      </w:r>
      <w:r w:rsidRPr="00F730A9">
        <w:rPr>
          <w:i/>
        </w:rPr>
        <w:t xml:space="preserve"> tenue en octobre 2011 (voir le paragraphe 190 du </w:t>
      </w:r>
      <w:r w:rsidR="005510C2" w:rsidRPr="00F730A9">
        <w:rPr>
          <w:i/>
        </w:rPr>
        <w:t>document</w:t>
      </w:r>
      <w:r w:rsidR="00F730A9" w:rsidRPr="00F730A9">
        <w:rPr>
          <w:i/>
        </w:rPr>
        <w:t> </w:t>
      </w:r>
      <w:r w:rsidR="005510C2" w:rsidRPr="00F730A9">
        <w:rPr>
          <w:i/>
        </w:rPr>
        <w:t>WO</w:t>
      </w:r>
      <w:r w:rsidRPr="00F730A9">
        <w:rPr>
          <w:i/>
        </w:rPr>
        <w:t>/GA/40/19).</w:t>
      </w:r>
    </w:p>
    <w:p w14:paraId="61920838" w14:textId="0782D4B6" w:rsidR="0099108F" w:rsidRPr="005510C2" w:rsidRDefault="00992031" w:rsidP="005510C2">
      <w:pPr>
        <w:pStyle w:val="Endofdocument-Annex"/>
      </w:pPr>
      <w:r w:rsidRPr="005510C2">
        <w:t>[Fin du document]</w:t>
      </w:r>
      <w:bookmarkEnd w:id="4"/>
    </w:p>
    <w:sectPr w:rsidR="0099108F" w:rsidRPr="005510C2" w:rsidSect="005510C2">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D8971" w14:textId="77777777" w:rsidR="00786925" w:rsidRPr="00290DCD" w:rsidRDefault="00786925">
      <w:r w:rsidRPr="00290DCD">
        <w:separator/>
      </w:r>
    </w:p>
  </w:endnote>
  <w:endnote w:type="continuationSeparator" w:id="0">
    <w:p w14:paraId="153E2100" w14:textId="77777777" w:rsidR="00786925" w:rsidRPr="00290DCD" w:rsidRDefault="00786925" w:rsidP="00D45252">
      <w:pPr>
        <w:rPr>
          <w:sz w:val="17"/>
          <w:szCs w:val="17"/>
        </w:rPr>
      </w:pPr>
      <w:r w:rsidRPr="00290DCD">
        <w:rPr>
          <w:sz w:val="17"/>
          <w:szCs w:val="17"/>
        </w:rPr>
        <w:separator/>
      </w:r>
    </w:p>
    <w:p w14:paraId="0B84AD42" w14:textId="77777777" w:rsidR="00786925" w:rsidRPr="00290DCD" w:rsidRDefault="00786925" w:rsidP="00D45252">
      <w:pPr>
        <w:spacing w:after="60"/>
        <w:rPr>
          <w:sz w:val="17"/>
          <w:szCs w:val="17"/>
        </w:rPr>
      </w:pPr>
      <w:r w:rsidRPr="00290DCD">
        <w:rPr>
          <w:sz w:val="17"/>
          <w:szCs w:val="17"/>
        </w:rPr>
        <w:t>[Suite de la note de la page précédente]</w:t>
      </w:r>
    </w:p>
  </w:endnote>
  <w:endnote w:type="continuationNotice" w:id="1">
    <w:p w14:paraId="5E7F655D" w14:textId="77777777" w:rsidR="00786925" w:rsidRPr="00290DCD" w:rsidRDefault="00786925" w:rsidP="009D30E6">
      <w:pPr>
        <w:spacing w:before="60"/>
        <w:jc w:val="right"/>
        <w:rPr>
          <w:sz w:val="17"/>
          <w:szCs w:val="17"/>
        </w:rPr>
      </w:pPr>
      <w:r w:rsidRPr="00290DCD">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71733" w14:textId="77777777" w:rsidR="00786925" w:rsidRPr="00290DCD" w:rsidRDefault="00786925">
      <w:r w:rsidRPr="00290DCD">
        <w:separator/>
      </w:r>
    </w:p>
  </w:footnote>
  <w:footnote w:type="continuationSeparator" w:id="0">
    <w:p w14:paraId="53F6C12A" w14:textId="77777777" w:rsidR="00786925" w:rsidRPr="00290DCD" w:rsidRDefault="00786925" w:rsidP="007461F1">
      <w:r w:rsidRPr="00290DCD">
        <w:separator/>
      </w:r>
    </w:p>
    <w:p w14:paraId="3C5D4BEA" w14:textId="77777777" w:rsidR="00786925" w:rsidRPr="00290DCD" w:rsidRDefault="00786925" w:rsidP="007461F1">
      <w:pPr>
        <w:spacing w:after="60"/>
        <w:rPr>
          <w:sz w:val="17"/>
          <w:szCs w:val="17"/>
        </w:rPr>
      </w:pPr>
      <w:r w:rsidRPr="00290DCD">
        <w:rPr>
          <w:sz w:val="17"/>
          <w:szCs w:val="17"/>
        </w:rPr>
        <w:t>[Suite de la note de la page précédente]</w:t>
      </w:r>
    </w:p>
  </w:footnote>
  <w:footnote w:type="continuationNotice" w:id="1">
    <w:p w14:paraId="5089172E" w14:textId="77777777" w:rsidR="00786925" w:rsidRPr="00290DCD" w:rsidRDefault="00786925" w:rsidP="007461F1">
      <w:pPr>
        <w:spacing w:before="60"/>
        <w:jc w:val="right"/>
        <w:rPr>
          <w:sz w:val="17"/>
          <w:szCs w:val="17"/>
        </w:rPr>
      </w:pPr>
      <w:r w:rsidRPr="00290DCD">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2A295" w14:textId="3647E0B3" w:rsidR="00F16975" w:rsidRPr="00290DCD" w:rsidRDefault="00992031" w:rsidP="00477D6B">
    <w:pPr>
      <w:jc w:val="right"/>
    </w:pPr>
    <w:bookmarkStart w:id="5" w:name="Code2"/>
    <w:bookmarkEnd w:id="5"/>
    <w:r>
      <w:t>CWS/14/26</w:t>
    </w:r>
  </w:p>
  <w:p w14:paraId="2F6425B7" w14:textId="77777777" w:rsidR="004F4E31" w:rsidRPr="00290DCD" w:rsidRDefault="00F16975" w:rsidP="0099108F">
    <w:pPr>
      <w:spacing w:after="480"/>
      <w:jc w:val="right"/>
    </w:pPr>
    <w:r w:rsidRPr="00290DCD">
      <w:t>page</w:t>
    </w:r>
    <w:r w:rsidR="0099108F" w:rsidRPr="00290DCD">
      <w:t> </w:t>
    </w:r>
    <w:r w:rsidRPr="00290DCD">
      <w:fldChar w:fldCharType="begin"/>
    </w:r>
    <w:r w:rsidRPr="00290DCD">
      <w:instrText xml:space="preserve"> PAGE  \* MERGEFORMAT </w:instrText>
    </w:r>
    <w:r w:rsidRPr="00290DCD">
      <w:fldChar w:fldCharType="separate"/>
    </w:r>
    <w:r w:rsidR="004F4E31" w:rsidRPr="00290DCD">
      <w:t>2</w:t>
    </w:r>
    <w:r w:rsidRPr="00290DC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98548192">
    <w:abstractNumId w:val="2"/>
  </w:num>
  <w:num w:numId="2" w16cid:durableId="1870607316">
    <w:abstractNumId w:val="4"/>
  </w:num>
  <w:num w:numId="3" w16cid:durableId="844322595">
    <w:abstractNumId w:val="0"/>
  </w:num>
  <w:num w:numId="4" w16cid:durableId="1456631763">
    <w:abstractNumId w:val="5"/>
  </w:num>
  <w:num w:numId="5" w16cid:durableId="628778745">
    <w:abstractNumId w:val="1"/>
  </w:num>
  <w:num w:numId="6" w16cid:durableId="6704517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31"/>
    <w:rsid w:val="00011B7D"/>
    <w:rsid w:val="00075432"/>
    <w:rsid w:val="000F5E56"/>
    <w:rsid w:val="001352EC"/>
    <w:rsid w:val="001362EE"/>
    <w:rsid w:val="00157E3C"/>
    <w:rsid w:val="001832A6"/>
    <w:rsid w:val="00195C6E"/>
    <w:rsid w:val="00197881"/>
    <w:rsid w:val="001B266A"/>
    <w:rsid w:val="001B4D5E"/>
    <w:rsid w:val="001D3D56"/>
    <w:rsid w:val="00220C2C"/>
    <w:rsid w:val="00240654"/>
    <w:rsid w:val="002634C4"/>
    <w:rsid w:val="00290DCD"/>
    <w:rsid w:val="002B3DD8"/>
    <w:rsid w:val="002D4918"/>
    <w:rsid w:val="002E4D1A"/>
    <w:rsid w:val="002F16BC"/>
    <w:rsid w:val="002F4E68"/>
    <w:rsid w:val="00315FCA"/>
    <w:rsid w:val="003845C1"/>
    <w:rsid w:val="003A1BCD"/>
    <w:rsid w:val="004008A2"/>
    <w:rsid w:val="004025DF"/>
    <w:rsid w:val="00423E3E"/>
    <w:rsid w:val="00427AF4"/>
    <w:rsid w:val="004647DA"/>
    <w:rsid w:val="00477D6B"/>
    <w:rsid w:val="004D6471"/>
    <w:rsid w:val="004F4E31"/>
    <w:rsid w:val="00525B63"/>
    <w:rsid w:val="00547476"/>
    <w:rsid w:val="005510C2"/>
    <w:rsid w:val="00561DB8"/>
    <w:rsid w:val="00567A4C"/>
    <w:rsid w:val="00576171"/>
    <w:rsid w:val="005A3309"/>
    <w:rsid w:val="005E6516"/>
    <w:rsid w:val="00601DD1"/>
    <w:rsid w:val="00605827"/>
    <w:rsid w:val="00676936"/>
    <w:rsid w:val="006B0DB5"/>
    <w:rsid w:val="006E4243"/>
    <w:rsid w:val="00726E78"/>
    <w:rsid w:val="007461F1"/>
    <w:rsid w:val="00786925"/>
    <w:rsid w:val="007C04C6"/>
    <w:rsid w:val="007D6961"/>
    <w:rsid w:val="007F07CB"/>
    <w:rsid w:val="00810CEF"/>
    <w:rsid w:val="0081208D"/>
    <w:rsid w:val="008236DE"/>
    <w:rsid w:val="008413B8"/>
    <w:rsid w:val="00842A13"/>
    <w:rsid w:val="00890350"/>
    <w:rsid w:val="008B2CC1"/>
    <w:rsid w:val="008B7418"/>
    <w:rsid w:val="008E7930"/>
    <w:rsid w:val="0090731E"/>
    <w:rsid w:val="00917121"/>
    <w:rsid w:val="00966A22"/>
    <w:rsid w:val="00974CD6"/>
    <w:rsid w:val="0099108F"/>
    <w:rsid w:val="00992031"/>
    <w:rsid w:val="009D30E6"/>
    <w:rsid w:val="009E3F6F"/>
    <w:rsid w:val="009F499F"/>
    <w:rsid w:val="00A02BD3"/>
    <w:rsid w:val="00A65E7E"/>
    <w:rsid w:val="00A74B4F"/>
    <w:rsid w:val="00A971A6"/>
    <w:rsid w:val="00AA1F20"/>
    <w:rsid w:val="00AC0AE4"/>
    <w:rsid w:val="00AD61DB"/>
    <w:rsid w:val="00B6177F"/>
    <w:rsid w:val="00B66A77"/>
    <w:rsid w:val="00B87BCF"/>
    <w:rsid w:val="00BA62D4"/>
    <w:rsid w:val="00BC3FC3"/>
    <w:rsid w:val="00C153FD"/>
    <w:rsid w:val="00C40E15"/>
    <w:rsid w:val="00C664C8"/>
    <w:rsid w:val="00C76A79"/>
    <w:rsid w:val="00CA15F5"/>
    <w:rsid w:val="00CA72C1"/>
    <w:rsid w:val="00CF0460"/>
    <w:rsid w:val="00D45252"/>
    <w:rsid w:val="00D71B4D"/>
    <w:rsid w:val="00D75C1E"/>
    <w:rsid w:val="00D85193"/>
    <w:rsid w:val="00D871A7"/>
    <w:rsid w:val="00D93D55"/>
    <w:rsid w:val="00DB0349"/>
    <w:rsid w:val="00DD6A16"/>
    <w:rsid w:val="00E0091A"/>
    <w:rsid w:val="00E203AA"/>
    <w:rsid w:val="00E325B0"/>
    <w:rsid w:val="00E527A5"/>
    <w:rsid w:val="00E76456"/>
    <w:rsid w:val="00EE71CB"/>
    <w:rsid w:val="00F16975"/>
    <w:rsid w:val="00F66152"/>
    <w:rsid w:val="00F730A9"/>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74CC9"/>
  <w15:docId w15:val="{B321A308-6525-4724-AC7A-AF36E12E7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val="fr-FR"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link w:val="Heading2Char"/>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5510C2"/>
    <w:pPr>
      <w:spacing w:before="720"/>
      <w:ind w:left="5534"/>
    </w:p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customStyle="1" w:styleId="Heading2Char">
    <w:name w:val="Heading 2 Char"/>
    <w:basedOn w:val="DefaultParagraphFont"/>
    <w:link w:val="Heading2"/>
    <w:rsid w:val="00992031"/>
    <w:rPr>
      <w:rFonts w:ascii="Arial" w:eastAsia="SimSun" w:hAnsi="Arial" w:cs="Arial"/>
      <w:bCs/>
      <w:iCs/>
      <w:caps/>
      <w:sz w:val="22"/>
      <w:szCs w:val="28"/>
      <w:lang w:val="fr-FR" w:eastAsia="zh-CN"/>
    </w:rPr>
  </w:style>
  <w:style w:type="character" w:styleId="Hyperlink">
    <w:name w:val="Hyperlink"/>
    <w:uiPriority w:val="99"/>
    <w:rsid w:val="009920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fr/web/standards/ip-api-catalog/user-gui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po.int/tad/fr/index.js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wipo.int/global_ip/fr/activities/ip_office_business_solution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fr/web/standards/ip-api-catalog/ip-institution-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f7a99264-aac8-44dd-b14f-8017e78a225a"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697D0-A593-4FDF-A61B-77CBE97B2162}">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123F23E5-C7A2-4D5F-B04C-4C237C85F7EF}">
  <ds:schemaRefs>
    <ds:schemaRef ds:uri="http://schemas.microsoft.com/sharepoint/v3/contenttype/forms"/>
  </ds:schemaRefs>
</ds:datastoreItem>
</file>

<file path=customXml/itemProps3.xml><?xml version="1.0" encoding="utf-8"?>
<ds:datastoreItem xmlns:ds="http://schemas.openxmlformats.org/officeDocument/2006/customXml" ds:itemID="{64C99F68-DA74-4B40-81D5-DDA932F3BF6E}">
  <ds:schemaRefs>
    <ds:schemaRef ds:uri="Microsoft.SharePoint.Taxonomy.ContentTypeSync"/>
  </ds:schemaRefs>
</ds:datastoreItem>
</file>

<file path=customXml/itemProps4.xml><?xml version="1.0" encoding="utf-8"?>
<ds:datastoreItem xmlns:ds="http://schemas.openxmlformats.org/officeDocument/2006/customXml" ds:itemID="{AD9880CF-50E4-4991-AF55-8710D8125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CWS_14 (F).dotm</Template>
  <TotalTime>9</TotalTime>
  <Pages>5</Pages>
  <Words>2157</Words>
  <Characters>12295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CWS/14/26 (French) </vt:lpstr>
    </vt:vector>
  </TitlesOfParts>
  <Company>WIPO</Company>
  <LinksUpToDate>false</LinksUpToDate>
  <CharactersWithSpaces>14424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CWS/14/26 (French) </dc:title>
  <dc:subject>Rapport présenté par le Bureau international sur la prestation de services consultatifs et d’assistance technique aux fins du renforcement des capacités des offices de propriété industrielle en rapport avec le mandat du CWS </dc:subject>
  <dc:creator>WIPO</dc:creator>
  <cp:keywords>WIPO CWS quatorzième session, Rapport, prestation de services consultatifs et d’assistance technique </cp:keywords>
  <cp:lastModifiedBy>EMMETT Claudia</cp:lastModifiedBy>
  <cp:revision>5</cp:revision>
  <cp:lastPrinted>2011-05-19T12:37:00Z</cp:lastPrinted>
  <dcterms:created xsi:type="dcterms:W3CDTF">2026-10-16T11:51:00Z</dcterms:created>
  <dcterms:modified xsi:type="dcterms:W3CDTF">2026-10-21T12:32:00Z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2025-06-12T13:23:13Z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717d40da-50e5-4df9-b411-3e5ab47e1f7b</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