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8E17E" w14:textId="77777777" w:rsidR="008B2CC1" w:rsidRPr="00290DCD" w:rsidRDefault="00DB0349" w:rsidP="00DB0349">
      <w:pPr>
        <w:spacing w:after="120"/>
        <w:jc w:val="right"/>
      </w:pPr>
      <w:r w:rsidRPr="00290DCD">
        <w:rPr>
          <w:noProof/>
          <w:lang w:eastAsia="en-US"/>
        </w:rPr>
        <w:drawing>
          <wp:inline distT="0" distB="0" distL="0" distR="0" wp14:anchorId="550AE8F7" wp14:editId="1E983468">
            <wp:extent cx="2948267" cy="1332000"/>
            <wp:effectExtent l="0" t="0" r="5080" b="1905"/>
            <wp:docPr id="4" name="Picture 4" descr="Les courbes en direction du ciel du logo de l’OMPI évoquent le progrès de l’humanité stimulé par l’innovation et la créativité." title="Logo de l'OM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IPO_logo_F.png"/>
                    <pic:cNvPicPr/>
                  </pic:nvPicPr>
                  <pic:blipFill>
                    <a:blip r:embed="rId11">
                      <a:extLst>
                        <a:ext uri="{28A0092B-C50C-407E-A947-70E740481C1C}">
                          <a14:useLocalDpi xmlns:a14="http://schemas.microsoft.com/office/drawing/2010/main" val="0"/>
                        </a:ext>
                      </a:extLst>
                    </a:blip>
                    <a:stretch>
                      <a:fillRect/>
                    </a:stretch>
                  </pic:blipFill>
                  <pic:spPr>
                    <a:xfrm>
                      <a:off x="0" y="0"/>
                      <a:ext cx="2948267" cy="1332000"/>
                    </a:xfrm>
                    <a:prstGeom prst="rect">
                      <a:avLst/>
                    </a:prstGeom>
                  </pic:spPr>
                </pic:pic>
              </a:graphicData>
            </a:graphic>
          </wp:inline>
        </w:drawing>
      </w:r>
      <w:r w:rsidR="00B87BCF" w:rsidRPr="00290DCD">
        <w:rPr>
          <w:rFonts w:ascii="Arial Black" w:hAnsi="Arial Black"/>
          <w:caps/>
          <w:noProof/>
          <w:sz w:val="15"/>
          <w:szCs w:val="15"/>
          <w:lang w:eastAsia="en-US"/>
        </w:rPr>
        <mc:AlternateContent>
          <mc:Choice Requires="wps">
            <w:drawing>
              <wp:inline distT="0" distB="0" distL="0" distR="0" wp14:anchorId="501F4A1B" wp14:editId="5B6ABCDB">
                <wp:extent cx="5935980" cy="0"/>
                <wp:effectExtent l="0" t="0" r="26670" b="19050"/>
                <wp:docPr id="2" name="Straight Connector 2" descr="Horizontal line"/>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2BADFEB1" id="Straight Connector 2" o:spid="_x0000_s1026" alt="Horizontal line"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613F50E6" w14:textId="518DC404" w:rsidR="008B2CC1" w:rsidRPr="00290DCD" w:rsidRDefault="00197881" w:rsidP="00DB0349">
      <w:pPr>
        <w:jc w:val="right"/>
        <w:rPr>
          <w:rFonts w:ascii="Arial Black" w:hAnsi="Arial Black"/>
          <w:caps/>
          <w:sz w:val="15"/>
          <w:szCs w:val="15"/>
        </w:rPr>
      </w:pPr>
      <w:r w:rsidRPr="00290DCD">
        <w:rPr>
          <w:rFonts w:ascii="Arial Black" w:hAnsi="Arial Black"/>
          <w:caps/>
          <w:sz w:val="15"/>
          <w:szCs w:val="15"/>
        </w:rPr>
        <w:t>CWS/1</w:t>
      </w:r>
      <w:r w:rsidR="00D871A7">
        <w:rPr>
          <w:rFonts w:ascii="Arial Black" w:hAnsi="Arial Black"/>
          <w:caps/>
          <w:sz w:val="15"/>
          <w:szCs w:val="15"/>
        </w:rPr>
        <w:t>4</w:t>
      </w:r>
      <w:r w:rsidRPr="00290DCD">
        <w:rPr>
          <w:rFonts w:ascii="Arial Black" w:hAnsi="Arial Black"/>
          <w:caps/>
          <w:sz w:val="15"/>
          <w:szCs w:val="15"/>
        </w:rPr>
        <w:t>/</w:t>
      </w:r>
      <w:bookmarkStart w:id="0" w:name="Code"/>
      <w:bookmarkEnd w:id="0"/>
      <w:r w:rsidR="008E1CBE">
        <w:rPr>
          <w:rFonts w:ascii="Arial Black" w:hAnsi="Arial Black"/>
          <w:caps/>
          <w:sz w:val="15"/>
          <w:szCs w:val="15"/>
        </w:rPr>
        <w:t>25</w:t>
      </w:r>
    </w:p>
    <w:p w14:paraId="550F7540" w14:textId="46A5AEEF" w:rsidR="008B2CC1" w:rsidRPr="00290DCD" w:rsidRDefault="00DB0349" w:rsidP="00DB0349">
      <w:pPr>
        <w:jc w:val="right"/>
        <w:rPr>
          <w:rFonts w:ascii="Arial Black" w:hAnsi="Arial Black"/>
          <w:caps/>
          <w:sz w:val="15"/>
          <w:szCs w:val="15"/>
        </w:rPr>
      </w:pPr>
      <w:r w:rsidRPr="00290DCD">
        <w:rPr>
          <w:rFonts w:ascii="Arial Black" w:hAnsi="Arial Black"/>
          <w:caps/>
          <w:sz w:val="15"/>
          <w:szCs w:val="15"/>
        </w:rPr>
        <w:t xml:space="preserve">Original : </w:t>
      </w:r>
      <w:bookmarkStart w:id="1" w:name="Original"/>
      <w:r w:rsidR="008E1CBE">
        <w:rPr>
          <w:rFonts w:ascii="Arial Black" w:hAnsi="Arial Black"/>
          <w:caps/>
          <w:sz w:val="15"/>
          <w:szCs w:val="15"/>
        </w:rPr>
        <w:t>anglais</w:t>
      </w:r>
    </w:p>
    <w:bookmarkEnd w:id="1"/>
    <w:p w14:paraId="4D11EF17" w14:textId="5D34ECBA" w:rsidR="008B2CC1" w:rsidRPr="00290DCD" w:rsidRDefault="00B66A77" w:rsidP="00DB0349">
      <w:pPr>
        <w:spacing w:after="1200"/>
        <w:jc w:val="right"/>
        <w:rPr>
          <w:rFonts w:ascii="Arial Black" w:hAnsi="Arial Black"/>
          <w:caps/>
          <w:sz w:val="15"/>
          <w:szCs w:val="15"/>
        </w:rPr>
      </w:pPr>
      <w:r>
        <w:rPr>
          <w:rFonts w:ascii="Arial Black" w:hAnsi="Arial Black"/>
          <w:caps/>
          <w:sz w:val="15"/>
          <w:szCs w:val="15"/>
        </w:rPr>
        <w:t>D</w:t>
      </w:r>
      <w:r w:rsidR="00DB0349" w:rsidRPr="00290DCD">
        <w:rPr>
          <w:rFonts w:ascii="Arial Black" w:hAnsi="Arial Black"/>
          <w:caps/>
          <w:sz w:val="15"/>
          <w:szCs w:val="15"/>
        </w:rPr>
        <w:t xml:space="preserve">ate : </w:t>
      </w:r>
      <w:bookmarkStart w:id="2" w:name="Date"/>
      <w:r w:rsidR="008E1CBE">
        <w:rPr>
          <w:rFonts w:ascii="Arial Black" w:hAnsi="Arial Black"/>
          <w:caps/>
          <w:sz w:val="15"/>
          <w:szCs w:val="15"/>
        </w:rPr>
        <w:t>6 octobre 2026</w:t>
      </w:r>
    </w:p>
    <w:bookmarkEnd w:id="2"/>
    <w:p w14:paraId="440E3333" w14:textId="77777777" w:rsidR="00C40E15" w:rsidRPr="00290DCD" w:rsidRDefault="00197881" w:rsidP="00DB0349">
      <w:pPr>
        <w:spacing w:after="600"/>
        <w:rPr>
          <w:b/>
          <w:sz w:val="28"/>
          <w:szCs w:val="28"/>
        </w:rPr>
      </w:pPr>
      <w:r w:rsidRPr="00290DCD">
        <w:rPr>
          <w:b/>
          <w:sz w:val="28"/>
          <w:szCs w:val="28"/>
        </w:rPr>
        <w:t>Comité des normes de l’OMPI (CWS)</w:t>
      </w:r>
    </w:p>
    <w:p w14:paraId="6FCF104E" w14:textId="77777777" w:rsidR="008B2CC1" w:rsidRPr="00290DCD" w:rsidRDefault="00D871A7" w:rsidP="008B2CC1">
      <w:pPr>
        <w:rPr>
          <w:b/>
          <w:sz w:val="28"/>
          <w:szCs w:val="24"/>
        </w:rPr>
      </w:pPr>
      <w:r>
        <w:rPr>
          <w:b/>
          <w:sz w:val="24"/>
        </w:rPr>
        <w:t>Quator</w:t>
      </w:r>
      <w:r w:rsidR="0099108F" w:rsidRPr="00290DCD">
        <w:rPr>
          <w:b/>
          <w:sz w:val="24"/>
        </w:rPr>
        <w:t>z</w:t>
      </w:r>
      <w:r w:rsidR="001352EC" w:rsidRPr="00290DCD">
        <w:rPr>
          <w:b/>
          <w:sz w:val="24"/>
        </w:rPr>
        <w:t>ième</w:t>
      </w:r>
      <w:r w:rsidR="00197881" w:rsidRPr="00290DCD">
        <w:rPr>
          <w:b/>
          <w:sz w:val="24"/>
        </w:rPr>
        <w:t xml:space="preserve"> session</w:t>
      </w:r>
    </w:p>
    <w:p w14:paraId="75B165F0" w14:textId="77777777" w:rsidR="008B2CC1" w:rsidRPr="00290DCD" w:rsidRDefault="00197881" w:rsidP="00DB0349">
      <w:pPr>
        <w:spacing w:after="720"/>
        <w:rPr>
          <w:b/>
          <w:sz w:val="28"/>
          <w:szCs w:val="24"/>
        </w:rPr>
      </w:pPr>
      <w:r w:rsidRPr="00290DCD">
        <w:rPr>
          <w:b/>
          <w:sz w:val="24"/>
        </w:rPr>
        <w:t>Genève,</w:t>
      </w:r>
      <w:r w:rsidR="001352EC" w:rsidRPr="00290DCD">
        <w:rPr>
          <w:b/>
          <w:sz w:val="24"/>
        </w:rPr>
        <w:t xml:space="preserve"> </w:t>
      </w:r>
      <w:r w:rsidR="00D871A7">
        <w:rPr>
          <w:b/>
          <w:sz w:val="24"/>
        </w:rPr>
        <w:t>23</w:t>
      </w:r>
      <w:r w:rsidR="001352EC" w:rsidRPr="00290DCD">
        <w:rPr>
          <w:b/>
          <w:sz w:val="24"/>
        </w:rPr>
        <w:t xml:space="preserve"> – </w:t>
      </w:r>
      <w:r w:rsidR="00D871A7">
        <w:rPr>
          <w:b/>
          <w:sz w:val="24"/>
        </w:rPr>
        <w:t>27</w:t>
      </w:r>
      <w:r w:rsidR="0099108F" w:rsidRPr="00290DCD">
        <w:rPr>
          <w:b/>
          <w:sz w:val="24"/>
        </w:rPr>
        <w:t> nov</w:t>
      </w:r>
      <w:r w:rsidR="001352EC" w:rsidRPr="00290DCD">
        <w:rPr>
          <w:b/>
          <w:sz w:val="24"/>
        </w:rPr>
        <w:t>embre</w:t>
      </w:r>
      <w:r w:rsidR="0099108F" w:rsidRPr="00290DCD">
        <w:rPr>
          <w:b/>
          <w:sz w:val="24"/>
        </w:rPr>
        <w:t> </w:t>
      </w:r>
      <w:r w:rsidR="001352EC" w:rsidRPr="00290DCD">
        <w:rPr>
          <w:b/>
          <w:sz w:val="24"/>
        </w:rPr>
        <w:t>202</w:t>
      </w:r>
      <w:r w:rsidR="00D871A7">
        <w:rPr>
          <w:b/>
          <w:sz w:val="24"/>
        </w:rPr>
        <w:t>6</w:t>
      </w:r>
    </w:p>
    <w:p w14:paraId="31A08DB7" w14:textId="6116D7EF" w:rsidR="008B2CC1" w:rsidRPr="00290DCD" w:rsidRDefault="008E1CBE" w:rsidP="00DB0349">
      <w:pPr>
        <w:spacing w:after="360"/>
        <w:rPr>
          <w:caps/>
          <w:sz w:val="24"/>
        </w:rPr>
      </w:pPr>
      <w:bookmarkStart w:id="3" w:name="TitleOfDoc"/>
      <w:r>
        <w:rPr>
          <w:caps/>
          <w:sz w:val="24"/>
        </w:rPr>
        <w:t>RAPPORTS TECHNIQUES ANNUELS</w:t>
      </w:r>
      <w:r w:rsidR="00C84EF0">
        <w:rPr>
          <w:caps/>
          <w:sz w:val="24"/>
        </w:rPr>
        <w:t> </w:t>
      </w:r>
      <w:r>
        <w:rPr>
          <w:caps/>
          <w:sz w:val="24"/>
        </w:rPr>
        <w:t>2025</w:t>
      </w:r>
    </w:p>
    <w:p w14:paraId="7769841D" w14:textId="59550CBF" w:rsidR="00525B63" w:rsidRPr="00290DCD" w:rsidRDefault="008E1CBE" w:rsidP="00DB0349">
      <w:pPr>
        <w:spacing w:after="960"/>
        <w:rPr>
          <w:i/>
        </w:rPr>
      </w:pPr>
      <w:bookmarkStart w:id="4" w:name="Prepared"/>
      <w:bookmarkEnd w:id="3"/>
      <w:r>
        <w:rPr>
          <w:i/>
        </w:rPr>
        <w:t>Document établi par le Secrétariat</w:t>
      </w:r>
    </w:p>
    <w:bookmarkEnd w:id="4"/>
    <w:p w14:paraId="6772DE83" w14:textId="77777777" w:rsidR="008E1CBE" w:rsidRPr="00B673C5" w:rsidRDefault="008E1CBE" w:rsidP="008E1CBE">
      <w:pPr>
        <w:pStyle w:val="Heading2"/>
      </w:pPr>
      <w:r>
        <w:t>Résumé</w:t>
      </w:r>
    </w:p>
    <w:p w14:paraId="3CCF3283" w14:textId="50BD947C" w:rsidR="008E1CBE" w:rsidRPr="001C347C" w:rsidRDefault="008E1CBE" w:rsidP="00BE0139">
      <w:pPr>
        <w:pStyle w:val="ONUMFS"/>
      </w:pPr>
      <w:r>
        <w:t>Le présent document contient l’analyse des rapports techniques annuels sur les activités techniques menées par les offices de propriété intellectuelle en</w:t>
      </w:r>
      <w:r w:rsidR="0024180C">
        <w:t> </w:t>
      </w:r>
      <w:r>
        <w:t>2025, l’état d’avancement de la mise en œuvre par ces offices des normes de l’OMPI relatives aux brevets, aux marques et aux dessins et modèles industriels, ainsi que les modèles révisés de rapports techniques annuels.  Il comprend également une proposition visant à mettre à jour la partie 7.12 du Manuel de l’OMPI sur l’information et la documentation en matière de propriété intellectuelle en s’appuyant sur les informations recueillies par l’intermédiaire des rapports techniques annuels.</w:t>
      </w:r>
    </w:p>
    <w:p w14:paraId="73D1AD25" w14:textId="77777777" w:rsidR="008E1CBE" w:rsidRPr="00B673C5" w:rsidRDefault="008E1CBE" w:rsidP="008E1CBE">
      <w:pPr>
        <w:pStyle w:val="Heading2"/>
      </w:pPr>
      <w:r>
        <w:t>Rappel</w:t>
      </w:r>
    </w:p>
    <w:p w14:paraId="4DEC5150" w14:textId="3D6CE9FC" w:rsidR="008E1CBE" w:rsidRPr="00E26370" w:rsidRDefault="008E1CBE" w:rsidP="00BE0139">
      <w:pPr>
        <w:pStyle w:val="ONUMFS"/>
      </w:pPr>
      <w:r>
        <w:t xml:space="preserve">Le Bureau international recueille les rapports techniques annuels depuis 1978 et les publie sur le site Web de l’OMPI depuis 1998. </w:t>
      </w:r>
      <w:r w:rsidR="0024180C">
        <w:t xml:space="preserve"> </w:t>
      </w:r>
      <w:r>
        <w:t xml:space="preserve">Les offices de propriété intellectuelle continuent d’être invités à soumettre leurs rapports techniques annuels au titre de la tâche n° 24, dont la description est la suivante : </w:t>
      </w:r>
    </w:p>
    <w:p w14:paraId="7DF8410D" w14:textId="77777777" w:rsidR="008E1CBE" w:rsidRPr="00E26370" w:rsidRDefault="008E1CBE" w:rsidP="00BE0139">
      <w:pPr>
        <w:pStyle w:val="ONUMFS"/>
        <w:numPr>
          <w:ilvl w:val="0"/>
          <w:numId w:val="0"/>
        </w:numPr>
        <w:ind w:firstLine="567"/>
        <w:rPr>
          <w:i/>
          <w:iCs/>
        </w:rPr>
      </w:pPr>
      <w:r>
        <w:rPr>
          <w:i/>
        </w:rPr>
        <w:t>“Recueillir et publier les rapports techniques annuels (ATR/PI, ATR/TM, ATR/ID) sur les activités des membres du CWS dans le domaine de l’information en matière de brevets, de marques et de dessins et modèles industriels.”</w:t>
      </w:r>
    </w:p>
    <w:p w14:paraId="37E48B81" w14:textId="6F80DB60" w:rsidR="008E1CBE" w:rsidRPr="00E26370" w:rsidRDefault="008E1CBE" w:rsidP="00965627">
      <w:pPr>
        <w:pStyle w:val="ONUMFS"/>
        <w:keepNext/>
      </w:pPr>
      <w:r>
        <w:lastRenderedPageBreak/>
        <w:t xml:space="preserve">À sa douzième session, tenue en 2024, le CWS a approuvé l’ajout, dans le modèle, d’une nouvelle section destinée à rendre compte de la mise en œuvre des normes de l’OMPI par les offices de propriété intellectuelle. </w:t>
      </w:r>
      <w:r w:rsidR="0024180C">
        <w:t xml:space="preserve"> </w:t>
      </w:r>
      <w:r>
        <w:t xml:space="preserve">La nouvelle rubrique est intitulée : </w:t>
      </w:r>
    </w:p>
    <w:p w14:paraId="55C8B066" w14:textId="77777777" w:rsidR="008E1CBE" w:rsidRPr="00E26370" w:rsidRDefault="008E1CBE" w:rsidP="00AC541A">
      <w:pPr>
        <w:pStyle w:val="ONUMFS"/>
        <w:keepNext/>
        <w:numPr>
          <w:ilvl w:val="0"/>
          <w:numId w:val="0"/>
        </w:numPr>
        <w:ind w:firstLine="567"/>
        <w:rPr>
          <w:i/>
          <w:iCs/>
        </w:rPr>
      </w:pPr>
      <w:r>
        <w:rPr>
          <w:i/>
        </w:rPr>
        <w:t>“Activités liées à la mise en œuvre des normes de l’OMPI relatives à l’information en matière de brevets, de marques ou de dessins et modèles industriels.”</w:t>
      </w:r>
    </w:p>
    <w:p w14:paraId="0F241F69" w14:textId="77777777" w:rsidR="008E1CBE" w:rsidRDefault="008E1CBE" w:rsidP="00BE0139">
      <w:pPr>
        <w:pStyle w:val="ONUMFS"/>
        <w:numPr>
          <w:ilvl w:val="0"/>
          <w:numId w:val="0"/>
        </w:numPr>
      </w:pPr>
      <w:r>
        <w:t>(Voir le paragraphe 156 du document CWS/12/29).</w:t>
      </w:r>
    </w:p>
    <w:p w14:paraId="77D5B743" w14:textId="77777777" w:rsidR="008E1CBE" w:rsidRPr="00E26370" w:rsidRDefault="008E1CBE" w:rsidP="00BE0139">
      <w:pPr>
        <w:pStyle w:val="ONUMFS"/>
      </w:pPr>
      <w:r>
        <w:t>À sa treizième session, tenue en 2025, le CWS a pris note du rapport fourni par le Secrétariat, en particulier des statistiques relatives à la mise en œuvre des normes de l’OMPI, recueillies par l’intermédiaire des rapports techniques annuels.  Le CWS a également examiné les normes de l’OMPI répertoriées et les options figurant dans les modèles de rapports techniques annuels et a prié le Secrétariat de revoir et de mettre à jour le modèle si nécessaire (voir le paragraphe 225 du document CWS/13/33).</w:t>
      </w:r>
    </w:p>
    <w:p w14:paraId="5CE4876A" w14:textId="77777777" w:rsidR="008E1CBE" w:rsidRPr="002E28EB" w:rsidRDefault="008E1CBE" w:rsidP="008E1CBE">
      <w:pPr>
        <w:pStyle w:val="Heading2"/>
      </w:pPr>
      <w:r>
        <w:t>Rapport d’activité pour 2025</w:t>
      </w:r>
    </w:p>
    <w:p w14:paraId="462BD3EF" w14:textId="77777777" w:rsidR="008E1CBE" w:rsidRPr="00E26370" w:rsidRDefault="008E1CBE" w:rsidP="00BE0139">
      <w:pPr>
        <w:pStyle w:val="ONUMFS"/>
      </w:pPr>
      <w:r>
        <w:t>Pour donner suite à la décision prise par le CWS à sa treizième session, le Secrétariat a révisé la section VII des modèles de rapports techniques annuels pour les brevets, les marques et les dessins et modèles industriels, y compris les normes de l’OMPI applicables et les options relatives à l’état d’avancement de la mise en œuvre.  Cette révision visait à faciliter la collecte et l’analyse d’informations sur la mise en œuvre des normes de l’OMPI par les offices et à recenser les normes qui ne sont plus utilisées et dont l’archivage pourrait donc être envisagé.</w:t>
      </w:r>
    </w:p>
    <w:p w14:paraId="1A6E5D48" w14:textId="20230318" w:rsidR="008E1CBE" w:rsidRPr="00E26370" w:rsidRDefault="008E1CBE" w:rsidP="00BE0139">
      <w:pPr>
        <w:pStyle w:val="ONUMFS"/>
      </w:pPr>
      <w:r>
        <w:t>Les modèles révisés comprenaient une liste exhaustive des normes de l’OMPI applicables aux brevets (ATR/PI), aux marques (ATR/TM) et aux dessins et modèles industriels (ATR/ID), comme indiqué ci</w:t>
      </w:r>
      <w:r w:rsidR="0024180C">
        <w:noBreakHyphen/>
      </w:r>
      <w:r>
        <w:t xml:space="preserve">dessous.  De plus amples informations concernant le champ d’application et le contenu de chaque norme de l’OMPI sont disponibles sur le site Web de l’OMPI à l’adresse suivante : </w:t>
      </w:r>
      <w:hyperlink r:id="rId12" w:history="1">
        <w:r>
          <w:rPr>
            <w:rStyle w:val="Hyperlink"/>
          </w:rPr>
          <w:t>https://www.wipo.int/fr/web/standards/part_03_standards</w:t>
        </w:r>
      </w:hyperlink>
      <w:r>
        <w:t>.</w:t>
      </w:r>
    </w:p>
    <w:p w14:paraId="16FD4463" w14:textId="77777777" w:rsidR="008E1CBE" w:rsidRPr="00965627" w:rsidRDefault="008E1CBE" w:rsidP="00BE0139">
      <w:pPr>
        <w:pStyle w:val="ONUMFS"/>
        <w:numPr>
          <w:ilvl w:val="1"/>
          <w:numId w:val="9"/>
        </w:numPr>
        <w:ind w:left="1134" w:hanging="567"/>
        <w:rPr>
          <w:lang w:val="en-US"/>
        </w:rPr>
      </w:pPr>
      <w:r w:rsidRPr="00965627">
        <w:rPr>
          <w:i/>
          <w:u w:val="single"/>
          <w:lang w:val="en-US"/>
        </w:rPr>
        <w:t>ATR/PI – Brevets</w:t>
      </w:r>
      <w:r w:rsidRPr="00965627">
        <w:rPr>
          <w:iCs/>
          <w:lang w:val="en-US"/>
        </w:rPr>
        <w:t> :</w:t>
      </w:r>
      <w:r w:rsidRPr="00965627">
        <w:rPr>
          <w:lang w:val="en-US"/>
        </w:rPr>
        <w:t xml:space="preserve"> normes ST.1, ST.2, ST.3, ST.6, ST.8, ST.9, ST.10, ST.10/A, ST.10/B, ST.10/C, ST.10/D, ST.11, ST.12, ST.12/A, ST.12/B, ST.12/C, ST.13, ST.14, ST.15, ST.16, ST.17, ST.18, ST.19, ST.20, ST.21, ST.22, ST.25, ST.26, ST.27, ST.31, ST.32, ST.33, ST.34, ST.35, ST.36, ST.37, ST.40, ST.50, ST.90, ST.91, ST.92, ST.96 et ST.97 de l’OMPI; </w:t>
      </w:r>
    </w:p>
    <w:p w14:paraId="0D354A68" w14:textId="69A75A24" w:rsidR="008E1CBE" w:rsidRPr="00965627" w:rsidRDefault="008E1CBE" w:rsidP="00BE0139">
      <w:pPr>
        <w:pStyle w:val="ONUMFS"/>
        <w:numPr>
          <w:ilvl w:val="1"/>
          <w:numId w:val="9"/>
        </w:numPr>
        <w:ind w:left="1134" w:hanging="567"/>
        <w:rPr>
          <w:lang w:val="en-US"/>
        </w:rPr>
      </w:pPr>
      <w:r w:rsidRPr="00965627">
        <w:rPr>
          <w:i/>
          <w:u w:val="single"/>
          <w:lang w:val="en-US"/>
        </w:rPr>
        <w:t>ATR/TM – Marques</w:t>
      </w:r>
      <w:r w:rsidRPr="00965627">
        <w:rPr>
          <w:lang w:val="en-US"/>
        </w:rPr>
        <w:t xml:space="preserve"> : normes ST.2, ST.3, ST.13, ST.60, ST.61, ST.62, ST.63, ST.64, ST.66, ST.67, ST.68, ST.69, ST.90, ST.91, ST.92, ST.96 et ST.97 de l’OMPI; </w:t>
      </w:r>
      <w:r w:rsidR="0024180C" w:rsidRPr="00965627">
        <w:rPr>
          <w:lang w:val="en-US"/>
        </w:rPr>
        <w:t xml:space="preserve"> </w:t>
      </w:r>
      <w:r w:rsidRPr="00965627">
        <w:rPr>
          <w:lang w:val="en-US"/>
        </w:rPr>
        <w:t>et</w:t>
      </w:r>
    </w:p>
    <w:p w14:paraId="50743359" w14:textId="77777777" w:rsidR="008E1CBE" w:rsidRPr="00965627" w:rsidRDefault="008E1CBE" w:rsidP="00BE0139">
      <w:pPr>
        <w:pStyle w:val="ONUMFS"/>
        <w:numPr>
          <w:ilvl w:val="1"/>
          <w:numId w:val="9"/>
        </w:numPr>
        <w:ind w:left="1134" w:hanging="567"/>
        <w:rPr>
          <w:lang w:val="en-US"/>
        </w:rPr>
      </w:pPr>
      <w:r w:rsidRPr="00965627">
        <w:rPr>
          <w:i/>
          <w:u w:val="single"/>
          <w:lang w:val="en-US"/>
        </w:rPr>
        <w:t>ATR/ID – Dessins et modèles industriels</w:t>
      </w:r>
      <w:r w:rsidRPr="00965627">
        <w:rPr>
          <w:iCs/>
          <w:lang w:val="en-US"/>
        </w:rPr>
        <w:t> </w:t>
      </w:r>
      <w:r w:rsidRPr="00965627">
        <w:rPr>
          <w:lang w:val="en-US"/>
        </w:rPr>
        <w:t>: normes ST.2, ST.3, ST.13, ST.80, ST.81, ST.86, ST.87, ST.88, ST.90, ST.91, ST.92, ST.96 et ST.97 de l’OMPI.</w:t>
      </w:r>
    </w:p>
    <w:p w14:paraId="14E2C6AF" w14:textId="2AFBEFF8" w:rsidR="008E1CBE" w:rsidRPr="00E26370" w:rsidRDefault="008E1CBE" w:rsidP="00BE0139">
      <w:pPr>
        <w:pStyle w:val="ONUMFS"/>
      </w:pPr>
      <w:r>
        <w:t>Les offices ont été invités à rendre compte de l’état d’avancement de la mise en œuvre de chaque norme de l’OMPI applicable en choisissant l’option appropriée parmi celles énoncées ci</w:t>
      </w:r>
      <w:r w:rsidR="0024180C">
        <w:noBreakHyphen/>
      </w:r>
      <w:r>
        <w:t xml:space="preserve">dessous : </w:t>
      </w:r>
    </w:p>
    <w:p w14:paraId="5AECE9E2" w14:textId="42042473" w:rsidR="008E1CBE" w:rsidRPr="00E3270E" w:rsidRDefault="008E1CBE" w:rsidP="00BE0139">
      <w:pPr>
        <w:pStyle w:val="ONUMFS"/>
        <w:numPr>
          <w:ilvl w:val="1"/>
          <w:numId w:val="10"/>
        </w:numPr>
        <w:ind w:left="1134" w:hanging="567"/>
        <w:rPr>
          <w:szCs w:val="22"/>
        </w:rPr>
      </w:pPr>
      <w:r>
        <w:rPr>
          <w:rStyle w:val="Strong"/>
          <w:b w:val="0"/>
          <w:i/>
          <w:u w:val="single"/>
        </w:rPr>
        <w:t>“Entièrement mise en œuvre”</w:t>
      </w:r>
      <w:r>
        <w:t> : la norme de l’OMPI a été mise en œuvre d’une manière conforme ou compatible avec celle</w:t>
      </w:r>
      <w:r w:rsidR="0024180C">
        <w:noBreakHyphen/>
      </w:r>
      <w:r>
        <w:t xml:space="preserve">ci. </w:t>
      </w:r>
    </w:p>
    <w:p w14:paraId="4DD579CA" w14:textId="77777777" w:rsidR="008E1CBE" w:rsidRPr="00E3270E" w:rsidRDefault="008E1CBE" w:rsidP="00965627">
      <w:pPr>
        <w:pStyle w:val="ONUMFS"/>
        <w:keepNext/>
        <w:numPr>
          <w:ilvl w:val="1"/>
          <w:numId w:val="10"/>
        </w:numPr>
        <w:ind w:left="1134" w:hanging="567"/>
        <w:rPr>
          <w:szCs w:val="22"/>
        </w:rPr>
      </w:pPr>
      <w:r>
        <w:rPr>
          <w:rStyle w:val="Strong"/>
          <w:b w:val="0"/>
          <w:i/>
          <w:u w:val="single"/>
        </w:rPr>
        <w:t>“Partiellement mise en œuvre”</w:t>
      </w:r>
      <w:r>
        <w:t xml:space="preserve"> : la norme de l’OMPI a été mise en œuvre en partie.  La pratique de l’office est conforme à certaines exigences de la norme, mais pas à toutes. </w:t>
      </w:r>
    </w:p>
    <w:p w14:paraId="11AE096F" w14:textId="2CA7F894" w:rsidR="008E1CBE" w:rsidRPr="00E3270E" w:rsidRDefault="008E1CBE" w:rsidP="00BE0139">
      <w:pPr>
        <w:pStyle w:val="ONUMFS"/>
        <w:numPr>
          <w:ilvl w:val="1"/>
          <w:numId w:val="10"/>
        </w:numPr>
        <w:ind w:left="1134" w:hanging="567"/>
        <w:rPr>
          <w:szCs w:val="22"/>
        </w:rPr>
      </w:pPr>
      <w:r>
        <w:rPr>
          <w:rStyle w:val="Strong"/>
          <w:b w:val="0"/>
          <w:i/>
          <w:u w:val="single"/>
        </w:rPr>
        <w:t>“Mise en œuvre en cours”</w:t>
      </w:r>
      <w:r>
        <w:t> : la décision de mettre en œuvre la norme de l’OMPI a été prise et celle</w:t>
      </w:r>
      <w:r w:rsidR="0024180C">
        <w:noBreakHyphen/>
      </w:r>
      <w:r>
        <w:t>ci est en cours de déploiement, de configuration ou d’intégration dans les systèmes et les flux de travail.</w:t>
      </w:r>
    </w:p>
    <w:p w14:paraId="5CACB300" w14:textId="4801019A" w:rsidR="008E1CBE" w:rsidRPr="00E3270E" w:rsidRDefault="008E1CBE" w:rsidP="00BE0139">
      <w:pPr>
        <w:pStyle w:val="ONUMFS"/>
        <w:numPr>
          <w:ilvl w:val="1"/>
          <w:numId w:val="10"/>
        </w:numPr>
        <w:ind w:left="1134" w:hanging="567"/>
        <w:rPr>
          <w:szCs w:val="22"/>
        </w:rPr>
      </w:pPr>
      <w:r>
        <w:rPr>
          <w:rStyle w:val="Strong"/>
          <w:b w:val="0"/>
          <w:i/>
          <w:u w:val="single"/>
        </w:rPr>
        <w:t>“Mise en œuvre prévue”</w:t>
      </w:r>
      <w:r w:rsidRPr="00BE0139">
        <w:rPr>
          <w:rStyle w:val="Strong"/>
          <w:b w:val="0"/>
          <w:iCs/>
        </w:rPr>
        <w:t> :</w:t>
      </w:r>
      <w:r>
        <w:t xml:space="preserve"> la décision de mettre en œuvre la norme de l’OMPI a été prise; </w:t>
      </w:r>
      <w:r w:rsidR="0024180C">
        <w:t xml:space="preserve"> </w:t>
      </w:r>
      <w:r>
        <w:t>les activités de planification (affectation des ressources, définition du calendrier, conception technique) sont en cours en vue du début de la mise en œuvre effective.</w:t>
      </w:r>
    </w:p>
    <w:p w14:paraId="685BF25F" w14:textId="77777777" w:rsidR="008E1CBE" w:rsidRPr="00E3270E" w:rsidRDefault="008E1CBE" w:rsidP="00BE0139">
      <w:pPr>
        <w:pStyle w:val="ONUMFS"/>
        <w:numPr>
          <w:ilvl w:val="1"/>
          <w:numId w:val="10"/>
        </w:numPr>
        <w:ind w:left="1134" w:hanging="567"/>
        <w:rPr>
          <w:szCs w:val="22"/>
        </w:rPr>
      </w:pPr>
      <w:r>
        <w:rPr>
          <w:rStyle w:val="Strong"/>
          <w:b w:val="0"/>
          <w:i/>
          <w:u w:val="single"/>
        </w:rPr>
        <w:t>“En phase d’évaluation”</w:t>
      </w:r>
      <w:r>
        <w:t> : la norme de l’OMPI fait actuellement l’objet d’une évaluation active visant à établir sa faisabilité, ses exigences techniques, ses coûts, ses avantages et son adéquation avec les besoins de l’office avant qu’une décision soit prise quant à sa mise en œuvre.</w:t>
      </w:r>
    </w:p>
    <w:p w14:paraId="2A6E0B84" w14:textId="77777777" w:rsidR="008E1CBE" w:rsidRPr="00E3270E" w:rsidRDefault="008E1CBE" w:rsidP="00BE0139">
      <w:pPr>
        <w:pStyle w:val="ONUMFS"/>
        <w:numPr>
          <w:ilvl w:val="1"/>
          <w:numId w:val="10"/>
        </w:numPr>
        <w:ind w:left="1134" w:hanging="567"/>
        <w:rPr>
          <w:szCs w:val="22"/>
        </w:rPr>
      </w:pPr>
      <w:r>
        <w:rPr>
          <w:rStyle w:val="Strong"/>
          <w:b w:val="0"/>
          <w:i/>
          <w:u w:val="single"/>
        </w:rPr>
        <w:t>“Pas de mise en œuvre prévue”</w:t>
      </w:r>
      <w:r w:rsidRPr="00BE0139">
        <w:rPr>
          <w:rStyle w:val="Strong"/>
          <w:b w:val="0"/>
          <w:iCs/>
        </w:rPr>
        <w:t> :</w:t>
      </w:r>
      <w:r>
        <w:t xml:space="preserve"> la norme de l’OMPI a été examinée et, à l’heure actuelle, il n’est pas prévu de la mettre en œuvre.</w:t>
      </w:r>
    </w:p>
    <w:p w14:paraId="5ABC9B19" w14:textId="26235A3A" w:rsidR="008E1CBE" w:rsidRPr="00E26370" w:rsidRDefault="008E1CBE" w:rsidP="00BE0139">
      <w:pPr>
        <w:pStyle w:val="ONUMFS"/>
      </w:pPr>
      <w:r>
        <w:t xml:space="preserve">En juin 2025, le Secrétariat a diffusé les circulaires </w:t>
      </w:r>
      <w:hyperlink r:id="rId13" w:tgtFrame="_blank" w:history="1">
        <w:r>
          <w:rPr>
            <w:rStyle w:val="Hyperlink"/>
          </w:rPr>
          <w:t>C.CWS 208</w:t>
        </w:r>
      </w:hyperlink>
      <w:r>
        <w:t xml:space="preserve">, </w:t>
      </w:r>
      <w:hyperlink r:id="rId14" w:tgtFrame="_blank" w:history="1">
        <w:r>
          <w:rPr>
            <w:rStyle w:val="Hyperlink"/>
          </w:rPr>
          <w:t>C.CWS 209</w:t>
        </w:r>
      </w:hyperlink>
      <w:r>
        <w:t xml:space="preserve"> et </w:t>
      </w:r>
      <w:hyperlink r:id="rId15" w:tgtFrame="_blank" w:history="1">
        <w:r>
          <w:rPr>
            <w:rStyle w:val="Hyperlink"/>
          </w:rPr>
          <w:t>C.CWS 210</w:t>
        </w:r>
      </w:hyperlink>
      <w:r>
        <w:t>, invitant les offices de propriété intellectuelle à soumettre des rapports techniques annuels sur les activités techniques menées au cours de l’année 2025 dans les domaines des brevets, des marques et des dessins et modèles industriels.</w:t>
      </w:r>
    </w:p>
    <w:p w14:paraId="1096E740" w14:textId="48D52D0D" w:rsidR="008E1CBE" w:rsidRPr="00E26370" w:rsidRDefault="008E1CBE" w:rsidP="00BE0139">
      <w:pPr>
        <w:pStyle w:val="ONUMFS"/>
      </w:pPr>
      <w:r>
        <w:t>Trente</w:t>
      </w:r>
      <w:r w:rsidR="0024180C">
        <w:noBreakHyphen/>
      </w:r>
      <w:r>
        <w:t>deux</w:t>
      </w:r>
      <w:r w:rsidR="00AC541A">
        <w:t> </w:t>
      </w:r>
      <w:r>
        <w:t xml:space="preserve">offices et organisations ont soumis des rapports techniques annuels sur les activités techniques qu’ils ont menées en 2025.  Il s’agissait des membres du CWS des </w:t>
      </w:r>
      <w:r w:rsidRPr="00AC541A">
        <w:t>29 États membres suivants : Arménie (AM), Australie (AU), Bosnie</w:t>
      </w:r>
      <w:r w:rsidR="0024180C" w:rsidRPr="00AC541A">
        <w:noBreakHyphen/>
      </w:r>
      <w:r w:rsidRPr="00AC541A">
        <w:t>Herzégovine (BA), Brésil</w:t>
      </w:r>
      <w:r>
        <w:t xml:space="preserve"> (BR), Bulgarie (BG), Canada (CA), Chine (CN), Chypre (CY), République tchèque (CZ), Danemark (DK), Estonie (EE), Géorgie (GE), Hongrie (HU), Irlande (IE), Israël (IL), Japon (JP), Mexique (MX), Paraguay (PY), Philippines (PH), Pologne (PL), République de Corée (KR), République de Moldova (MD), Fédération de Russie (RU), Arabie saoudite (SA), Serbie (RS), Espagne (ES), Ukraine (UA), Royaume</w:t>
      </w:r>
      <w:r w:rsidR="0024180C">
        <w:noBreakHyphen/>
      </w:r>
      <w:r>
        <w:t>Uni (GB) et États</w:t>
      </w:r>
      <w:r w:rsidR="0024180C">
        <w:noBreakHyphen/>
      </w:r>
      <w:r>
        <w:t xml:space="preserve">Unis d’Amérique (US); </w:t>
      </w:r>
      <w:r w:rsidR="0024180C">
        <w:t xml:space="preserve"> </w:t>
      </w:r>
      <w:r>
        <w:t>ainsi que les trois organisations suivantes : Organisation eurasienne des brevets (EA), Office européen des brevets (EP) et Office de l’Union européenne pour la propriété intellectuelle (EM).</w:t>
      </w:r>
    </w:p>
    <w:p w14:paraId="08323B93" w14:textId="52D2A96C" w:rsidR="008E1CBE" w:rsidRPr="00E26370" w:rsidRDefault="008E1CBE" w:rsidP="00BE0139">
      <w:pPr>
        <w:pStyle w:val="ONUMFS"/>
      </w:pPr>
      <w:r>
        <w:t>Au moment de l’établissement du présent document, le Secrétariat mettait la dernière main à la publication des rapports techniques annuels de</w:t>
      </w:r>
      <w:r w:rsidR="0024180C">
        <w:t> </w:t>
      </w:r>
      <w:r>
        <w:t>2025 reçus.  Une fois publiés, ces rapports seront disponibles à l’adresse </w:t>
      </w:r>
      <w:hyperlink r:id="rId16" w:history="1">
        <w:r>
          <w:rPr>
            <w:rStyle w:val="Hyperlink"/>
          </w:rPr>
          <w:t>https://www3.wipo.int/confluence/display/ATR/Browse+by+Year</w:t>
        </w:r>
      </w:hyperlink>
      <w:r>
        <w:t xml:space="preserve"> et pourront être consultés par année, par office et par type de droit de propriété intellectuelle.</w:t>
      </w:r>
    </w:p>
    <w:p w14:paraId="0A242829" w14:textId="77777777" w:rsidR="008E1CBE" w:rsidRPr="002E28EB" w:rsidRDefault="008E1CBE" w:rsidP="008E1CBE">
      <w:pPr>
        <w:pStyle w:val="Heading2"/>
      </w:pPr>
      <w:r>
        <w:t xml:space="preserve">Statistiques relatives aux rapports techniques annuels soumis </w:t>
      </w:r>
    </w:p>
    <w:p w14:paraId="28255163" w14:textId="6D79AA22" w:rsidR="008E1CBE" w:rsidRPr="00E26370" w:rsidRDefault="008E1CBE" w:rsidP="00AC541A">
      <w:pPr>
        <w:pStyle w:val="ONUMFS"/>
      </w:pPr>
      <w:r>
        <w:t xml:space="preserve">La participation à l’établissement de rapports techniques annuels a considérablement augmenté depuis la collecte des rapports couvrant les activités de 2021.  Le nombre d’offices participants est passé de 17 en 2022 à 33 en 2025 et est resté globalement stable à 32 en 2026. </w:t>
      </w:r>
      <w:r w:rsidR="0024180C">
        <w:t xml:space="preserve"> </w:t>
      </w:r>
      <w:r>
        <w:t>Comme le montre le tableau 1, le nombre total de rapports techniques annuels soumis est passé de 47 rapports portant sur les activités de 2021 à 80 rapports portant sur les activités de 2025, soit une augmentation globale de 33 rapports.</w:t>
      </w:r>
    </w:p>
    <w:tbl>
      <w:tblPr>
        <w:tblStyle w:val="TableGrid"/>
        <w:tblW w:w="4940" w:type="pct"/>
        <w:tblLook w:val="04A0" w:firstRow="1" w:lastRow="0" w:firstColumn="1" w:lastColumn="0" w:noHBand="0" w:noVBand="1"/>
      </w:tblPr>
      <w:tblGrid>
        <w:gridCol w:w="1478"/>
        <w:gridCol w:w="1551"/>
        <w:gridCol w:w="1551"/>
        <w:gridCol w:w="1551"/>
        <w:gridCol w:w="1551"/>
        <w:gridCol w:w="1551"/>
      </w:tblGrid>
      <w:tr w:rsidR="008E1CBE" w:rsidRPr="00FC0B7D" w14:paraId="6FFF4D93" w14:textId="77777777" w:rsidTr="00AC541A">
        <w:trPr>
          <w:trHeight w:val="20"/>
        </w:trPr>
        <w:tc>
          <w:tcPr>
            <w:tcW w:w="1935" w:type="pct"/>
            <w:shd w:val="clear" w:color="auto" w:fill="D9D9D9" w:themeFill="background1" w:themeFillShade="D9"/>
            <w:vAlign w:val="center"/>
          </w:tcPr>
          <w:p w14:paraId="3AB0080D" w14:textId="77777777" w:rsidR="008E1CBE" w:rsidRPr="006B1148" w:rsidRDefault="008E1CBE" w:rsidP="00965627">
            <w:pPr>
              <w:keepNext/>
              <w:spacing w:before="120" w:after="120"/>
              <w:jc w:val="center"/>
              <w:rPr>
                <w:b/>
                <w:bCs/>
                <w:noProof/>
                <w:sz w:val="20"/>
              </w:rPr>
            </w:pPr>
            <w:r>
              <w:rPr>
                <w:b/>
                <w:sz w:val="20"/>
              </w:rPr>
              <w:t>Type de rapport technique annuel</w:t>
            </w:r>
          </w:p>
        </w:tc>
        <w:tc>
          <w:tcPr>
            <w:tcW w:w="613" w:type="pct"/>
            <w:shd w:val="clear" w:color="auto" w:fill="D9D9D9" w:themeFill="background1" w:themeFillShade="D9"/>
            <w:vAlign w:val="center"/>
          </w:tcPr>
          <w:p w14:paraId="0E31A056" w14:textId="3A2C2938" w:rsidR="008E1CBE" w:rsidRPr="006B1148" w:rsidRDefault="008E1CBE" w:rsidP="00965627">
            <w:pPr>
              <w:keepNext/>
              <w:spacing w:before="120" w:after="120"/>
              <w:jc w:val="center"/>
              <w:rPr>
                <w:b/>
                <w:bCs/>
                <w:noProof/>
                <w:sz w:val="20"/>
              </w:rPr>
            </w:pPr>
            <w:r>
              <w:rPr>
                <w:b/>
                <w:sz w:val="20"/>
              </w:rPr>
              <w:t>Activités</w:t>
            </w:r>
            <w:r w:rsidR="00C84EF0">
              <w:rPr>
                <w:b/>
                <w:sz w:val="20"/>
              </w:rPr>
              <w:t> </w:t>
            </w:r>
            <w:r>
              <w:rPr>
                <w:b/>
                <w:sz w:val="20"/>
              </w:rPr>
              <w:t>2021</w:t>
            </w:r>
          </w:p>
        </w:tc>
        <w:tc>
          <w:tcPr>
            <w:tcW w:w="613" w:type="pct"/>
            <w:shd w:val="clear" w:color="auto" w:fill="D9D9D9" w:themeFill="background1" w:themeFillShade="D9"/>
            <w:vAlign w:val="center"/>
          </w:tcPr>
          <w:p w14:paraId="20E0ACE8" w14:textId="73C5F837" w:rsidR="008E1CBE" w:rsidRPr="006B1148" w:rsidRDefault="008E1CBE" w:rsidP="00965627">
            <w:pPr>
              <w:keepNext/>
              <w:spacing w:before="120" w:after="120"/>
              <w:jc w:val="center"/>
              <w:rPr>
                <w:b/>
                <w:bCs/>
                <w:noProof/>
                <w:sz w:val="20"/>
              </w:rPr>
            </w:pPr>
            <w:r>
              <w:rPr>
                <w:b/>
                <w:sz w:val="20"/>
              </w:rPr>
              <w:t>Activités</w:t>
            </w:r>
            <w:r w:rsidR="00C84EF0">
              <w:rPr>
                <w:b/>
                <w:sz w:val="20"/>
              </w:rPr>
              <w:t> </w:t>
            </w:r>
            <w:r>
              <w:rPr>
                <w:b/>
                <w:sz w:val="20"/>
              </w:rPr>
              <w:t>2022</w:t>
            </w:r>
          </w:p>
        </w:tc>
        <w:tc>
          <w:tcPr>
            <w:tcW w:w="613" w:type="pct"/>
            <w:shd w:val="clear" w:color="auto" w:fill="D9D9D9" w:themeFill="background1" w:themeFillShade="D9"/>
            <w:vAlign w:val="center"/>
          </w:tcPr>
          <w:p w14:paraId="6655F375" w14:textId="2B654A6A" w:rsidR="008E1CBE" w:rsidRPr="006B1148" w:rsidRDefault="008E1CBE" w:rsidP="00965627">
            <w:pPr>
              <w:keepNext/>
              <w:spacing w:before="120" w:after="120"/>
              <w:jc w:val="center"/>
              <w:rPr>
                <w:b/>
                <w:bCs/>
                <w:noProof/>
                <w:sz w:val="20"/>
              </w:rPr>
            </w:pPr>
            <w:r>
              <w:rPr>
                <w:b/>
                <w:sz w:val="20"/>
              </w:rPr>
              <w:t>Activités</w:t>
            </w:r>
            <w:r w:rsidR="00C84EF0">
              <w:rPr>
                <w:b/>
                <w:sz w:val="20"/>
              </w:rPr>
              <w:t> </w:t>
            </w:r>
            <w:r>
              <w:rPr>
                <w:b/>
                <w:sz w:val="20"/>
              </w:rPr>
              <w:t>2023</w:t>
            </w:r>
          </w:p>
        </w:tc>
        <w:tc>
          <w:tcPr>
            <w:tcW w:w="613" w:type="pct"/>
            <w:shd w:val="clear" w:color="auto" w:fill="D9D9D9" w:themeFill="background1" w:themeFillShade="D9"/>
            <w:vAlign w:val="center"/>
          </w:tcPr>
          <w:p w14:paraId="0A69ABAB" w14:textId="46E3C1CA" w:rsidR="008E1CBE" w:rsidRPr="006B1148" w:rsidRDefault="008E1CBE" w:rsidP="00965627">
            <w:pPr>
              <w:keepNext/>
              <w:spacing w:before="120" w:after="120"/>
              <w:jc w:val="center"/>
              <w:rPr>
                <w:b/>
                <w:bCs/>
                <w:noProof/>
                <w:sz w:val="20"/>
              </w:rPr>
            </w:pPr>
            <w:r>
              <w:rPr>
                <w:b/>
                <w:sz w:val="20"/>
              </w:rPr>
              <w:t>Activités</w:t>
            </w:r>
            <w:r w:rsidR="00C84EF0">
              <w:rPr>
                <w:b/>
                <w:sz w:val="20"/>
              </w:rPr>
              <w:t> </w:t>
            </w:r>
            <w:r>
              <w:rPr>
                <w:b/>
                <w:sz w:val="20"/>
              </w:rPr>
              <w:t>2024</w:t>
            </w:r>
          </w:p>
        </w:tc>
        <w:tc>
          <w:tcPr>
            <w:tcW w:w="613" w:type="pct"/>
            <w:shd w:val="clear" w:color="auto" w:fill="D9D9D9" w:themeFill="background1" w:themeFillShade="D9"/>
            <w:vAlign w:val="center"/>
          </w:tcPr>
          <w:p w14:paraId="12EB82A2" w14:textId="3018EC51" w:rsidR="008E1CBE" w:rsidRPr="006B1148" w:rsidRDefault="008E1CBE" w:rsidP="00965627">
            <w:pPr>
              <w:keepNext/>
              <w:spacing w:before="120" w:after="120"/>
              <w:jc w:val="center"/>
              <w:rPr>
                <w:b/>
                <w:bCs/>
                <w:noProof/>
                <w:sz w:val="20"/>
              </w:rPr>
            </w:pPr>
            <w:r>
              <w:rPr>
                <w:b/>
                <w:sz w:val="20"/>
              </w:rPr>
              <w:t>Activités</w:t>
            </w:r>
            <w:r w:rsidR="00C84EF0">
              <w:rPr>
                <w:b/>
                <w:sz w:val="20"/>
              </w:rPr>
              <w:t> </w:t>
            </w:r>
            <w:r>
              <w:rPr>
                <w:b/>
                <w:sz w:val="20"/>
              </w:rPr>
              <w:t>2025</w:t>
            </w:r>
          </w:p>
        </w:tc>
      </w:tr>
      <w:tr w:rsidR="008E1CBE" w:rsidRPr="00FC0B7D" w14:paraId="010E4A4B" w14:textId="77777777" w:rsidTr="00AC541A">
        <w:trPr>
          <w:trHeight w:val="20"/>
        </w:trPr>
        <w:tc>
          <w:tcPr>
            <w:tcW w:w="1935" w:type="pct"/>
          </w:tcPr>
          <w:p w14:paraId="3050009B" w14:textId="77777777" w:rsidR="008E1CBE" w:rsidRPr="00FC0B7D" w:rsidRDefault="008E1CBE" w:rsidP="00965627">
            <w:pPr>
              <w:keepNext/>
              <w:spacing w:before="40" w:after="40"/>
              <w:rPr>
                <w:noProof/>
                <w:sz w:val="20"/>
              </w:rPr>
            </w:pPr>
            <w:r>
              <w:rPr>
                <w:sz w:val="20"/>
              </w:rPr>
              <w:t>Information en matière de dessins et modèles industriels</w:t>
            </w:r>
          </w:p>
        </w:tc>
        <w:tc>
          <w:tcPr>
            <w:tcW w:w="613" w:type="pct"/>
          </w:tcPr>
          <w:p w14:paraId="08340C0F" w14:textId="77777777" w:rsidR="008E1CBE" w:rsidRPr="00FC0B7D" w:rsidRDefault="008E1CBE" w:rsidP="00965627">
            <w:pPr>
              <w:keepNext/>
              <w:spacing w:before="40" w:after="40"/>
              <w:jc w:val="center"/>
              <w:rPr>
                <w:noProof/>
                <w:sz w:val="20"/>
              </w:rPr>
            </w:pPr>
            <w:r>
              <w:rPr>
                <w:sz w:val="20"/>
              </w:rPr>
              <w:t>15</w:t>
            </w:r>
          </w:p>
        </w:tc>
        <w:tc>
          <w:tcPr>
            <w:tcW w:w="613" w:type="pct"/>
          </w:tcPr>
          <w:p w14:paraId="4FBF5571" w14:textId="77777777" w:rsidR="008E1CBE" w:rsidRPr="00FC0B7D" w:rsidRDefault="008E1CBE" w:rsidP="00965627">
            <w:pPr>
              <w:keepNext/>
              <w:spacing w:before="40" w:after="40"/>
              <w:jc w:val="center"/>
              <w:rPr>
                <w:noProof/>
                <w:sz w:val="20"/>
              </w:rPr>
            </w:pPr>
            <w:r>
              <w:rPr>
                <w:sz w:val="20"/>
              </w:rPr>
              <w:t>19</w:t>
            </w:r>
          </w:p>
        </w:tc>
        <w:tc>
          <w:tcPr>
            <w:tcW w:w="613" w:type="pct"/>
          </w:tcPr>
          <w:p w14:paraId="7A3DC084" w14:textId="77777777" w:rsidR="008E1CBE" w:rsidRPr="00FC0B7D" w:rsidRDefault="008E1CBE" w:rsidP="00965627">
            <w:pPr>
              <w:keepNext/>
              <w:spacing w:before="40" w:after="40"/>
              <w:jc w:val="center"/>
              <w:rPr>
                <w:noProof/>
                <w:sz w:val="20"/>
              </w:rPr>
            </w:pPr>
            <w:r>
              <w:rPr>
                <w:sz w:val="20"/>
              </w:rPr>
              <w:t>21</w:t>
            </w:r>
          </w:p>
        </w:tc>
        <w:tc>
          <w:tcPr>
            <w:tcW w:w="613" w:type="pct"/>
          </w:tcPr>
          <w:p w14:paraId="2E0F7A72" w14:textId="77777777" w:rsidR="008E1CBE" w:rsidRPr="00FC0B7D" w:rsidRDefault="008E1CBE" w:rsidP="00965627">
            <w:pPr>
              <w:keepNext/>
              <w:spacing w:before="40" w:after="40"/>
              <w:jc w:val="center"/>
              <w:rPr>
                <w:noProof/>
                <w:sz w:val="20"/>
              </w:rPr>
            </w:pPr>
            <w:r>
              <w:rPr>
                <w:sz w:val="20"/>
              </w:rPr>
              <w:t>26</w:t>
            </w:r>
          </w:p>
        </w:tc>
        <w:tc>
          <w:tcPr>
            <w:tcW w:w="613" w:type="pct"/>
          </w:tcPr>
          <w:p w14:paraId="22D92FDF" w14:textId="77777777" w:rsidR="008E1CBE" w:rsidRPr="00FC0B7D" w:rsidRDefault="008E1CBE" w:rsidP="00965627">
            <w:pPr>
              <w:keepNext/>
              <w:spacing w:before="40" w:after="40"/>
              <w:jc w:val="center"/>
              <w:rPr>
                <w:noProof/>
                <w:sz w:val="20"/>
              </w:rPr>
            </w:pPr>
            <w:r>
              <w:rPr>
                <w:sz w:val="20"/>
              </w:rPr>
              <w:t>25</w:t>
            </w:r>
          </w:p>
        </w:tc>
      </w:tr>
      <w:tr w:rsidR="008E1CBE" w:rsidRPr="00FC0B7D" w14:paraId="64781324" w14:textId="77777777" w:rsidTr="00AC541A">
        <w:trPr>
          <w:trHeight w:val="20"/>
        </w:trPr>
        <w:tc>
          <w:tcPr>
            <w:tcW w:w="1935" w:type="pct"/>
          </w:tcPr>
          <w:p w14:paraId="1C44CF47" w14:textId="77777777" w:rsidR="008E1CBE" w:rsidRPr="00FC0B7D" w:rsidRDefault="008E1CBE" w:rsidP="00965627">
            <w:pPr>
              <w:keepNext/>
              <w:spacing w:before="40" w:after="40"/>
              <w:rPr>
                <w:noProof/>
                <w:sz w:val="20"/>
              </w:rPr>
            </w:pPr>
            <w:r>
              <w:rPr>
                <w:sz w:val="20"/>
              </w:rPr>
              <w:t>Information en matière de brevets</w:t>
            </w:r>
          </w:p>
        </w:tc>
        <w:tc>
          <w:tcPr>
            <w:tcW w:w="613" w:type="pct"/>
          </w:tcPr>
          <w:p w14:paraId="16D09AD5" w14:textId="77777777" w:rsidR="008E1CBE" w:rsidRPr="00FC0B7D" w:rsidRDefault="008E1CBE" w:rsidP="00965627">
            <w:pPr>
              <w:keepNext/>
              <w:spacing w:before="40" w:after="40"/>
              <w:jc w:val="center"/>
              <w:rPr>
                <w:noProof/>
                <w:sz w:val="20"/>
              </w:rPr>
            </w:pPr>
            <w:r>
              <w:rPr>
                <w:sz w:val="20"/>
              </w:rPr>
              <w:t>17</w:t>
            </w:r>
          </w:p>
        </w:tc>
        <w:tc>
          <w:tcPr>
            <w:tcW w:w="613" w:type="pct"/>
          </w:tcPr>
          <w:p w14:paraId="5BD099A8" w14:textId="77777777" w:rsidR="008E1CBE" w:rsidRPr="00FC0B7D" w:rsidRDefault="008E1CBE" w:rsidP="00965627">
            <w:pPr>
              <w:keepNext/>
              <w:spacing w:before="40" w:after="40"/>
              <w:jc w:val="center"/>
              <w:rPr>
                <w:noProof/>
                <w:sz w:val="20"/>
              </w:rPr>
            </w:pPr>
            <w:r>
              <w:rPr>
                <w:sz w:val="20"/>
              </w:rPr>
              <w:t>20</w:t>
            </w:r>
          </w:p>
        </w:tc>
        <w:tc>
          <w:tcPr>
            <w:tcW w:w="613" w:type="pct"/>
          </w:tcPr>
          <w:p w14:paraId="6CA3B408" w14:textId="77777777" w:rsidR="008E1CBE" w:rsidRPr="00FC0B7D" w:rsidRDefault="008E1CBE" w:rsidP="00965627">
            <w:pPr>
              <w:keepNext/>
              <w:spacing w:before="40" w:after="40"/>
              <w:jc w:val="center"/>
              <w:rPr>
                <w:noProof/>
                <w:sz w:val="20"/>
              </w:rPr>
            </w:pPr>
            <w:r>
              <w:rPr>
                <w:sz w:val="20"/>
              </w:rPr>
              <w:t>24</w:t>
            </w:r>
          </w:p>
        </w:tc>
        <w:tc>
          <w:tcPr>
            <w:tcW w:w="613" w:type="pct"/>
          </w:tcPr>
          <w:p w14:paraId="5F3E91F0" w14:textId="77777777" w:rsidR="008E1CBE" w:rsidRPr="00FC0B7D" w:rsidRDefault="008E1CBE" w:rsidP="00965627">
            <w:pPr>
              <w:keepNext/>
              <w:spacing w:before="40" w:after="40"/>
              <w:jc w:val="center"/>
              <w:rPr>
                <w:noProof/>
                <w:sz w:val="20"/>
              </w:rPr>
            </w:pPr>
            <w:r>
              <w:rPr>
                <w:sz w:val="20"/>
              </w:rPr>
              <w:t>28</w:t>
            </w:r>
          </w:p>
        </w:tc>
        <w:tc>
          <w:tcPr>
            <w:tcW w:w="613" w:type="pct"/>
          </w:tcPr>
          <w:p w14:paraId="7E7187EA" w14:textId="77777777" w:rsidR="008E1CBE" w:rsidRPr="00FC0B7D" w:rsidRDefault="008E1CBE" w:rsidP="00965627">
            <w:pPr>
              <w:keepNext/>
              <w:spacing w:before="40" w:after="40"/>
              <w:jc w:val="center"/>
              <w:rPr>
                <w:noProof/>
                <w:sz w:val="20"/>
              </w:rPr>
            </w:pPr>
            <w:r>
              <w:rPr>
                <w:sz w:val="20"/>
              </w:rPr>
              <w:t>25</w:t>
            </w:r>
          </w:p>
        </w:tc>
      </w:tr>
      <w:tr w:rsidR="008E1CBE" w:rsidRPr="00FC0B7D" w14:paraId="72819B2F" w14:textId="77777777" w:rsidTr="00AC541A">
        <w:trPr>
          <w:trHeight w:val="20"/>
        </w:trPr>
        <w:tc>
          <w:tcPr>
            <w:tcW w:w="1935" w:type="pct"/>
          </w:tcPr>
          <w:p w14:paraId="6D834516" w14:textId="77777777" w:rsidR="008E1CBE" w:rsidRPr="00FC0B7D" w:rsidRDefault="008E1CBE" w:rsidP="00965627">
            <w:pPr>
              <w:keepNext/>
              <w:spacing w:before="40" w:after="40"/>
              <w:rPr>
                <w:noProof/>
                <w:sz w:val="20"/>
              </w:rPr>
            </w:pPr>
            <w:r>
              <w:rPr>
                <w:sz w:val="20"/>
              </w:rPr>
              <w:t>Information en matière de marques</w:t>
            </w:r>
          </w:p>
        </w:tc>
        <w:tc>
          <w:tcPr>
            <w:tcW w:w="613" w:type="pct"/>
          </w:tcPr>
          <w:p w14:paraId="5FFE443E" w14:textId="77777777" w:rsidR="008E1CBE" w:rsidRPr="00FC0B7D" w:rsidRDefault="008E1CBE" w:rsidP="00965627">
            <w:pPr>
              <w:keepNext/>
              <w:spacing w:before="40" w:after="40"/>
              <w:jc w:val="center"/>
              <w:rPr>
                <w:noProof/>
                <w:sz w:val="20"/>
              </w:rPr>
            </w:pPr>
            <w:r>
              <w:rPr>
                <w:sz w:val="20"/>
              </w:rPr>
              <w:t>15</w:t>
            </w:r>
          </w:p>
        </w:tc>
        <w:tc>
          <w:tcPr>
            <w:tcW w:w="613" w:type="pct"/>
          </w:tcPr>
          <w:p w14:paraId="388CE40D" w14:textId="77777777" w:rsidR="008E1CBE" w:rsidRPr="00FC0B7D" w:rsidRDefault="008E1CBE" w:rsidP="00965627">
            <w:pPr>
              <w:keepNext/>
              <w:spacing w:before="40" w:after="40"/>
              <w:jc w:val="center"/>
              <w:rPr>
                <w:noProof/>
                <w:sz w:val="20"/>
              </w:rPr>
            </w:pPr>
            <w:r>
              <w:rPr>
                <w:sz w:val="20"/>
              </w:rPr>
              <w:t>21</w:t>
            </w:r>
          </w:p>
        </w:tc>
        <w:tc>
          <w:tcPr>
            <w:tcW w:w="613" w:type="pct"/>
          </w:tcPr>
          <w:p w14:paraId="1015A549" w14:textId="77777777" w:rsidR="008E1CBE" w:rsidRPr="00FC0B7D" w:rsidRDefault="008E1CBE" w:rsidP="00965627">
            <w:pPr>
              <w:keepNext/>
              <w:spacing w:before="40" w:after="40"/>
              <w:jc w:val="center"/>
              <w:rPr>
                <w:noProof/>
                <w:sz w:val="20"/>
              </w:rPr>
            </w:pPr>
            <w:r>
              <w:rPr>
                <w:sz w:val="20"/>
              </w:rPr>
              <w:t>24</w:t>
            </w:r>
          </w:p>
        </w:tc>
        <w:tc>
          <w:tcPr>
            <w:tcW w:w="613" w:type="pct"/>
          </w:tcPr>
          <w:p w14:paraId="29729DD7" w14:textId="77777777" w:rsidR="008E1CBE" w:rsidRPr="00FC0B7D" w:rsidRDefault="008E1CBE" w:rsidP="00965627">
            <w:pPr>
              <w:keepNext/>
              <w:spacing w:before="40" w:after="40"/>
              <w:jc w:val="center"/>
              <w:rPr>
                <w:noProof/>
                <w:sz w:val="20"/>
              </w:rPr>
            </w:pPr>
            <w:r>
              <w:rPr>
                <w:sz w:val="20"/>
              </w:rPr>
              <w:t>30</w:t>
            </w:r>
          </w:p>
        </w:tc>
        <w:tc>
          <w:tcPr>
            <w:tcW w:w="613" w:type="pct"/>
          </w:tcPr>
          <w:p w14:paraId="2D1DFD0D" w14:textId="77777777" w:rsidR="008E1CBE" w:rsidRPr="00FC0B7D" w:rsidRDefault="008E1CBE" w:rsidP="00965627">
            <w:pPr>
              <w:keepNext/>
              <w:spacing w:before="40" w:after="40"/>
              <w:jc w:val="center"/>
              <w:rPr>
                <w:noProof/>
                <w:sz w:val="20"/>
              </w:rPr>
            </w:pPr>
            <w:r>
              <w:rPr>
                <w:sz w:val="20"/>
              </w:rPr>
              <w:t>30</w:t>
            </w:r>
          </w:p>
        </w:tc>
      </w:tr>
      <w:tr w:rsidR="008E1CBE" w:rsidRPr="00FC0B7D" w14:paraId="7F7B1A77" w14:textId="77777777" w:rsidTr="00AC541A">
        <w:trPr>
          <w:trHeight w:val="20"/>
        </w:trPr>
        <w:tc>
          <w:tcPr>
            <w:tcW w:w="1935" w:type="pct"/>
          </w:tcPr>
          <w:p w14:paraId="712B5481" w14:textId="77777777" w:rsidR="008E1CBE" w:rsidRPr="00FC0B7D" w:rsidRDefault="008E1CBE" w:rsidP="00965627">
            <w:pPr>
              <w:keepNext/>
              <w:spacing w:before="40" w:after="40"/>
              <w:rPr>
                <w:b/>
                <w:bCs/>
                <w:noProof/>
                <w:sz w:val="20"/>
              </w:rPr>
            </w:pPr>
            <w:r>
              <w:rPr>
                <w:b/>
                <w:sz w:val="20"/>
              </w:rPr>
              <w:t>Nombre total de rapports techniques annuels</w:t>
            </w:r>
          </w:p>
        </w:tc>
        <w:tc>
          <w:tcPr>
            <w:tcW w:w="613" w:type="pct"/>
          </w:tcPr>
          <w:p w14:paraId="2655D193" w14:textId="77777777" w:rsidR="008E1CBE" w:rsidRPr="00FC0B7D" w:rsidRDefault="008E1CBE" w:rsidP="00965627">
            <w:pPr>
              <w:keepNext/>
              <w:spacing w:before="40" w:after="40"/>
              <w:jc w:val="center"/>
              <w:rPr>
                <w:b/>
                <w:bCs/>
                <w:noProof/>
                <w:sz w:val="20"/>
              </w:rPr>
            </w:pPr>
            <w:r>
              <w:rPr>
                <w:b/>
                <w:sz w:val="20"/>
              </w:rPr>
              <w:t>47</w:t>
            </w:r>
          </w:p>
        </w:tc>
        <w:tc>
          <w:tcPr>
            <w:tcW w:w="613" w:type="pct"/>
          </w:tcPr>
          <w:p w14:paraId="4555BFDB" w14:textId="77777777" w:rsidR="008E1CBE" w:rsidRPr="00FC0B7D" w:rsidRDefault="008E1CBE" w:rsidP="00965627">
            <w:pPr>
              <w:keepNext/>
              <w:spacing w:before="40" w:after="40"/>
              <w:jc w:val="center"/>
              <w:rPr>
                <w:b/>
                <w:bCs/>
                <w:noProof/>
                <w:sz w:val="20"/>
              </w:rPr>
            </w:pPr>
            <w:r>
              <w:rPr>
                <w:b/>
                <w:sz w:val="20"/>
              </w:rPr>
              <w:t>60</w:t>
            </w:r>
          </w:p>
        </w:tc>
        <w:tc>
          <w:tcPr>
            <w:tcW w:w="613" w:type="pct"/>
          </w:tcPr>
          <w:p w14:paraId="05AE0B08" w14:textId="77777777" w:rsidR="008E1CBE" w:rsidRPr="00FC0B7D" w:rsidRDefault="008E1CBE" w:rsidP="00965627">
            <w:pPr>
              <w:keepNext/>
              <w:spacing w:before="40" w:after="40"/>
              <w:jc w:val="center"/>
              <w:rPr>
                <w:b/>
                <w:bCs/>
                <w:noProof/>
                <w:sz w:val="20"/>
              </w:rPr>
            </w:pPr>
            <w:r>
              <w:rPr>
                <w:b/>
                <w:sz w:val="20"/>
              </w:rPr>
              <w:t>69</w:t>
            </w:r>
          </w:p>
        </w:tc>
        <w:tc>
          <w:tcPr>
            <w:tcW w:w="613" w:type="pct"/>
          </w:tcPr>
          <w:p w14:paraId="00E9D68D" w14:textId="77777777" w:rsidR="008E1CBE" w:rsidRPr="00FC0B7D" w:rsidRDefault="008E1CBE" w:rsidP="00965627">
            <w:pPr>
              <w:keepNext/>
              <w:spacing w:before="40" w:after="40"/>
              <w:jc w:val="center"/>
              <w:rPr>
                <w:b/>
                <w:bCs/>
                <w:noProof/>
                <w:sz w:val="20"/>
              </w:rPr>
            </w:pPr>
            <w:r>
              <w:rPr>
                <w:b/>
                <w:sz w:val="20"/>
              </w:rPr>
              <w:t>84</w:t>
            </w:r>
          </w:p>
        </w:tc>
        <w:tc>
          <w:tcPr>
            <w:tcW w:w="613" w:type="pct"/>
          </w:tcPr>
          <w:p w14:paraId="25D88BE2" w14:textId="77777777" w:rsidR="008E1CBE" w:rsidRPr="00FC0B7D" w:rsidRDefault="008E1CBE" w:rsidP="00965627">
            <w:pPr>
              <w:keepNext/>
              <w:spacing w:before="40" w:after="40"/>
              <w:jc w:val="center"/>
              <w:rPr>
                <w:b/>
                <w:bCs/>
                <w:noProof/>
                <w:sz w:val="20"/>
              </w:rPr>
            </w:pPr>
            <w:r>
              <w:rPr>
                <w:b/>
                <w:sz w:val="20"/>
              </w:rPr>
              <w:t>80</w:t>
            </w:r>
          </w:p>
        </w:tc>
      </w:tr>
    </w:tbl>
    <w:p w14:paraId="30B349DF" w14:textId="77777777" w:rsidR="008E1CBE" w:rsidRDefault="008E1CBE" w:rsidP="00AC541A">
      <w:pPr>
        <w:pStyle w:val="Caption"/>
        <w:keepNext/>
        <w:rPr>
          <w:rStyle w:val="IntenseEmphasis"/>
          <w:i w:val="0"/>
          <w:iCs w:val="0"/>
          <w:color w:val="auto"/>
        </w:rPr>
      </w:pPr>
    </w:p>
    <w:p w14:paraId="6925AAD4" w14:textId="77777777" w:rsidR="008E1CBE" w:rsidRPr="007A6D4F" w:rsidRDefault="008E1CBE" w:rsidP="008E1CBE">
      <w:pPr>
        <w:pStyle w:val="Caption"/>
      </w:pPr>
      <w:r>
        <w:rPr>
          <w:rStyle w:val="IntenseEmphasis"/>
          <w:i w:val="0"/>
          <w:color w:val="auto"/>
        </w:rPr>
        <w:t>Tableau 1 : Nombre de rapports techniques annuels soumis concernant les activités de 2021 à 2025</w:t>
      </w:r>
    </w:p>
    <w:p w14:paraId="65177768" w14:textId="77777777" w:rsidR="008E1CBE" w:rsidRPr="002E28EB" w:rsidRDefault="008E1CBE" w:rsidP="008E1CBE">
      <w:pPr>
        <w:pStyle w:val="Heading2"/>
      </w:pPr>
      <w:r>
        <w:t>État d’avancement de la mise en œuvre des normes de l’OMPI</w:t>
      </w:r>
    </w:p>
    <w:p w14:paraId="504CBC4D" w14:textId="591DF62B" w:rsidR="008E1CBE" w:rsidRPr="00E26370" w:rsidRDefault="008E1CBE" w:rsidP="00AC541A">
      <w:pPr>
        <w:pStyle w:val="ONUMFS"/>
      </w:pPr>
      <w:r>
        <w:t xml:space="preserve">Les informations communiquées dans les rapports techniques annuels de 2025 révèlent des disparités importantes entre les offices de propriété intellectuelle concernant la mise en œuvre des normes de l’OMPI relatives aux brevets, aux marques et aux dessins et modèles industriels.  De nombreux offices ont mis en œuvre, entièrement ou partiellement, un grand nombre de normes, tandis que d’autres normes ne sont appliquées que par un nombre plus restreint d’offices ou sont encore au stade de la mise en œuvre, de la planification ou de l’évaluation. </w:t>
      </w:r>
      <w:r w:rsidR="0024180C">
        <w:t xml:space="preserve"> </w:t>
      </w:r>
      <w:r>
        <w:t xml:space="preserve">Certains offices n’ont pas indiqué l’état d’avancement de la mise en œuvre de certaines normes;  il convient de tenir compte de ces lacunes dans l’évaluation d’ensemble de la mise en œuvre. </w:t>
      </w:r>
    </w:p>
    <w:p w14:paraId="2AE0C8EA" w14:textId="02FDAE8D" w:rsidR="008E1CBE" w:rsidRPr="00E26370" w:rsidRDefault="008E1CBE" w:rsidP="00AC541A">
      <w:pPr>
        <w:pStyle w:val="ONUMFS"/>
      </w:pPr>
      <w:r>
        <w:t xml:space="preserve">L’analyse confirme néanmoins que chaque norme de l’OMPI est mise en œuvre, soit entièrement, soit partiellement, par au moins un office de propriété intellectuelle.  Par conséquent, sur la base des informations actuellement disponibles, aucune norme de l’OMPI n’a été recensée comme pouvant être archivée à ce stade. </w:t>
      </w:r>
      <w:r w:rsidR="0024180C">
        <w:t xml:space="preserve"> </w:t>
      </w:r>
      <w:r>
        <w:t>Des informations détaillées sur l’état d’avancement de la mise en œuvre communiqué par chaque office figurent dans l’annexe du présent document.</w:t>
      </w:r>
    </w:p>
    <w:p w14:paraId="0C8884EA" w14:textId="77777777" w:rsidR="008E1CBE" w:rsidRPr="002E28EB" w:rsidRDefault="008E1CBE" w:rsidP="008E1CBE">
      <w:pPr>
        <w:pStyle w:val="Heading2"/>
      </w:pPr>
      <w:r>
        <w:t>Proposition de mise à jour de la partie 7.12 du Manuel de l’OMPI</w:t>
      </w:r>
    </w:p>
    <w:p w14:paraId="6C5FB88E" w14:textId="6BEC403E" w:rsidR="008E1CBE" w:rsidRPr="002E28EB" w:rsidRDefault="008E1CBE" w:rsidP="00AC541A">
      <w:pPr>
        <w:pStyle w:val="ONUMFS"/>
        <w:rPr>
          <w:rFonts w:eastAsiaTheme="minorEastAsia"/>
        </w:rPr>
      </w:pPr>
      <w:r>
        <w:t xml:space="preserve">La partie 7.12 du Manuel de l’OMPI fournit des informations sur les pratiques des offices de propriété intellectuelle concernant l’utilisation des normes de l’OMPI, sur la base des résultats de l’enquête sur l’utilisation des normes de l’OMPI.  La partie 7.12 a été mise à jour pour la dernière fois en 2016; </w:t>
      </w:r>
      <w:r w:rsidR="0024180C">
        <w:t xml:space="preserve"> </w:t>
      </w:r>
      <w:r>
        <w:t xml:space="preserve">elle est disponible à l’adresse suivante : </w:t>
      </w:r>
      <w:hyperlink r:id="rId17" w:history="1">
        <w:r>
          <w:rPr>
            <w:rStyle w:val="Hyperlink"/>
          </w:rPr>
          <w:t>https://confluence.wipo.int/confluence/spaces/usestandards/pages/79888440/CWS+Survey+on+the+use+of+WIPO+Standards+Home</w:t>
        </w:r>
      </w:hyperlink>
      <w:r>
        <w:t>.</w:t>
      </w:r>
    </w:p>
    <w:p w14:paraId="2F381E97" w14:textId="77777777" w:rsidR="008E1CBE" w:rsidRDefault="008E1CBE" w:rsidP="00965627">
      <w:pPr>
        <w:pStyle w:val="ONUMFS"/>
        <w:keepLines/>
      </w:pPr>
      <w:r>
        <w:t>L’introduction de la section VII dans les modèles de rapports techniques annuels a permis de mettre en place un mécanisme régulier et structuré de collecte d’informations actualisées auprès des offices de propriété intellectuelle concernant leur utilisation des normes de l’OMPI.  Les modèles révisés pour les rapports techniques annuels de 2025 couvraient l’ensemble des normes de l’OMPI et les options correspondantes relatives à l’état d’avancement de leur mise en œuvre, alignant ainsi les informations recueillies dans le cadre du processus d’établissement des rapports techniques annuels sur la partie 7.12 du Manuel de l’OMPI.</w:t>
      </w:r>
    </w:p>
    <w:p w14:paraId="16FA5C34" w14:textId="77777777" w:rsidR="008E1CBE" w:rsidRDefault="008E1CBE" w:rsidP="00AC541A">
      <w:pPr>
        <w:pStyle w:val="ONUMFS"/>
      </w:pPr>
      <w:r>
        <w:t>Le Secrétariat propose de mettre à jour la partie 7.12 du Manuel de l’OMPI, intitulée “Enquête sur l’utilisation des normes de l’OMPI”, en s’appuyant sur les informations relatives à la mise en œuvre des normes de l’OMPI recueillies par l’intermédiaire des rapports techniques annuels.  En outre, le Secrétariat propose que la section VII des modèles de rapports techniques annuels soit révisée afin de tenir compte des normes adoptées récemment et de toute modification apportée aux normes existantes, le cas échéant.  Cela permettrait de tenir la partie 7.12 à jour et de fournir une vue d’ensemble consolidée de la manière dont les offices de propriété intellectuelle mettent en œuvre les normes de l’OMPI.</w:t>
      </w:r>
    </w:p>
    <w:p w14:paraId="1DAFE619" w14:textId="77777777" w:rsidR="008E1CBE" w:rsidRPr="00AC541A" w:rsidRDefault="008E1CBE" w:rsidP="00AC541A">
      <w:pPr>
        <w:pStyle w:val="ONUMFS"/>
        <w:ind w:left="5533"/>
        <w:rPr>
          <w:i/>
          <w:iCs/>
        </w:rPr>
      </w:pPr>
      <w:r w:rsidRPr="00AC541A">
        <w:rPr>
          <w:i/>
          <w:iCs/>
        </w:rPr>
        <w:t>Le CWS est invité</w:t>
      </w:r>
    </w:p>
    <w:p w14:paraId="001B1132" w14:textId="77777777" w:rsidR="008E1CBE" w:rsidRPr="00AC541A" w:rsidRDefault="008E1CBE" w:rsidP="00AC541A">
      <w:pPr>
        <w:pStyle w:val="ONUMFS"/>
        <w:numPr>
          <w:ilvl w:val="1"/>
          <w:numId w:val="6"/>
        </w:numPr>
        <w:ind w:left="5529" w:firstLine="708"/>
        <w:rPr>
          <w:i/>
          <w:iCs/>
        </w:rPr>
      </w:pPr>
      <w:r w:rsidRPr="00AC541A">
        <w:rPr>
          <w:i/>
          <w:iCs/>
        </w:rPr>
        <w:t>à prendre note du contenu du présent document, en particulier des statistiques concernant la mise en œuvre des normes de l’OMPI comme indiqué aux paragraphes 12 et 13 et dans l’annexe du présent document,</w:t>
      </w:r>
    </w:p>
    <w:p w14:paraId="296F62EA" w14:textId="77777777" w:rsidR="008E1CBE" w:rsidRPr="00AC541A" w:rsidRDefault="008E1CBE" w:rsidP="00AC541A">
      <w:pPr>
        <w:pStyle w:val="ONUMFS"/>
        <w:numPr>
          <w:ilvl w:val="1"/>
          <w:numId w:val="6"/>
        </w:numPr>
        <w:ind w:left="5533" w:firstLine="704"/>
        <w:rPr>
          <w:i/>
          <w:iCs/>
        </w:rPr>
      </w:pPr>
      <w:r w:rsidRPr="00AC541A">
        <w:rPr>
          <w:i/>
          <w:iCs/>
        </w:rPr>
        <w:t xml:space="preserve">à encourager ses membres à soumettre leurs rapports techniques annuels, y compris des informations complètes sur l’état d’avancement de la mise en œuvre des normes de l’OMPI applicables, </w:t>
      </w:r>
    </w:p>
    <w:p w14:paraId="313263E2" w14:textId="77777777" w:rsidR="008E1CBE" w:rsidRPr="00AC541A" w:rsidRDefault="008E1CBE" w:rsidP="00AC541A">
      <w:pPr>
        <w:pStyle w:val="ONUMFS"/>
        <w:numPr>
          <w:ilvl w:val="1"/>
          <w:numId w:val="6"/>
        </w:numPr>
        <w:ind w:left="5533" w:firstLine="704"/>
        <w:rPr>
          <w:i/>
          <w:iCs/>
        </w:rPr>
      </w:pPr>
      <w:r w:rsidRPr="00AC541A">
        <w:rPr>
          <w:i/>
          <w:iCs/>
        </w:rPr>
        <w:t>à encourager ses membres à solliciter, le cas échéant, l’appui ou l’assistance technique du Secrétariat en ce qui concerne la mise en œuvre des normes de l’OMPI,</w:t>
      </w:r>
    </w:p>
    <w:p w14:paraId="752E91CA" w14:textId="77777777" w:rsidR="008E1CBE" w:rsidRPr="00AC541A" w:rsidRDefault="008E1CBE" w:rsidP="00AC541A">
      <w:pPr>
        <w:pStyle w:val="ONUMFS"/>
        <w:numPr>
          <w:ilvl w:val="1"/>
          <w:numId w:val="6"/>
        </w:numPr>
        <w:ind w:left="5533" w:firstLine="704"/>
        <w:rPr>
          <w:i/>
          <w:iCs/>
        </w:rPr>
      </w:pPr>
      <w:r w:rsidRPr="00AC541A">
        <w:rPr>
          <w:i/>
          <w:iCs/>
        </w:rPr>
        <w:t xml:space="preserve">à approuver la mise à jour proposée de la partie 7.12 du Manuel de l’OMPI sur la base des informations relatives à la mise en œuvre des normes de l’OMPI recueillies par l’intermédiaire des rapports techniques annuels, comme indiqué aux paragraphes 14 à 16, </w:t>
      </w:r>
    </w:p>
    <w:p w14:paraId="169BF789" w14:textId="77777777" w:rsidR="008E1CBE" w:rsidRPr="00AC541A" w:rsidRDefault="008E1CBE" w:rsidP="00965627">
      <w:pPr>
        <w:pStyle w:val="ONUMFS"/>
        <w:keepLines/>
        <w:numPr>
          <w:ilvl w:val="1"/>
          <w:numId w:val="6"/>
        </w:numPr>
        <w:ind w:left="5533" w:firstLine="704"/>
        <w:rPr>
          <w:i/>
          <w:iCs/>
        </w:rPr>
      </w:pPr>
      <w:r w:rsidRPr="00AC541A">
        <w:rPr>
          <w:i/>
          <w:iCs/>
        </w:rPr>
        <w:t xml:space="preserve">à prier le Secrétariat de mettre à jour chaque année la partie 7.12 du Manuel de l’OMPI afin de tenir compte des informations actualisées sur la mise en œuvre des normes de l’OMPI recueillies par l’intermédiaire des rapports techniques annuels, et </w:t>
      </w:r>
    </w:p>
    <w:p w14:paraId="3AC38BB7" w14:textId="029529B0" w:rsidR="008E1CBE" w:rsidRPr="00AC541A" w:rsidRDefault="008E1CBE" w:rsidP="00AC541A">
      <w:pPr>
        <w:pStyle w:val="ONUMFS"/>
        <w:numPr>
          <w:ilvl w:val="1"/>
          <w:numId w:val="6"/>
        </w:numPr>
        <w:ind w:left="5533" w:firstLine="704"/>
        <w:rPr>
          <w:i/>
          <w:iCs/>
        </w:rPr>
      </w:pPr>
      <w:r w:rsidRPr="00AC541A">
        <w:rPr>
          <w:i/>
          <w:iCs/>
        </w:rPr>
        <w:t>à approuver la proposition de révision de la section VII des modèles de rapports techniques annuels, le cas échéant, afin de tenir compte des normes adoptées récemment et de toute modification apportée aux normes existantes, comme indiqué au paragraphe 16.</w:t>
      </w:r>
    </w:p>
    <w:p w14:paraId="25FE3630" w14:textId="6AF5A336" w:rsidR="0099108F" w:rsidRDefault="008E1CBE" w:rsidP="00AC541A">
      <w:pPr>
        <w:pStyle w:val="Endofdocument-Annex"/>
        <w:spacing w:before="720"/>
      </w:pPr>
      <w:r>
        <w:t>[</w:t>
      </w:r>
      <w:proofErr w:type="spellStart"/>
      <w:r>
        <w:t>L’annexe</w:t>
      </w:r>
      <w:proofErr w:type="spellEnd"/>
      <w:r>
        <w:t xml:space="preserve"> suit]</w:t>
      </w:r>
    </w:p>
    <w:sectPr w:rsidR="0099108F" w:rsidSect="00D871A7">
      <w:headerReference w:type="default" r:id="rId18"/>
      <w:endnotePr>
        <w:numFmt w:val="decimal"/>
      </w:endnotePr>
      <w:pgSz w:w="11907" w:h="16840" w:code="9"/>
      <w:pgMar w:top="567" w:right="1134" w:bottom="1418" w:left="1418" w:header="510" w:footer="102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43D32B" w14:textId="77777777" w:rsidR="00663679" w:rsidRPr="00290DCD" w:rsidRDefault="00663679">
      <w:r w:rsidRPr="00290DCD">
        <w:separator/>
      </w:r>
    </w:p>
  </w:endnote>
  <w:endnote w:type="continuationSeparator" w:id="0">
    <w:p w14:paraId="63F07512" w14:textId="77777777" w:rsidR="00663679" w:rsidRPr="00290DCD" w:rsidRDefault="00663679" w:rsidP="00D45252">
      <w:pPr>
        <w:rPr>
          <w:sz w:val="17"/>
          <w:szCs w:val="17"/>
        </w:rPr>
      </w:pPr>
      <w:r w:rsidRPr="00290DCD">
        <w:rPr>
          <w:sz w:val="17"/>
          <w:szCs w:val="17"/>
        </w:rPr>
        <w:separator/>
      </w:r>
    </w:p>
    <w:p w14:paraId="1AC82821" w14:textId="77777777" w:rsidR="00663679" w:rsidRPr="00290DCD" w:rsidRDefault="00663679" w:rsidP="00D45252">
      <w:pPr>
        <w:spacing w:after="60"/>
        <w:rPr>
          <w:sz w:val="17"/>
          <w:szCs w:val="17"/>
        </w:rPr>
      </w:pPr>
      <w:r w:rsidRPr="00290DCD">
        <w:rPr>
          <w:sz w:val="17"/>
          <w:szCs w:val="17"/>
        </w:rPr>
        <w:t>[Suite de la note de la page précédente]</w:t>
      </w:r>
    </w:p>
  </w:endnote>
  <w:endnote w:type="continuationNotice" w:id="1">
    <w:p w14:paraId="37585600" w14:textId="77777777" w:rsidR="00663679" w:rsidRPr="00290DCD" w:rsidRDefault="00663679" w:rsidP="009D30E6">
      <w:pPr>
        <w:spacing w:before="60"/>
        <w:jc w:val="right"/>
        <w:rPr>
          <w:sz w:val="17"/>
          <w:szCs w:val="17"/>
        </w:rPr>
      </w:pPr>
      <w:r w:rsidRPr="00290DCD">
        <w:rPr>
          <w:sz w:val="17"/>
          <w:szCs w:val="17"/>
        </w:rPr>
        <w:t>[Suite de la note page suivante]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F22A88" w14:textId="77777777" w:rsidR="00663679" w:rsidRPr="00290DCD" w:rsidRDefault="00663679">
      <w:r w:rsidRPr="00290DCD">
        <w:separator/>
      </w:r>
    </w:p>
  </w:footnote>
  <w:footnote w:type="continuationSeparator" w:id="0">
    <w:p w14:paraId="5E10DC21" w14:textId="77777777" w:rsidR="00663679" w:rsidRPr="00290DCD" w:rsidRDefault="00663679" w:rsidP="007461F1">
      <w:r w:rsidRPr="00290DCD">
        <w:separator/>
      </w:r>
    </w:p>
    <w:p w14:paraId="47D9B475" w14:textId="77777777" w:rsidR="00663679" w:rsidRPr="00290DCD" w:rsidRDefault="00663679" w:rsidP="007461F1">
      <w:pPr>
        <w:spacing w:after="60"/>
        <w:rPr>
          <w:sz w:val="17"/>
          <w:szCs w:val="17"/>
        </w:rPr>
      </w:pPr>
      <w:r w:rsidRPr="00290DCD">
        <w:rPr>
          <w:sz w:val="17"/>
          <w:szCs w:val="17"/>
        </w:rPr>
        <w:t>[Suite de la note de la page précédente]</w:t>
      </w:r>
    </w:p>
  </w:footnote>
  <w:footnote w:type="continuationNotice" w:id="1">
    <w:p w14:paraId="6548C93F" w14:textId="77777777" w:rsidR="00663679" w:rsidRPr="00290DCD" w:rsidRDefault="00663679" w:rsidP="007461F1">
      <w:pPr>
        <w:spacing w:before="60"/>
        <w:jc w:val="right"/>
        <w:rPr>
          <w:sz w:val="17"/>
          <w:szCs w:val="17"/>
        </w:rPr>
      </w:pPr>
      <w:r w:rsidRPr="00290DCD">
        <w:rPr>
          <w:sz w:val="17"/>
          <w:szCs w:val="17"/>
        </w:rPr>
        <w:t>[Suite de la note page suivante]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3548F" w14:textId="77777777" w:rsidR="00AC541A" w:rsidRDefault="00AC541A" w:rsidP="00AC541A">
    <w:pPr>
      <w:jc w:val="right"/>
    </w:pPr>
    <w:bookmarkStart w:id="5" w:name="Code2"/>
    <w:bookmarkEnd w:id="5"/>
    <w:r>
      <w:t>CWS/14/25</w:t>
    </w:r>
  </w:p>
  <w:p w14:paraId="58661C3E" w14:textId="77777777" w:rsidR="004F4E31" w:rsidRDefault="00F16975" w:rsidP="00AC541A">
    <w:pPr>
      <w:jc w:val="right"/>
    </w:pPr>
    <w:r w:rsidRPr="00290DCD">
      <w:t>page</w:t>
    </w:r>
    <w:r w:rsidR="0099108F" w:rsidRPr="00290DCD">
      <w:t> </w:t>
    </w:r>
    <w:r w:rsidRPr="00290DCD">
      <w:fldChar w:fldCharType="begin"/>
    </w:r>
    <w:r w:rsidRPr="00290DCD">
      <w:instrText xml:space="preserve"> PAGE  \* MERGEFORMAT </w:instrText>
    </w:r>
    <w:r w:rsidRPr="00290DCD">
      <w:fldChar w:fldCharType="separate"/>
    </w:r>
    <w:r w:rsidR="004F4E31" w:rsidRPr="00290DCD">
      <w:t>2</w:t>
    </w:r>
    <w:r w:rsidRPr="00290DCD">
      <w:fldChar w:fldCharType="end"/>
    </w:r>
  </w:p>
  <w:p w14:paraId="2E737E08" w14:textId="77777777" w:rsidR="00AC541A" w:rsidRDefault="00AC541A" w:rsidP="00AC541A">
    <w:pPr>
      <w:jc w:val="right"/>
    </w:pPr>
  </w:p>
  <w:p w14:paraId="400845DE" w14:textId="77777777" w:rsidR="00AC541A" w:rsidRPr="00290DCD" w:rsidRDefault="00AC541A" w:rsidP="00AC541A">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986E3ED8"/>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0F862F31"/>
    <w:multiLevelType w:val="multilevel"/>
    <w:tmpl w:val="649E5EB0"/>
    <w:lvl w:ilvl="0">
      <w:start w:val="1"/>
      <w:numFmt w:val="bullet"/>
      <w:lvlText w:val=""/>
      <w:lvlJc w:val="left"/>
      <w:pPr>
        <w:tabs>
          <w:tab w:val="num" w:pos="927"/>
        </w:tabs>
        <w:ind w:left="927" w:hanging="360"/>
      </w:pPr>
      <w:rPr>
        <w:rFonts w:ascii="Symbol" w:hAnsi="Symbol" w:hint="default"/>
        <w:sz w:val="20"/>
      </w:rPr>
    </w:lvl>
    <w:lvl w:ilvl="1">
      <w:start w:val="1"/>
      <w:numFmt w:val="lowerLetter"/>
      <w:lvlText w:val="(%2)"/>
      <w:lvlJc w:val="left"/>
      <w:pPr>
        <w:ind w:left="2187" w:hanging="900"/>
      </w:pPr>
      <w:rPr>
        <w:rFonts w:hint="default"/>
      </w:rPr>
    </w:lvl>
    <w:lvl w:ilvl="2" w:tentative="1">
      <w:start w:val="1"/>
      <w:numFmt w:val="bullet"/>
      <w:lvlText w:val=""/>
      <w:lvlJc w:val="left"/>
      <w:pPr>
        <w:tabs>
          <w:tab w:val="num" w:pos="2367"/>
        </w:tabs>
        <w:ind w:left="2367" w:hanging="360"/>
      </w:pPr>
      <w:rPr>
        <w:rFonts w:ascii="Wingdings" w:hAnsi="Wingdings" w:hint="default"/>
        <w:sz w:val="20"/>
      </w:rPr>
    </w:lvl>
    <w:lvl w:ilvl="3" w:tentative="1">
      <w:start w:val="1"/>
      <w:numFmt w:val="bullet"/>
      <w:lvlText w:val=""/>
      <w:lvlJc w:val="left"/>
      <w:pPr>
        <w:tabs>
          <w:tab w:val="num" w:pos="3087"/>
        </w:tabs>
        <w:ind w:left="3087" w:hanging="360"/>
      </w:pPr>
      <w:rPr>
        <w:rFonts w:ascii="Wingdings" w:hAnsi="Wingdings" w:hint="default"/>
        <w:sz w:val="20"/>
      </w:rPr>
    </w:lvl>
    <w:lvl w:ilvl="4" w:tentative="1">
      <w:start w:val="1"/>
      <w:numFmt w:val="bullet"/>
      <w:lvlText w:val=""/>
      <w:lvlJc w:val="left"/>
      <w:pPr>
        <w:tabs>
          <w:tab w:val="num" w:pos="3807"/>
        </w:tabs>
        <w:ind w:left="3807" w:hanging="360"/>
      </w:pPr>
      <w:rPr>
        <w:rFonts w:ascii="Wingdings" w:hAnsi="Wingdings" w:hint="default"/>
        <w:sz w:val="20"/>
      </w:rPr>
    </w:lvl>
    <w:lvl w:ilvl="5" w:tentative="1">
      <w:start w:val="1"/>
      <w:numFmt w:val="bullet"/>
      <w:lvlText w:val=""/>
      <w:lvlJc w:val="left"/>
      <w:pPr>
        <w:tabs>
          <w:tab w:val="num" w:pos="4527"/>
        </w:tabs>
        <w:ind w:left="4527" w:hanging="360"/>
      </w:pPr>
      <w:rPr>
        <w:rFonts w:ascii="Wingdings" w:hAnsi="Wingdings" w:hint="default"/>
        <w:sz w:val="20"/>
      </w:rPr>
    </w:lvl>
    <w:lvl w:ilvl="6" w:tentative="1">
      <w:start w:val="1"/>
      <w:numFmt w:val="bullet"/>
      <w:lvlText w:val=""/>
      <w:lvlJc w:val="left"/>
      <w:pPr>
        <w:tabs>
          <w:tab w:val="num" w:pos="5247"/>
        </w:tabs>
        <w:ind w:left="5247" w:hanging="360"/>
      </w:pPr>
      <w:rPr>
        <w:rFonts w:ascii="Wingdings" w:hAnsi="Wingdings" w:hint="default"/>
        <w:sz w:val="20"/>
      </w:rPr>
    </w:lvl>
    <w:lvl w:ilvl="7" w:tentative="1">
      <w:start w:val="1"/>
      <w:numFmt w:val="bullet"/>
      <w:lvlText w:val=""/>
      <w:lvlJc w:val="left"/>
      <w:pPr>
        <w:tabs>
          <w:tab w:val="num" w:pos="5967"/>
        </w:tabs>
        <w:ind w:left="5967" w:hanging="360"/>
      </w:pPr>
      <w:rPr>
        <w:rFonts w:ascii="Wingdings" w:hAnsi="Wingdings" w:hint="default"/>
        <w:sz w:val="20"/>
      </w:rPr>
    </w:lvl>
    <w:lvl w:ilvl="8" w:tentative="1">
      <w:start w:val="1"/>
      <w:numFmt w:val="bullet"/>
      <w:lvlText w:val=""/>
      <w:lvlJc w:val="left"/>
      <w:pPr>
        <w:tabs>
          <w:tab w:val="num" w:pos="6687"/>
        </w:tabs>
        <w:ind w:left="6687" w:hanging="360"/>
      </w:pPr>
      <w:rPr>
        <w:rFonts w:ascii="Wingdings" w:hAnsi="Wingdings" w:hint="default"/>
        <w:sz w:val="20"/>
      </w:rPr>
    </w:lvl>
  </w:abstractNum>
  <w:abstractNum w:abstractNumId="3"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4" w15:restartNumberingAfterBreak="0">
    <w:nsid w:val="1E820DF5"/>
    <w:multiLevelType w:val="multilevel"/>
    <w:tmpl w:val="9AA09CFA"/>
    <w:lvl w:ilvl="0">
      <w:start w:val="1"/>
      <w:numFmt w:val="decimal"/>
      <w:lvlRestart w:val="0"/>
      <w:lvlText w:val="%1."/>
      <w:lvlJc w:val="left"/>
      <w:pPr>
        <w:tabs>
          <w:tab w:val="num" w:pos="567"/>
        </w:tabs>
        <w:ind w:left="0" w:firstLine="0"/>
      </w:pPr>
      <w:rPr>
        <w:rFonts w:hint="default"/>
      </w:rPr>
    </w:lvl>
    <w:lvl w:ilvl="1">
      <w:start w:val="1"/>
      <w:numFmt w:val="bullet"/>
      <w:lvlText w:val=""/>
      <w:lvlJc w:val="left"/>
      <w:pPr>
        <w:ind w:left="927" w:hanging="360"/>
      </w:pPr>
      <w:rPr>
        <w:rFonts w:ascii="Symbol" w:hAnsi="Symbol"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5"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6"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2A67467"/>
    <w:multiLevelType w:val="hybridMultilevel"/>
    <w:tmpl w:val="E4B47082"/>
    <w:lvl w:ilvl="0" w:tplc="6E3C669C">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9" w15:restartNumberingAfterBreak="0">
    <w:nsid w:val="6ED24D42"/>
    <w:multiLevelType w:val="multilevel"/>
    <w:tmpl w:val="67FEE2B6"/>
    <w:lvl w:ilvl="0">
      <w:start w:val="1"/>
      <w:numFmt w:val="decimal"/>
      <w:lvlRestart w:val="0"/>
      <w:lvlText w:val="%1."/>
      <w:lvlJc w:val="left"/>
      <w:pPr>
        <w:tabs>
          <w:tab w:val="num" w:pos="567"/>
        </w:tabs>
        <w:ind w:left="0" w:firstLine="0"/>
      </w:pPr>
      <w:rPr>
        <w:rFonts w:hint="default"/>
      </w:rPr>
    </w:lvl>
    <w:lvl w:ilvl="1">
      <w:start w:val="1"/>
      <w:numFmt w:val="bullet"/>
      <w:lvlText w:val=""/>
      <w:lvlJc w:val="left"/>
      <w:pPr>
        <w:ind w:left="927" w:hanging="360"/>
      </w:pPr>
      <w:rPr>
        <w:rFonts w:ascii="Symbol" w:hAnsi="Symbol"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num w:numId="1" w16cid:durableId="1398548192">
    <w:abstractNumId w:val="3"/>
  </w:num>
  <w:num w:numId="2" w16cid:durableId="1870607316">
    <w:abstractNumId w:val="6"/>
  </w:num>
  <w:num w:numId="3" w16cid:durableId="844322595">
    <w:abstractNumId w:val="0"/>
  </w:num>
  <w:num w:numId="4" w16cid:durableId="1456631763">
    <w:abstractNumId w:val="7"/>
  </w:num>
  <w:num w:numId="5" w16cid:durableId="628778745">
    <w:abstractNumId w:val="1"/>
  </w:num>
  <w:num w:numId="6" w16cid:durableId="670451745">
    <w:abstractNumId w:val="5"/>
  </w:num>
  <w:num w:numId="7" w16cid:durableId="958026376">
    <w:abstractNumId w:val="2"/>
  </w:num>
  <w:num w:numId="8" w16cid:durableId="390274248">
    <w:abstractNumId w:val="8"/>
  </w:num>
  <w:num w:numId="9" w16cid:durableId="666329352">
    <w:abstractNumId w:val="9"/>
  </w:num>
  <w:num w:numId="10" w16cid:durableId="82492869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1CBE"/>
    <w:rsid w:val="00011B7D"/>
    <w:rsid w:val="00075432"/>
    <w:rsid w:val="000F5E56"/>
    <w:rsid w:val="001352EC"/>
    <w:rsid w:val="001362EE"/>
    <w:rsid w:val="00157E3C"/>
    <w:rsid w:val="001832A6"/>
    <w:rsid w:val="00195C6E"/>
    <w:rsid w:val="00197881"/>
    <w:rsid w:val="001B266A"/>
    <w:rsid w:val="001D3D56"/>
    <w:rsid w:val="001F3948"/>
    <w:rsid w:val="00240654"/>
    <w:rsid w:val="0024180C"/>
    <w:rsid w:val="002634C4"/>
    <w:rsid w:val="00290DCD"/>
    <w:rsid w:val="002D4918"/>
    <w:rsid w:val="002E4D1A"/>
    <w:rsid w:val="002F16BC"/>
    <w:rsid w:val="002F4E68"/>
    <w:rsid w:val="00315FCA"/>
    <w:rsid w:val="003845C1"/>
    <w:rsid w:val="003A1BCD"/>
    <w:rsid w:val="004008A2"/>
    <w:rsid w:val="004025DF"/>
    <w:rsid w:val="00423E3E"/>
    <w:rsid w:val="00427AF4"/>
    <w:rsid w:val="004647DA"/>
    <w:rsid w:val="00477D6B"/>
    <w:rsid w:val="004D6471"/>
    <w:rsid w:val="004F4E31"/>
    <w:rsid w:val="00525B63"/>
    <w:rsid w:val="00547476"/>
    <w:rsid w:val="00561DB8"/>
    <w:rsid w:val="00566579"/>
    <w:rsid w:val="00567A4C"/>
    <w:rsid w:val="00576171"/>
    <w:rsid w:val="005A3309"/>
    <w:rsid w:val="005E6516"/>
    <w:rsid w:val="00605827"/>
    <w:rsid w:val="00663679"/>
    <w:rsid w:val="00676936"/>
    <w:rsid w:val="006B0DB5"/>
    <w:rsid w:val="006E4243"/>
    <w:rsid w:val="007461F1"/>
    <w:rsid w:val="007C04C6"/>
    <w:rsid w:val="007D6961"/>
    <w:rsid w:val="007F07CB"/>
    <w:rsid w:val="00810CEF"/>
    <w:rsid w:val="0081208D"/>
    <w:rsid w:val="008236DE"/>
    <w:rsid w:val="00842A13"/>
    <w:rsid w:val="008B2CC1"/>
    <w:rsid w:val="008B7418"/>
    <w:rsid w:val="008E1CBE"/>
    <w:rsid w:val="008E7930"/>
    <w:rsid w:val="0090731E"/>
    <w:rsid w:val="00917121"/>
    <w:rsid w:val="009210DC"/>
    <w:rsid w:val="00965627"/>
    <w:rsid w:val="00966A22"/>
    <w:rsid w:val="00974CD6"/>
    <w:rsid w:val="0099108F"/>
    <w:rsid w:val="009D30E6"/>
    <w:rsid w:val="009E3F6F"/>
    <w:rsid w:val="009F13F0"/>
    <w:rsid w:val="009F499F"/>
    <w:rsid w:val="00A02BD3"/>
    <w:rsid w:val="00A65E7E"/>
    <w:rsid w:val="00A971A6"/>
    <w:rsid w:val="00AA1F20"/>
    <w:rsid w:val="00AC0AE4"/>
    <w:rsid w:val="00AC541A"/>
    <w:rsid w:val="00AD61DB"/>
    <w:rsid w:val="00B6177F"/>
    <w:rsid w:val="00B66A77"/>
    <w:rsid w:val="00B87BCF"/>
    <w:rsid w:val="00BA62D4"/>
    <w:rsid w:val="00BC3FC3"/>
    <w:rsid w:val="00BE0139"/>
    <w:rsid w:val="00C153FD"/>
    <w:rsid w:val="00C40E15"/>
    <w:rsid w:val="00C664C8"/>
    <w:rsid w:val="00C76A79"/>
    <w:rsid w:val="00C84EF0"/>
    <w:rsid w:val="00CA15F5"/>
    <w:rsid w:val="00CA72C1"/>
    <w:rsid w:val="00CE10AF"/>
    <w:rsid w:val="00CF0460"/>
    <w:rsid w:val="00D45252"/>
    <w:rsid w:val="00D71B4D"/>
    <w:rsid w:val="00D75C1E"/>
    <w:rsid w:val="00D871A7"/>
    <w:rsid w:val="00D93D55"/>
    <w:rsid w:val="00DB0349"/>
    <w:rsid w:val="00DD6A16"/>
    <w:rsid w:val="00E0091A"/>
    <w:rsid w:val="00E203AA"/>
    <w:rsid w:val="00E527A5"/>
    <w:rsid w:val="00E76456"/>
    <w:rsid w:val="00E910A1"/>
    <w:rsid w:val="00EE71CB"/>
    <w:rsid w:val="00F16975"/>
    <w:rsid w:val="00F50ADB"/>
    <w:rsid w:val="00F66152"/>
    <w:rsid w:val="00FF4371"/>
    <w:rsid w:val="00FF5FCF"/>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6663BB"/>
  <w15:docId w15:val="{B9BBE728-6487-452C-A596-25BDC8840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025DF"/>
    <w:rPr>
      <w:rFonts w:ascii="Arial" w:eastAsia="SimSun" w:hAnsi="Arial" w:cs="Arial"/>
      <w:sz w:val="22"/>
      <w:lang w:val="fr-FR" w:eastAsia="zh-CN"/>
    </w:rPr>
  </w:style>
  <w:style w:type="paragraph" w:styleId="Heading1">
    <w:name w:val="heading 1"/>
    <w:basedOn w:val="Normal"/>
    <w:next w:val="Normal"/>
    <w:qFormat/>
    <w:rsid w:val="004025DF"/>
    <w:pPr>
      <w:keepNext/>
      <w:spacing w:before="240" w:after="60"/>
      <w:outlineLvl w:val="0"/>
    </w:pPr>
    <w:rPr>
      <w:b/>
      <w:bCs/>
      <w:caps/>
      <w:kern w:val="32"/>
      <w:szCs w:val="32"/>
    </w:rPr>
  </w:style>
  <w:style w:type="paragraph" w:styleId="Heading2">
    <w:name w:val="heading 2"/>
    <w:basedOn w:val="Normal"/>
    <w:next w:val="Normal"/>
    <w:link w:val="Heading2Char"/>
    <w:qFormat/>
    <w:rsid w:val="004025DF"/>
    <w:pPr>
      <w:keepNext/>
      <w:spacing w:before="240" w:after="60"/>
      <w:outlineLvl w:val="1"/>
    </w:pPr>
    <w:rPr>
      <w:bCs/>
      <w:iCs/>
      <w:caps/>
      <w:szCs w:val="28"/>
    </w:rPr>
  </w:style>
  <w:style w:type="paragraph" w:styleId="Heading3">
    <w:name w:val="heading 3"/>
    <w:basedOn w:val="Normal"/>
    <w:next w:val="Normal"/>
    <w:qFormat/>
    <w:rsid w:val="004025DF"/>
    <w:pPr>
      <w:keepNext/>
      <w:spacing w:before="240" w:after="60"/>
      <w:outlineLvl w:val="2"/>
    </w:pPr>
    <w:rPr>
      <w:bCs/>
      <w:szCs w:val="26"/>
      <w:u w:val="single"/>
    </w:rPr>
  </w:style>
  <w:style w:type="paragraph" w:styleId="Heading4">
    <w:name w:val="heading 4"/>
    <w:basedOn w:val="Normal"/>
    <w:next w:val="Normal"/>
    <w:qFormat/>
    <w:rsid w:val="004025DF"/>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025DF"/>
    <w:pPr>
      <w:spacing w:after="220"/>
    </w:pPr>
  </w:style>
  <w:style w:type="paragraph" w:styleId="Caption">
    <w:name w:val="caption"/>
    <w:basedOn w:val="Normal"/>
    <w:next w:val="Normal"/>
    <w:qFormat/>
    <w:rsid w:val="004025DF"/>
    <w:rPr>
      <w:b/>
      <w:bCs/>
      <w:sz w:val="18"/>
    </w:rPr>
  </w:style>
  <w:style w:type="paragraph" w:styleId="CommentText">
    <w:name w:val="annotation text"/>
    <w:basedOn w:val="Normal"/>
    <w:semiHidden/>
    <w:rsid w:val="004025DF"/>
    <w:rPr>
      <w:sz w:val="18"/>
    </w:rPr>
  </w:style>
  <w:style w:type="paragraph" w:styleId="EndnoteText">
    <w:name w:val="endnote text"/>
    <w:basedOn w:val="Normal"/>
    <w:semiHidden/>
    <w:rsid w:val="004025DF"/>
    <w:rPr>
      <w:sz w:val="18"/>
    </w:rPr>
  </w:style>
  <w:style w:type="paragraph" w:styleId="Footer">
    <w:name w:val="footer"/>
    <w:basedOn w:val="Normal"/>
    <w:semiHidden/>
    <w:rsid w:val="004025DF"/>
    <w:pPr>
      <w:tabs>
        <w:tab w:val="center" w:pos="4320"/>
        <w:tab w:val="right" w:pos="8640"/>
      </w:tabs>
    </w:pPr>
  </w:style>
  <w:style w:type="paragraph" w:styleId="FootnoteText">
    <w:name w:val="footnote text"/>
    <w:basedOn w:val="Normal"/>
    <w:semiHidden/>
    <w:rsid w:val="004025DF"/>
    <w:rPr>
      <w:sz w:val="18"/>
    </w:rPr>
  </w:style>
  <w:style w:type="paragraph" w:customStyle="1" w:styleId="Endofdocument-Annex">
    <w:name w:val="[End of document - Annex]"/>
    <w:basedOn w:val="Normal"/>
    <w:rsid w:val="00FF4371"/>
    <w:pPr>
      <w:ind w:left="5534"/>
    </w:pPr>
    <w:rPr>
      <w:lang w:val="en-US"/>
    </w:rPr>
  </w:style>
  <w:style w:type="paragraph" w:styleId="Header">
    <w:name w:val="header"/>
    <w:basedOn w:val="Normal"/>
    <w:semiHidden/>
    <w:rsid w:val="004025DF"/>
    <w:pPr>
      <w:tabs>
        <w:tab w:val="center" w:pos="4536"/>
        <w:tab w:val="right" w:pos="9072"/>
      </w:tabs>
    </w:pPr>
  </w:style>
  <w:style w:type="paragraph" w:styleId="ListNumber">
    <w:name w:val="List Number"/>
    <w:basedOn w:val="Normal"/>
    <w:semiHidden/>
    <w:rsid w:val="004025DF"/>
    <w:pPr>
      <w:numPr>
        <w:numId w:val="4"/>
      </w:numPr>
    </w:pPr>
  </w:style>
  <w:style w:type="paragraph" w:customStyle="1" w:styleId="ONUME">
    <w:name w:val="ONUM E"/>
    <w:basedOn w:val="BodyText"/>
    <w:rsid w:val="004025DF"/>
    <w:pPr>
      <w:numPr>
        <w:numId w:val="5"/>
      </w:numPr>
    </w:pPr>
  </w:style>
  <w:style w:type="paragraph" w:customStyle="1" w:styleId="ONUMFS">
    <w:name w:val="ONUM FS"/>
    <w:basedOn w:val="BodyText"/>
    <w:rsid w:val="004025DF"/>
    <w:pPr>
      <w:numPr>
        <w:numId w:val="6"/>
      </w:numPr>
    </w:pPr>
  </w:style>
  <w:style w:type="paragraph" w:styleId="Salutation">
    <w:name w:val="Salutation"/>
    <w:basedOn w:val="Normal"/>
    <w:next w:val="Normal"/>
    <w:semiHidden/>
    <w:rsid w:val="004025DF"/>
  </w:style>
  <w:style w:type="paragraph" w:styleId="Signature">
    <w:name w:val="Signature"/>
    <w:basedOn w:val="Normal"/>
    <w:semiHidden/>
    <w:rsid w:val="004025DF"/>
    <w:pPr>
      <w:ind w:left="5250"/>
    </w:pPr>
  </w:style>
  <w:style w:type="character" w:customStyle="1" w:styleId="Heading2Char">
    <w:name w:val="Heading 2 Char"/>
    <w:basedOn w:val="DefaultParagraphFont"/>
    <w:link w:val="Heading2"/>
    <w:rsid w:val="008E1CBE"/>
    <w:rPr>
      <w:rFonts w:ascii="Arial" w:eastAsia="SimSun" w:hAnsi="Arial" w:cs="Arial"/>
      <w:bCs/>
      <w:iCs/>
      <w:caps/>
      <w:sz w:val="22"/>
      <w:szCs w:val="28"/>
      <w:lang w:val="fr-FR" w:eastAsia="zh-CN"/>
    </w:rPr>
  </w:style>
  <w:style w:type="character" w:styleId="Hyperlink">
    <w:name w:val="Hyperlink"/>
    <w:basedOn w:val="DefaultParagraphFont"/>
    <w:uiPriority w:val="99"/>
    <w:unhideWhenUsed/>
    <w:rsid w:val="008E1CBE"/>
    <w:rPr>
      <w:color w:val="0000FF" w:themeColor="hyperlink"/>
      <w:u w:val="single"/>
    </w:rPr>
  </w:style>
  <w:style w:type="table" w:styleId="TableGrid">
    <w:name w:val="Table Grid"/>
    <w:basedOn w:val="TableNormal"/>
    <w:uiPriority w:val="39"/>
    <w:rsid w:val="008E1CBE"/>
    <w:rPr>
      <w:rFonts w:eastAsia="MS Mincho"/>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E1CBE"/>
    <w:pPr>
      <w:ind w:left="720"/>
      <w:contextualSpacing/>
    </w:pPr>
  </w:style>
  <w:style w:type="character" w:styleId="IntenseEmphasis">
    <w:name w:val="Intense Emphasis"/>
    <w:basedOn w:val="DefaultParagraphFont"/>
    <w:uiPriority w:val="21"/>
    <w:qFormat/>
    <w:rsid w:val="008E1CBE"/>
    <w:rPr>
      <w:i/>
      <w:iCs/>
      <w:color w:val="4F81BD" w:themeColor="accent1"/>
    </w:rPr>
  </w:style>
  <w:style w:type="paragraph" w:styleId="NormalWeb">
    <w:name w:val="Normal (Web)"/>
    <w:basedOn w:val="Normal"/>
    <w:uiPriority w:val="99"/>
    <w:unhideWhenUsed/>
    <w:rsid w:val="008E1CBE"/>
    <w:pPr>
      <w:spacing w:before="100" w:beforeAutospacing="1" w:after="100" w:afterAutospacing="1"/>
    </w:pPr>
    <w:rPr>
      <w:rFonts w:ascii="Times New Roman" w:eastAsiaTheme="minorEastAsia" w:hAnsi="Times New Roman" w:cs="Times New Roman"/>
      <w:sz w:val="24"/>
      <w:szCs w:val="24"/>
      <w:lang w:eastAsia="en-US"/>
    </w:rPr>
  </w:style>
  <w:style w:type="character" w:styleId="Strong">
    <w:name w:val="Strong"/>
    <w:basedOn w:val="DefaultParagraphFont"/>
    <w:uiPriority w:val="22"/>
    <w:qFormat/>
    <w:rsid w:val="008E1CBE"/>
    <w:rPr>
      <w:b/>
      <w:bCs/>
    </w:rPr>
  </w:style>
  <w:style w:type="paragraph" w:styleId="Revision">
    <w:name w:val="Revision"/>
    <w:hidden/>
    <w:uiPriority w:val="99"/>
    <w:semiHidden/>
    <w:rsid w:val="0024180C"/>
    <w:rPr>
      <w:rFonts w:ascii="Arial" w:eastAsia="SimSun" w:hAnsi="Arial" w:cs="Arial"/>
      <w:sz w:val="22"/>
      <w:lang w:val="fr-FR"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wipo.int/documents/d/cws/docs-fr-circulars-files-cws-208.pdf" TargetMode="External"/><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wipo.int/fr/web/standards/part_03_standards" TargetMode="External"/><Relationship Id="rId17" Type="http://schemas.openxmlformats.org/officeDocument/2006/relationships/hyperlink" Target="https://confluence.wipo.int/confluence/spaces/usestandards/pages/79888440/CWS+Survey+on+the+use+of+WIPO+Standards+Home" TargetMode="External"/><Relationship Id="rId2" Type="http://schemas.openxmlformats.org/officeDocument/2006/relationships/customXml" Target="../customXml/item2.xml"/><Relationship Id="rId16" Type="http://schemas.openxmlformats.org/officeDocument/2006/relationships/hyperlink" Target="https://www3.wipo.int/confluence/display/ATR/Browse+by+Year"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wipo.int/documents/d/cws/docs-fr-circulars-files-cws-210.pdf"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wipo.int/documents/d/cws/docs-fr-circulars-files-cws-209.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Int.%20Classif\CWS_14%20(F).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haredContentType xmlns="Microsoft.SharePoint.Taxonomy.ContentTypeSync" SourceId="f7a99264-aac8-44dd-b14f-8017e78a225a" ContentTypeId="0x0101" PreviousValue="fals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067de5f-220c-4f37-9ef9-b80788fb894c" xsi:nil="true"/>
    <lcf76f155ced4ddcb4097134ff3c332f xmlns="77d175da-2ab4-4e4a-b04f-0f522290c000">
      <Terms xmlns="http://schemas.microsoft.com/office/infopath/2007/PartnerControls"/>
    </lcf76f155ced4ddcb4097134ff3c332f>
    <OutSourcing xmlns="77d175da-2ab4-4e4a-b04f-0f522290c000">false</OutSourcing>
    <DocClassification xmlns="77d175da-2ab4-4e4a-b04f-0f522290c000">Processed</DocClassification>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2E07C0030A1AE4288AA4045D9F0270F" ma:contentTypeVersion="13" ma:contentTypeDescription="Create a new document." ma:contentTypeScope="" ma:versionID="2cc970132339eb78011800afcb87eb61">
  <xsd:schema xmlns:xsd="http://www.w3.org/2001/XMLSchema" xmlns:xs="http://www.w3.org/2001/XMLSchema" xmlns:p="http://schemas.microsoft.com/office/2006/metadata/properties" xmlns:ns2="77d175da-2ab4-4e4a-b04f-0f522290c000" xmlns:ns3="6067de5f-220c-4f37-9ef9-b80788fb894c" targetNamespace="http://schemas.microsoft.com/office/2006/metadata/properties" ma:root="true" ma:fieldsID="9cf7a5bba6c770095896ec563eff6c85" ns2:_="" ns3:_="">
    <xsd:import namespace="77d175da-2ab4-4e4a-b04f-0f522290c000"/>
    <xsd:import namespace="6067de5f-220c-4f37-9ef9-b80788fb894c"/>
    <xsd:element name="properties">
      <xsd:complexType>
        <xsd:sequence>
          <xsd:element name="documentManagement">
            <xsd:complexType>
              <xsd:all>
                <xsd:element ref="ns2:DocClassific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OutSourcing"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175da-2ab4-4e4a-b04f-0f522290c000" elementFormDefault="qualified">
    <xsd:import namespace="http://schemas.microsoft.com/office/2006/documentManagement/types"/>
    <xsd:import namespace="http://schemas.microsoft.com/office/infopath/2007/PartnerControls"/>
    <xsd:element name="DocClassification" ma:index="8" nillable="true" ma:displayName="DocClassification" ma:default="Reference" ma:format="Dropdown" ma:internalName="DocClassification">
      <xsd:simpleType>
        <xsd:restriction base="dms:Choice">
          <xsd:enumeration value="For Processing"/>
          <xsd:enumeration value="Reference"/>
          <xsd:enumeration value="Process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7a99264-aac8-44dd-b14f-8017e78a225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OutSourcing" ma:index="19" nillable="true" ma:displayName="OutSourcing" ma:default="0" ma:format="Dropdown" ma:internalName="OutSourcing">
      <xsd:simpleType>
        <xsd:restriction base="dms:Boolea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67de5f-220c-4f37-9ef9-b80788fb894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14cb47d-3d8f-4bdf-86f2-b18cf52fb204}" ma:internalName="TaxCatchAll" ma:showField="CatchAllData" ma:web="6067de5f-220c-4f37-9ef9-b80788fb89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08A80E9-825A-47AB-9BCE-B16913875C77}">
  <ds:schemaRefs>
    <ds:schemaRef ds:uri="Microsoft.SharePoint.Taxonomy.ContentTypeSync"/>
  </ds:schemaRefs>
</ds:datastoreItem>
</file>

<file path=customXml/itemProps2.xml><?xml version="1.0" encoding="utf-8"?>
<ds:datastoreItem xmlns:ds="http://schemas.openxmlformats.org/officeDocument/2006/customXml" ds:itemID="{18854A74-2EE3-4FBE-BFA5-0DF0A83882D7}">
  <ds:schemaRefs>
    <ds:schemaRef ds:uri="http://schemas.microsoft.com/sharepoint/v3/contenttype/forms"/>
  </ds:schemaRefs>
</ds:datastoreItem>
</file>

<file path=customXml/itemProps3.xml><?xml version="1.0" encoding="utf-8"?>
<ds:datastoreItem xmlns:ds="http://schemas.openxmlformats.org/officeDocument/2006/customXml" ds:itemID="{EFADF86B-4DAB-44AE-A4F9-957D520DB049}">
  <ds:schemaRefs>
    <ds:schemaRef ds:uri="http://schemas.microsoft.com/office/2006/metadata/properties"/>
    <ds:schemaRef ds:uri="http://schemas.microsoft.com/office/infopath/2007/PartnerControls"/>
    <ds:schemaRef ds:uri="6067de5f-220c-4f37-9ef9-b80788fb894c"/>
    <ds:schemaRef ds:uri="77d175da-2ab4-4e4a-b04f-0f522290c000"/>
  </ds:schemaRefs>
</ds:datastoreItem>
</file>

<file path=customXml/itemProps4.xml><?xml version="1.0" encoding="utf-8"?>
<ds:datastoreItem xmlns:ds="http://schemas.openxmlformats.org/officeDocument/2006/customXml" ds:itemID="{85C4387F-755D-4057-83D2-0E1C23F3E2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175da-2ab4-4e4a-b04f-0f522290c000"/>
    <ds:schemaRef ds:uri="6067de5f-220c-4f37-9ef9-b80788fb89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CWS_14 (F).dotm</Template>
  <TotalTime>20</TotalTime>
  <Pages>1</Pages>
  <Words>1956</Words>
  <Characters>11154</Characters>
  <Application>Microsoft Office Word</Application>
  <DocSecurity>0</DocSecurity>
  <Lines>92</Lines>
  <Paragraphs>26</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CWS/14/25 (French) </vt:lpstr>
      <vt:lpstr>    Résumé</vt:lpstr>
      <vt:lpstr>    Rappel</vt:lpstr>
      <vt:lpstr>    Rapport d’activité pour 2025</vt:lpstr>
      <vt:lpstr>    Statistiques relatives aux rapports techniques annuels soumis </vt:lpstr>
      <vt:lpstr>    État d’avancement de la mise en œuvre des normes de l’OMPI</vt:lpstr>
      <vt:lpstr>    Proposition de mise à jour de la partie 7.12 du Manuel de l’OMPI</vt:lpstr>
    </vt:vector>
  </TitlesOfParts>
  <Company>WIPO</Company>
  <LinksUpToDate>false</LinksUpToDate>
  <CharactersWithSpaces>13084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CWS/14/25 (French) </dc:title>
  <dc:subject>Rapports techniques annuels 2025 </dc:subject>
  <dc:creator>WIPO</dc:creator>
  <cp:keywords>WIPO CWS quatorzième session, Rapports techniques annuels, 2025 </cp:keywords>
  <cp:lastModifiedBy>EMMETT Claudia</cp:lastModifiedBy>
  <cp:revision>9</cp:revision>
  <cp:lastPrinted>2026-10-20T11:49:00Z</cp:lastPrinted>
  <dcterms:created xsi:type="dcterms:W3CDTF">2026-10-12T14:07:00Z</dcterms:created>
  <dcterms:modified xsi:type="dcterms:W3CDTF">2026-10-20T11:50:00Z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4be00795-0332-471b-bc48-392ea471087a</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MSIP_Label_20773ee6-353b-4fb9-a59d-0b94c8c67bea_Enabled">
    <vt:lpwstr>true</vt:lpwstr>
  </property>
  <property fmtid="{D5CDD505-2E9C-101B-9397-08002B2CF9AE}" pid="9" name="MSIP_Label_20773ee6-353b-4fb9-a59d-0b94c8c67bea_SetDate">
    <vt:lpwstr>2025-06-12T13:23:13Z</vt:lpwstr>
  </property>
  <property fmtid="{D5CDD505-2E9C-101B-9397-08002B2CF9AE}" pid="10" name="MSIP_Label_20773ee6-353b-4fb9-a59d-0b94c8c67bea_Method">
    <vt:lpwstr>Privileged</vt:lpwstr>
  </property>
  <property fmtid="{D5CDD505-2E9C-101B-9397-08002B2CF9AE}" pid="11" name="MSIP_Label_20773ee6-353b-4fb9-a59d-0b94c8c67bea_Name">
    <vt:lpwstr>No markings</vt:lpwstr>
  </property>
  <property fmtid="{D5CDD505-2E9C-101B-9397-08002B2CF9AE}" pid="12" name="MSIP_Label_20773ee6-353b-4fb9-a59d-0b94c8c67bea_SiteId">
    <vt:lpwstr>faa31b06-8ccc-48c9-867f-f7510dd11c02</vt:lpwstr>
  </property>
  <property fmtid="{D5CDD505-2E9C-101B-9397-08002B2CF9AE}" pid="13" name="MSIP_Label_20773ee6-353b-4fb9-a59d-0b94c8c67bea_ActionId">
    <vt:lpwstr>717d40da-50e5-4df9-b411-3e5ab47e1f7b</vt:lpwstr>
  </property>
  <property fmtid="{D5CDD505-2E9C-101B-9397-08002B2CF9AE}" pid="14" name="MSIP_Label_20773ee6-353b-4fb9-a59d-0b94c8c67bea_ContentBits">
    <vt:lpwstr>0</vt:lpwstr>
  </property>
  <property fmtid="{D5CDD505-2E9C-101B-9397-08002B2CF9AE}" pid="15" name="MSIP_Label_20773ee6-353b-4fb9-a59d-0b94c8c67bea_Tag">
    <vt:lpwstr>10, 0, 1, 1</vt:lpwstr>
  </property>
  <property fmtid="{D5CDD505-2E9C-101B-9397-08002B2CF9AE}" pid="16" name="ContentTypeId">
    <vt:lpwstr>0x010100D2E07C0030A1AE4288AA4045D9F0270F</vt:lpwstr>
  </property>
  <property fmtid="{D5CDD505-2E9C-101B-9397-08002B2CF9AE}" pid="17" name="MediaServiceImageTags">
    <vt:lpwstr/>
  </property>
</Properties>
</file>