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266A4" w14:textId="77777777" w:rsidR="008B2CC1" w:rsidRPr="00290DCD" w:rsidRDefault="00DB0349" w:rsidP="00DB0349">
      <w:pPr>
        <w:spacing w:after="120"/>
        <w:jc w:val="right"/>
      </w:pPr>
      <w:r w:rsidRPr="00290DCD">
        <w:rPr>
          <w:noProof/>
          <w:lang w:eastAsia="en-US"/>
        </w:rPr>
        <w:drawing>
          <wp:inline distT="0" distB="0" distL="0" distR="0" wp14:anchorId="550AE8F7" wp14:editId="1E983468">
            <wp:extent cx="2948267" cy="1332000"/>
            <wp:effectExtent l="0" t="0" r="5080" b="1905"/>
            <wp:docPr id="4" name="Picture 4" descr="Les courbes en direction du ciel du logo de l’OMPI évoquent le progrès de l’humanité stimulé par l’innovation et la créativité." title="Logo de l'O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PO_logo_F.png"/>
                    <pic:cNvPicPr/>
                  </pic:nvPicPr>
                  <pic:blipFill>
                    <a:blip r:embed="rId11">
                      <a:extLst>
                        <a:ext uri="{28A0092B-C50C-407E-A947-70E740481C1C}">
                          <a14:useLocalDpi xmlns:a14="http://schemas.microsoft.com/office/drawing/2010/main" val="0"/>
                        </a:ext>
                      </a:extLst>
                    </a:blip>
                    <a:stretch>
                      <a:fillRect/>
                    </a:stretch>
                  </pic:blipFill>
                  <pic:spPr>
                    <a:xfrm>
                      <a:off x="0" y="0"/>
                      <a:ext cx="2948267" cy="1332000"/>
                    </a:xfrm>
                    <a:prstGeom prst="rect">
                      <a:avLst/>
                    </a:prstGeom>
                  </pic:spPr>
                </pic:pic>
              </a:graphicData>
            </a:graphic>
          </wp:inline>
        </w:drawing>
      </w:r>
      <w:r w:rsidR="00B87BCF" w:rsidRPr="00290DCD">
        <w:rPr>
          <w:rFonts w:ascii="Arial Black" w:hAnsi="Arial Black"/>
          <w:caps/>
          <w:noProof/>
          <w:sz w:val="15"/>
          <w:szCs w:val="15"/>
          <w:lang w:eastAsia="en-US"/>
        </w:rPr>
        <mc:AlternateContent>
          <mc:Choice Requires="wps">
            <w:drawing>
              <wp:inline distT="0" distB="0" distL="0" distR="0" wp14:anchorId="501F4A1B" wp14:editId="5B6ABCDB">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3C478975"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78986BE7" w14:textId="6E440FE2" w:rsidR="008B2CC1" w:rsidRPr="00290DCD" w:rsidRDefault="00197881" w:rsidP="00DB0349">
      <w:pPr>
        <w:jc w:val="right"/>
        <w:rPr>
          <w:rFonts w:ascii="Arial Black" w:hAnsi="Arial Black"/>
          <w:caps/>
          <w:sz w:val="15"/>
          <w:szCs w:val="15"/>
        </w:rPr>
      </w:pPr>
      <w:r w:rsidRPr="00290DCD">
        <w:rPr>
          <w:rFonts w:ascii="Arial Black" w:hAnsi="Arial Black"/>
          <w:caps/>
          <w:sz w:val="15"/>
          <w:szCs w:val="15"/>
        </w:rPr>
        <w:t>CWS/1</w:t>
      </w:r>
      <w:r w:rsidR="00D871A7">
        <w:rPr>
          <w:rFonts w:ascii="Arial Black" w:hAnsi="Arial Black"/>
          <w:caps/>
          <w:sz w:val="15"/>
          <w:szCs w:val="15"/>
        </w:rPr>
        <w:t>4</w:t>
      </w:r>
      <w:r w:rsidRPr="00290DCD">
        <w:rPr>
          <w:rFonts w:ascii="Arial Black" w:hAnsi="Arial Black"/>
          <w:caps/>
          <w:sz w:val="15"/>
          <w:szCs w:val="15"/>
        </w:rPr>
        <w:t>/</w:t>
      </w:r>
      <w:bookmarkStart w:id="0" w:name="Code"/>
      <w:bookmarkEnd w:id="0"/>
      <w:r w:rsidR="00A22D86">
        <w:rPr>
          <w:rFonts w:ascii="Arial Black" w:hAnsi="Arial Black"/>
          <w:caps/>
          <w:sz w:val="15"/>
          <w:szCs w:val="15"/>
        </w:rPr>
        <w:t>22</w:t>
      </w:r>
    </w:p>
    <w:p w14:paraId="0A708451" w14:textId="5B233B5B" w:rsidR="008B2CC1" w:rsidRPr="00290DCD" w:rsidRDefault="00DB0349" w:rsidP="00DB0349">
      <w:pPr>
        <w:jc w:val="right"/>
        <w:rPr>
          <w:rFonts w:ascii="Arial Black" w:hAnsi="Arial Black"/>
          <w:caps/>
          <w:sz w:val="15"/>
          <w:szCs w:val="15"/>
        </w:rPr>
      </w:pPr>
      <w:r w:rsidRPr="00290DCD">
        <w:rPr>
          <w:rFonts w:ascii="Arial Black" w:hAnsi="Arial Black"/>
          <w:caps/>
          <w:sz w:val="15"/>
          <w:szCs w:val="15"/>
        </w:rPr>
        <w:t>Original</w:t>
      </w:r>
      <w:r w:rsidR="006B7AE5">
        <w:rPr>
          <w:rFonts w:ascii="Arial Black" w:hAnsi="Arial Black"/>
          <w:caps/>
          <w:sz w:val="15"/>
          <w:szCs w:val="15"/>
        </w:rPr>
        <w:t> :</w:t>
      </w:r>
      <w:r w:rsidRPr="00290DCD">
        <w:rPr>
          <w:rFonts w:ascii="Arial Black" w:hAnsi="Arial Black"/>
          <w:caps/>
          <w:sz w:val="15"/>
          <w:szCs w:val="15"/>
        </w:rPr>
        <w:t xml:space="preserve"> </w:t>
      </w:r>
      <w:bookmarkStart w:id="1" w:name="Original"/>
      <w:r w:rsidR="00A22D86">
        <w:rPr>
          <w:rFonts w:ascii="Arial Black" w:hAnsi="Arial Black"/>
          <w:caps/>
          <w:sz w:val="15"/>
          <w:szCs w:val="15"/>
        </w:rPr>
        <w:t>anglais</w:t>
      </w:r>
    </w:p>
    <w:bookmarkEnd w:id="1"/>
    <w:p w14:paraId="1990D399" w14:textId="787A27B5" w:rsidR="008B2CC1" w:rsidRPr="00290DCD" w:rsidRDefault="00B66A77" w:rsidP="00DB0349">
      <w:pPr>
        <w:spacing w:after="1200"/>
        <w:jc w:val="right"/>
        <w:rPr>
          <w:rFonts w:ascii="Arial Black" w:hAnsi="Arial Black"/>
          <w:caps/>
          <w:sz w:val="15"/>
          <w:szCs w:val="15"/>
        </w:rPr>
      </w:pPr>
      <w:r>
        <w:rPr>
          <w:rFonts w:ascii="Arial Black" w:hAnsi="Arial Black"/>
          <w:caps/>
          <w:sz w:val="15"/>
          <w:szCs w:val="15"/>
        </w:rPr>
        <w:t>D</w:t>
      </w:r>
      <w:r w:rsidR="00DB0349" w:rsidRPr="00290DCD">
        <w:rPr>
          <w:rFonts w:ascii="Arial Black" w:hAnsi="Arial Black"/>
          <w:caps/>
          <w:sz w:val="15"/>
          <w:szCs w:val="15"/>
        </w:rPr>
        <w:t>ate</w:t>
      </w:r>
      <w:r w:rsidR="006B7AE5">
        <w:rPr>
          <w:rFonts w:ascii="Arial Black" w:hAnsi="Arial Black"/>
          <w:caps/>
          <w:sz w:val="15"/>
          <w:szCs w:val="15"/>
        </w:rPr>
        <w:t> :</w:t>
      </w:r>
      <w:r w:rsidR="00DB0349" w:rsidRPr="00290DCD">
        <w:rPr>
          <w:rFonts w:ascii="Arial Black" w:hAnsi="Arial Black"/>
          <w:caps/>
          <w:sz w:val="15"/>
          <w:szCs w:val="15"/>
        </w:rPr>
        <w:t xml:space="preserve"> </w:t>
      </w:r>
      <w:bookmarkStart w:id="2" w:name="Date"/>
      <w:r w:rsidR="00A22D86">
        <w:rPr>
          <w:rFonts w:ascii="Arial Black" w:hAnsi="Arial Black"/>
          <w:caps/>
          <w:sz w:val="15"/>
          <w:szCs w:val="15"/>
        </w:rPr>
        <w:t>16 septembre 2026</w:t>
      </w:r>
    </w:p>
    <w:bookmarkEnd w:id="2"/>
    <w:p w14:paraId="64124296" w14:textId="4F20EA58" w:rsidR="00C40E15" w:rsidRPr="00290DCD" w:rsidRDefault="00197881" w:rsidP="00DB0349">
      <w:pPr>
        <w:spacing w:after="600"/>
        <w:rPr>
          <w:b/>
          <w:sz w:val="28"/>
          <w:szCs w:val="28"/>
        </w:rPr>
      </w:pPr>
      <w:r w:rsidRPr="00290DCD">
        <w:rPr>
          <w:b/>
          <w:sz w:val="28"/>
          <w:szCs w:val="28"/>
        </w:rPr>
        <w:t>Comité des normes de l</w:t>
      </w:r>
      <w:r w:rsidR="006B7AE5">
        <w:rPr>
          <w:b/>
          <w:sz w:val="28"/>
          <w:szCs w:val="28"/>
        </w:rPr>
        <w:t>’</w:t>
      </w:r>
      <w:r w:rsidRPr="00290DCD">
        <w:rPr>
          <w:b/>
          <w:sz w:val="28"/>
          <w:szCs w:val="28"/>
        </w:rPr>
        <w:t>OMPI (CWS)</w:t>
      </w:r>
    </w:p>
    <w:p w14:paraId="2B916290" w14:textId="7B27109C" w:rsidR="008B2CC1" w:rsidRPr="00290DCD" w:rsidRDefault="00D871A7" w:rsidP="008B2CC1">
      <w:pPr>
        <w:rPr>
          <w:b/>
          <w:sz w:val="28"/>
          <w:szCs w:val="24"/>
        </w:rPr>
      </w:pPr>
      <w:r>
        <w:rPr>
          <w:b/>
          <w:sz w:val="24"/>
        </w:rPr>
        <w:t>Quator</w:t>
      </w:r>
      <w:r w:rsidR="0099108F" w:rsidRPr="00290DCD">
        <w:rPr>
          <w:b/>
          <w:sz w:val="24"/>
        </w:rPr>
        <w:t>z</w:t>
      </w:r>
      <w:r w:rsidR="006B7AE5">
        <w:rPr>
          <w:b/>
          <w:sz w:val="24"/>
        </w:rPr>
        <w:t>ième session</w:t>
      </w:r>
    </w:p>
    <w:p w14:paraId="037F01A3" w14:textId="77777777" w:rsidR="008B2CC1" w:rsidRPr="00290DCD" w:rsidRDefault="00197881" w:rsidP="00DB0349">
      <w:pPr>
        <w:spacing w:after="720"/>
        <w:rPr>
          <w:b/>
          <w:sz w:val="28"/>
          <w:szCs w:val="24"/>
        </w:rPr>
      </w:pPr>
      <w:r w:rsidRPr="00290DCD">
        <w:rPr>
          <w:b/>
          <w:sz w:val="24"/>
        </w:rPr>
        <w:t>Genève,</w:t>
      </w:r>
      <w:r w:rsidR="001352EC" w:rsidRPr="00290DCD">
        <w:rPr>
          <w:b/>
          <w:sz w:val="24"/>
        </w:rPr>
        <w:t xml:space="preserve"> </w:t>
      </w:r>
      <w:r w:rsidR="00D871A7">
        <w:rPr>
          <w:b/>
          <w:sz w:val="24"/>
        </w:rPr>
        <w:t>23</w:t>
      </w:r>
      <w:r w:rsidR="001352EC" w:rsidRPr="00290DCD">
        <w:rPr>
          <w:b/>
          <w:sz w:val="24"/>
        </w:rPr>
        <w:t xml:space="preserve"> – </w:t>
      </w:r>
      <w:r w:rsidR="00D871A7">
        <w:rPr>
          <w:b/>
          <w:sz w:val="24"/>
        </w:rPr>
        <w:t>27</w:t>
      </w:r>
      <w:r w:rsidR="0099108F" w:rsidRPr="00290DCD">
        <w:rPr>
          <w:b/>
          <w:sz w:val="24"/>
        </w:rPr>
        <w:t> nov</w:t>
      </w:r>
      <w:r w:rsidR="001352EC" w:rsidRPr="00290DCD">
        <w:rPr>
          <w:b/>
          <w:sz w:val="24"/>
        </w:rPr>
        <w:t>embre</w:t>
      </w:r>
      <w:r w:rsidR="0099108F" w:rsidRPr="00290DCD">
        <w:rPr>
          <w:b/>
          <w:sz w:val="24"/>
        </w:rPr>
        <w:t> </w:t>
      </w:r>
      <w:r w:rsidR="001352EC" w:rsidRPr="00290DCD">
        <w:rPr>
          <w:b/>
          <w:sz w:val="24"/>
        </w:rPr>
        <w:t>202</w:t>
      </w:r>
      <w:r w:rsidR="00D871A7">
        <w:rPr>
          <w:b/>
          <w:sz w:val="24"/>
        </w:rPr>
        <w:t>6</w:t>
      </w:r>
    </w:p>
    <w:p w14:paraId="359ACFD4" w14:textId="5396C11F" w:rsidR="00A22D86" w:rsidRPr="00A22D86" w:rsidRDefault="00A22D86" w:rsidP="00A22D86">
      <w:pPr>
        <w:spacing w:after="360"/>
        <w:rPr>
          <w:caps/>
          <w:sz w:val="24"/>
        </w:rPr>
      </w:pPr>
      <w:bookmarkStart w:id="3" w:name="TitleOfDoc"/>
      <w:r w:rsidRPr="00A22D86">
        <w:rPr>
          <w:caps/>
          <w:sz w:val="24"/>
        </w:rPr>
        <w:t>Proposition de révision de la norme ST.91 de l</w:t>
      </w:r>
      <w:r w:rsidR="006B7AE5">
        <w:rPr>
          <w:caps/>
          <w:sz w:val="24"/>
        </w:rPr>
        <w:t>’</w:t>
      </w:r>
      <w:r w:rsidRPr="00A22D86">
        <w:rPr>
          <w:caps/>
          <w:sz w:val="24"/>
        </w:rPr>
        <w:t>OMPI</w:t>
      </w:r>
    </w:p>
    <w:p w14:paraId="0F23D7A1" w14:textId="77777777" w:rsidR="00A22D86" w:rsidRDefault="00A22D86" w:rsidP="00A22D86">
      <w:pPr>
        <w:spacing w:after="960"/>
        <w:rPr>
          <w:i/>
        </w:rPr>
      </w:pPr>
      <w:bookmarkStart w:id="4" w:name="Prepared"/>
      <w:bookmarkEnd w:id="3"/>
      <w:r>
        <w:rPr>
          <w:i/>
        </w:rPr>
        <w:t>Document établi par le Secrétariat</w:t>
      </w:r>
    </w:p>
    <w:p w14:paraId="6D13E645" w14:textId="77777777" w:rsidR="00A22D86" w:rsidRDefault="00A22D86" w:rsidP="00EA56AD">
      <w:pPr>
        <w:pStyle w:val="Heading2"/>
      </w:pPr>
      <w:r>
        <w:t>Résumé</w:t>
      </w:r>
    </w:p>
    <w:p w14:paraId="2F75DA68" w14:textId="5493D2BB" w:rsidR="00A22D86" w:rsidRPr="00945EA0" w:rsidRDefault="00A22D86" w:rsidP="00A22D86">
      <w:pPr>
        <w:pStyle w:val="ONUMFS"/>
      </w:pPr>
      <w:r>
        <w:t>L</w:t>
      </w:r>
      <w:r w:rsidR="006B7AE5">
        <w:t>’</w:t>
      </w:r>
      <w:r>
        <w:t>Équipe d</w:t>
      </w:r>
      <w:r w:rsidR="006B7AE5">
        <w:t>’</w:t>
      </w:r>
      <w:r>
        <w:t>experts 3D propose une révision de la norme ST.91 de l</w:t>
      </w:r>
      <w:r w:rsidR="006B7AE5">
        <w:t>’</w:t>
      </w:r>
      <w:r>
        <w:t>O</w:t>
      </w:r>
      <w:r w:rsidR="00EA56AD">
        <w:t>MPI.  Ce</w:t>
      </w:r>
      <w:r>
        <w:t>tte proposition de révision comprend l</w:t>
      </w:r>
      <w:r w:rsidR="006B7AE5">
        <w:t>’</w:t>
      </w:r>
      <w:r>
        <w:t>ajout d</w:t>
      </w:r>
      <w:r w:rsidR="006B7AE5">
        <w:t>’</w:t>
      </w:r>
      <w:r>
        <w:t>une annexe II intitulée “Recherche de modèles tridimensionnels (3D)”, ainsi que certaines modifications d</w:t>
      </w:r>
      <w:r w:rsidR="006B7AE5">
        <w:t>’</w:t>
      </w:r>
      <w:r>
        <w:t>ordre rédactionnel.</w:t>
      </w:r>
    </w:p>
    <w:p w14:paraId="57488CA4" w14:textId="77777777" w:rsidR="00A22D86" w:rsidRDefault="00A22D86" w:rsidP="00EA56AD">
      <w:pPr>
        <w:pStyle w:val="Heading2"/>
      </w:pPr>
      <w:r>
        <w:t>Rappel</w:t>
      </w:r>
    </w:p>
    <w:p w14:paraId="154846A6" w14:textId="62424DA4" w:rsidR="00A22D86" w:rsidRDefault="00A22D86" w:rsidP="00A22D86">
      <w:pPr>
        <w:pStyle w:val="ONUMFS"/>
      </w:pPr>
      <w:r>
        <w:t>L</w:t>
      </w:r>
      <w:r w:rsidR="006B7AE5">
        <w:t>’</w:t>
      </w:r>
      <w:r>
        <w:t>Équipe d</w:t>
      </w:r>
      <w:r w:rsidR="006B7AE5">
        <w:t>’</w:t>
      </w:r>
      <w:r>
        <w:t>experts 3D est chargée de la révision de la norme ST.91 de l</w:t>
      </w:r>
      <w:r w:rsidR="006B7AE5">
        <w:t>’</w:t>
      </w:r>
      <w:r>
        <w:t>OMPI, dans le cadre de la tâche n° 61 dont la description est la suivante</w:t>
      </w:r>
      <w:r w:rsidR="006B7AE5">
        <w:t> :</w:t>
      </w:r>
    </w:p>
    <w:p w14:paraId="10CB0455" w14:textId="24A98524" w:rsidR="00A22D86" w:rsidRDefault="00A22D86" w:rsidP="00EA56AD">
      <w:pPr>
        <w:pStyle w:val="ONUMFS"/>
        <w:numPr>
          <w:ilvl w:val="0"/>
          <w:numId w:val="0"/>
        </w:numPr>
        <w:ind w:firstLine="567"/>
      </w:pPr>
      <w:r>
        <w:t>“</w:t>
      </w:r>
      <w:r>
        <w:rPr>
          <w:i/>
          <w:iCs/>
        </w:rPr>
        <w:t>Procéder aux révisions et mises à jour nécessaires de la norme ST.91 de l</w:t>
      </w:r>
      <w:r w:rsidR="006B7AE5">
        <w:rPr>
          <w:i/>
          <w:iCs/>
        </w:rPr>
        <w:t>’</w:t>
      </w:r>
      <w:r>
        <w:rPr>
          <w:i/>
          <w:iCs/>
        </w:rPr>
        <w:t xml:space="preserve">OMPI, </w:t>
      </w:r>
      <w:r w:rsidR="006B7AE5">
        <w:rPr>
          <w:i/>
          <w:iCs/>
        </w:rPr>
        <w:t>y compris</w:t>
      </w:r>
      <w:r>
        <w:rPr>
          <w:i/>
          <w:iCs/>
        </w:rPr>
        <w:t xml:space="preserve"> des méthodes de recherche de modèles et d</w:t>
      </w:r>
      <w:r w:rsidR="006B7AE5">
        <w:rPr>
          <w:i/>
          <w:iCs/>
        </w:rPr>
        <w:t>’</w:t>
      </w:r>
      <w:r>
        <w:rPr>
          <w:i/>
          <w:iCs/>
        </w:rPr>
        <w:t>images tridimensionnels (3D)</w:t>
      </w:r>
      <w:r>
        <w:t>”.</w:t>
      </w:r>
    </w:p>
    <w:p w14:paraId="5771E2EE" w14:textId="5A2EEB23" w:rsidR="00A22D86" w:rsidRDefault="00A22D86" w:rsidP="00A22D86">
      <w:pPr>
        <w:pStyle w:val="ONUMFS"/>
      </w:pPr>
      <w:r>
        <w:t>À sa neuv</w:t>
      </w:r>
      <w:r w:rsidR="006B7AE5">
        <w:t>ième session</w:t>
      </w:r>
      <w:r>
        <w:t>,</w:t>
      </w:r>
      <w:r w:rsidR="006B7AE5">
        <w:t xml:space="preserve"> le CWS</w:t>
      </w:r>
      <w:r>
        <w:t xml:space="preserve"> a adopté la norme ST.91 de l</w:t>
      </w:r>
      <w:r w:rsidR="006B7AE5">
        <w:t>’</w:t>
      </w:r>
      <w:r>
        <w:t xml:space="preserve">OMPI intitulée “Recommandations relatives aux modèles et images tridimensionnels (3D) numériques” (voir le paragraphe 31 du </w:t>
      </w:r>
      <w:r w:rsidR="006B7AE5">
        <w:t>document</w:t>
      </w:r>
      <w:r w:rsidR="00EA56AD">
        <w:t> </w:t>
      </w:r>
      <w:r w:rsidR="006B7AE5">
        <w:t>CW</w:t>
      </w:r>
      <w:r>
        <w:t>S/9/25).  Cette norme fournit des recommandations aux offices de propriété intellectuelle et autres parties intéressées qui gèrent, stockent, traitent, échangent ou diffusent des données de propriété intellectuelle à l</w:t>
      </w:r>
      <w:r w:rsidR="006B7AE5">
        <w:t>’</w:t>
      </w:r>
      <w:r>
        <w:t>aide de modèles et images 3D numériques.</w:t>
      </w:r>
    </w:p>
    <w:p w14:paraId="471BAB30" w14:textId="6BB3850D" w:rsidR="00A22D86" w:rsidRDefault="00A22D86" w:rsidP="00A22D86">
      <w:pPr>
        <w:pStyle w:val="ONUMFS"/>
      </w:pPr>
      <w:r>
        <w:t>À sa onz</w:t>
      </w:r>
      <w:r w:rsidR="006B7AE5">
        <w:t>ième session</w:t>
      </w:r>
      <w:r>
        <w:t>,</w:t>
      </w:r>
      <w:r w:rsidR="006B7AE5">
        <w:t xml:space="preserve"> le CWS</w:t>
      </w:r>
      <w:r>
        <w:t xml:space="preserve"> a approuvé la révision de la norme ST.91 de l</w:t>
      </w:r>
      <w:r w:rsidR="006B7AE5">
        <w:t>’</w:t>
      </w:r>
      <w:r>
        <w:t xml:space="preserve">OMPI, </w:t>
      </w:r>
      <w:r w:rsidR="006B7AE5">
        <w:t>y compris</w:t>
      </w:r>
      <w:r>
        <w:t xml:space="preserve"> l</w:t>
      </w:r>
      <w:r w:rsidR="006B7AE5">
        <w:t>’</w:t>
      </w:r>
      <w:r>
        <w:t>ajout d</w:t>
      </w:r>
      <w:r w:rsidR="006B7AE5">
        <w:t>’</w:t>
      </w:r>
      <w:r>
        <w:t xml:space="preserve">une nouvelle annexe sur les “Critères de sélection des formats 3D” et la suppression de la définition du format X3D (voir le paragraphe 106 du </w:t>
      </w:r>
      <w:r w:rsidR="006B7AE5">
        <w:t>document</w:t>
      </w:r>
      <w:r w:rsidR="00EA56AD">
        <w:t> </w:t>
      </w:r>
      <w:r w:rsidR="006B7AE5">
        <w:t>CW</w:t>
      </w:r>
      <w:r>
        <w:t>S/12/29).</w:t>
      </w:r>
    </w:p>
    <w:p w14:paraId="0B832B67" w14:textId="7A69DB88" w:rsidR="00A22D86" w:rsidRDefault="00A22D86" w:rsidP="00A22D86">
      <w:pPr>
        <w:pStyle w:val="ONUMFS"/>
      </w:pPr>
      <w:r>
        <w:t>À sa treiz</w:t>
      </w:r>
      <w:r w:rsidR="006B7AE5">
        <w:t>ième session</w:t>
      </w:r>
      <w:r>
        <w:t>,</w:t>
      </w:r>
      <w:r w:rsidR="006B7AE5">
        <w:t xml:space="preserve"> le CWS</w:t>
      </w:r>
      <w:r>
        <w:t xml:space="preserve"> a examiné le projet de document de travail concernant une nouvelle annexe de la norme ST.91 de l</w:t>
      </w:r>
      <w:r w:rsidR="006B7AE5">
        <w:t>’</w:t>
      </w:r>
      <w:r>
        <w:t>OMPI, présenté par l</w:t>
      </w:r>
      <w:r w:rsidR="006B7AE5">
        <w:t>’</w:t>
      </w:r>
      <w:r>
        <w:t>Équipe d</w:t>
      </w:r>
      <w:r w:rsidR="006B7AE5">
        <w:t>’</w:t>
      </w:r>
      <w:r>
        <w:t xml:space="preserve">experts 3D, qui </w:t>
      </w:r>
      <w:r>
        <w:lastRenderedPageBreak/>
        <w:t>fournit des recommandations relatives aux systèmes de recherche de 3D à</w:t>
      </w:r>
      <w:r w:rsidR="00EA56AD">
        <w:t> </w:t>
      </w:r>
      <w:r>
        <w:t xml:space="preserve">3D. </w:t>
      </w:r>
      <w:r w:rsidR="006B7AE5">
        <w:t xml:space="preserve"> Le CWS</w:t>
      </w:r>
      <w:r>
        <w:t xml:space="preserve"> a noté que l</w:t>
      </w:r>
      <w:r w:rsidR="006B7AE5">
        <w:t>’</w:t>
      </w:r>
      <w:r>
        <w:t>Équipe d</w:t>
      </w:r>
      <w:r w:rsidR="006B7AE5">
        <w:t>’</w:t>
      </w:r>
      <w:r>
        <w:t>experts 3D continuerait d</w:t>
      </w:r>
      <w:r w:rsidR="006B7AE5">
        <w:t>’</w:t>
      </w:r>
      <w:r>
        <w:t xml:space="preserve">affiner le projet et soumettrait une proposition définitive pour examen (voir les paragraphes 68 et 71 du </w:t>
      </w:r>
      <w:r w:rsidR="006B7AE5">
        <w:t>document</w:t>
      </w:r>
      <w:r w:rsidR="00EA56AD">
        <w:t> </w:t>
      </w:r>
      <w:r w:rsidR="006B7AE5">
        <w:t>CW</w:t>
      </w:r>
      <w:r>
        <w:t>S/13/33).</w:t>
      </w:r>
    </w:p>
    <w:p w14:paraId="4224D586" w14:textId="10882440" w:rsidR="00A22D86" w:rsidRPr="00BB052F" w:rsidRDefault="00A22D86" w:rsidP="00A22D86">
      <w:pPr>
        <w:pStyle w:val="ONUMFS"/>
      </w:pPr>
      <w:r>
        <w:t>La norme ST.91 de l</w:t>
      </w:r>
      <w:r w:rsidR="006B7AE5">
        <w:t>’</w:t>
      </w:r>
      <w:r>
        <w:t>OMPI ne contient toutefois aucune recommandation concernant la recherche de modèles 3D par les offices de propriété intellectuel</w:t>
      </w:r>
      <w:r w:rsidR="00EA56AD">
        <w:t>le.  Le</w:t>
      </w:r>
      <w:r>
        <w:t>s offices de propriété intellectuelle acceptant et publiant de plus en plus de modèles 3D, la capacité à rechercher ce type de contenu à des fins d</w:t>
      </w:r>
      <w:r w:rsidR="006B7AE5">
        <w:t>’</w:t>
      </w:r>
      <w:r>
        <w:t>examen devient indispensable pour exploiter efficacement les données relatives aux modèles 3D saisies et publiées par ces offices.</w:t>
      </w:r>
    </w:p>
    <w:p w14:paraId="1A205DFC" w14:textId="368F6196" w:rsidR="00A22D86" w:rsidRPr="00F46123" w:rsidRDefault="00A22D86" w:rsidP="00886C76">
      <w:pPr>
        <w:pStyle w:val="Heading2"/>
      </w:pPr>
      <w:r>
        <w:t>Proposition de révision de la norme ST.91 de l</w:t>
      </w:r>
      <w:r w:rsidR="006B7AE5">
        <w:t>’</w:t>
      </w:r>
      <w:r>
        <w:t>OMPI</w:t>
      </w:r>
    </w:p>
    <w:p w14:paraId="66C23A07" w14:textId="17E41C52" w:rsidR="00A22D86" w:rsidRDefault="00A22D86" w:rsidP="00A22D86">
      <w:pPr>
        <w:pStyle w:val="ONUMFS"/>
      </w:pPr>
      <w:r>
        <w:t>Afin de remédier à l</w:t>
      </w:r>
      <w:r w:rsidR="006B7AE5">
        <w:t>’</w:t>
      </w:r>
      <w:r>
        <w:t>absence actuelle de recommandations concernant la recherche de modèles 3D, l</w:t>
      </w:r>
      <w:r w:rsidR="006B7AE5">
        <w:t>’</w:t>
      </w:r>
      <w:r>
        <w:t>Équipe d</w:t>
      </w:r>
      <w:r w:rsidR="006B7AE5">
        <w:t>’</w:t>
      </w:r>
      <w:r>
        <w:t>experts 3D a établi une proposition de révision de la norme ST.91 de l</w:t>
      </w:r>
      <w:r w:rsidR="006B7AE5">
        <w:t>’</w:t>
      </w:r>
      <w:r>
        <w:t>OMPI pour examen et, le cas échéant, approbation, par</w:t>
      </w:r>
      <w:r w:rsidR="006B7AE5">
        <w:t xml:space="preserve"> le </w:t>
      </w:r>
      <w:r w:rsidR="00EA56AD">
        <w:t>CWS.  Ce</w:t>
      </w:r>
      <w:r>
        <w:t>tte proposition de révision comprend l</w:t>
      </w:r>
      <w:r w:rsidR="006B7AE5">
        <w:t>’</w:t>
      </w:r>
      <w:r>
        <w:t>ajout d</w:t>
      </w:r>
      <w:r w:rsidR="006B7AE5">
        <w:t>’</w:t>
      </w:r>
      <w:r>
        <w:t>une nouvelle annexe II à la norme ST.91 de l</w:t>
      </w:r>
      <w:r w:rsidR="006B7AE5">
        <w:t>’</w:t>
      </w:r>
      <w:r>
        <w:t>OMPI, intitulée “Recherche de modèles tridimensionnels (3D)”.  Toutes les propositions de modification figurent dans l</w:t>
      </w:r>
      <w:r w:rsidR="006B7AE5">
        <w:t>’</w:t>
      </w:r>
      <w:r>
        <w:t>annexe du présent document, où le texte biffé indique une suppression et le texte souligné indique un ajout.</w:t>
      </w:r>
    </w:p>
    <w:p w14:paraId="44390233" w14:textId="5FC1BA58" w:rsidR="00A22D86" w:rsidRDefault="00A22D86" w:rsidP="00A22D86">
      <w:pPr>
        <w:pStyle w:val="ONUMFS"/>
      </w:pPr>
      <w:r>
        <w:t>L</w:t>
      </w:r>
      <w:r w:rsidR="006B7AE5">
        <w:t>’</w:t>
      </w:r>
      <w:r>
        <w:t>Équipe d</w:t>
      </w:r>
      <w:r w:rsidR="006B7AE5">
        <w:t>’</w:t>
      </w:r>
      <w:r>
        <w:t>experts 3D a examiné le projet de document de travail relatif à l</w:t>
      </w:r>
      <w:r w:rsidR="006B7AE5">
        <w:t>’</w:t>
      </w:r>
      <w:r>
        <w:t>annexe II présenté à la treiz</w:t>
      </w:r>
      <w:r w:rsidR="006B7AE5">
        <w:t>ième session du </w:t>
      </w:r>
      <w:r w:rsidR="00EA56AD">
        <w:t>CWS.  Au</w:t>
      </w:r>
      <w:r>
        <w:t xml:space="preserve"> cours de la préparation de cette révision, le Service d</w:t>
      </w:r>
      <w:r w:rsidR="006B7AE5">
        <w:t>’</w:t>
      </w:r>
      <w:r>
        <w:t xml:space="preserve">enregistrement de </w:t>
      </w:r>
      <w:r w:rsidR="006B7AE5">
        <w:t>La Haye</w:t>
      </w:r>
      <w:r>
        <w:t xml:space="preserve"> du Bureau international a formulé des observations supplémentaires, soulevant la question de savoir si l</w:t>
      </w:r>
      <w:r w:rsidR="006B7AE5">
        <w:t>’</w:t>
      </w:r>
      <w:r>
        <w:t>expression “description du modèle 3D” fait référence à l</w:t>
      </w:r>
      <w:r w:rsidR="006B7AE5">
        <w:t>’</w:t>
      </w:r>
      <w:r>
        <w:t>élément de données existant “Description” ou envisage un nouvel élément de données distinct, et suggérant que les recommandations proposées devraient aller au</w:t>
      </w:r>
      <w:r w:rsidR="00EA56AD">
        <w:noBreakHyphen/>
      </w:r>
      <w:r>
        <w:t>delà des comparaisons de 3D à</w:t>
      </w:r>
      <w:r w:rsidR="00886C76">
        <w:t> </w:t>
      </w:r>
      <w:r>
        <w:t>3D pour englober également les comparaisons entre représentations 3D et</w:t>
      </w:r>
      <w:r w:rsidR="00886C76">
        <w:t> </w:t>
      </w:r>
      <w:r>
        <w:t>2D.  En réponse, l</w:t>
      </w:r>
      <w:r w:rsidR="006B7AE5">
        <w:t>’</w:t>
      </w:r>
      <w:r>
        <w:t>Équipe d</w:t>
      </w:r>
      <w:r w:rsidR="006B7AE5">
        <w:t>’</w:t>
      </w:r>
      <w:r>
        <w:t>experts 3D a intégré cette suggestion dans le projet révisé, ce qui a constitué la principale modification apportée à ce derni</w:t>
      </w:r>
      <w:r w:rsidR="00EA56AD">
        <w:t>er.  L’é</w:t>
      </w:r>
      <w:r>
        <w:t>quipe d</w:t>
      </w:r>
      <w:r w:rsidR="006B7AE5">
        <w:t>’</w:t>
      </w:r>
      <w:r>
        <w:t>experts a ensuite élaboré une version définitive destinée à être soumise</w:t>
      </w:r>
      <w:r w:rsidR="006B7AE5">
        <w:t xml:space="preserve"> au CWS</w:t>
      </w:r>
      <w:r>
        <w:t xml:space="preserve"> pour examen et, le cas échéant, approbation, à sa quatorz</w:t>
      </w:r>
      <w:r w:rsidR="006B7AE5">
        <w:t>ième session</w:t>
      </w:r>
      <w:r>
        <w:t>.</w:t>
      </w:r>
    </w:p>
    <w:p w14:paraId="5A162855" w14:textId="49DEC4AD" w:rsidR="00A22D86" w:rsidRPr="00F33048" w:rsidRDefault="00A22D86" w:rsidP="00482B8B">
      <w:pPr>
        <w:pStyle w:val="ONUMFS"/>
        <w:spacing w:after="120"/>
      </w:pPr>
      <w:r>
        <w:t>La proposition d</w:t>
      </w:r>
      <w:r w:rsidR="006B7AE5">
        <w:t>’</w:t>
      </w:r>
      <w:r>
        <w:t>annexe II de la norme ST.91 de l</w:t>
      </w:r>
      <w:r w:rsidR="006B7AE5">
        <w:t>’</w:t>
      </w:r>
      <w:r>
        <w:t>OMPI fournit des recommandations pour l</w:t>
      </w:r>
      <w:r w:rsidR="006B7AE5">
        <w:t>’</w:t>
      </w:r>
      <w:r>
        <w:t>élaboration et la mise en œuvre de systèmes de recherche pour les modèles tridimensionnels (3D) inclus dans les documents de propriété intellectuel</w:t>
      </w:r>
      <w:r w:rsidR="00EA56AD">
        <w:t>le.  El</w:t>
      </w:r>
      <w:r>
        <w:t>le recense deux</w:t>
      </w:r>
      <w:r w:rsidR="008927D1">
        <w:t> </w:t>
      </w:r>
      <w:r>
        <w:t>grandes catégories de méthodes de recherche de modèles 3D</w:t>
      </w:r>
      <w:r w:rsidR="006B7AE5">
        <w:t> :</w:t>
      </w:r>
    </w:p>
    <w:p w14:paraId="1F161B80" w14:textId="7F3882B1" w:rsidR="00A22D86" w:rsidRPr="00F33048" w:rsidRDefault="00A22D86" w:rsidP="00886C76">
      <w:pPr>
        <w:pStyle w:val="ONUMFS"/>
        <w:numPr>
          <w:ilvl w:val="0"/>
          <w:numId w:val="10"/>
        </w:numPr>
        <w:tabs>
          <w:tab w:val="clear" w:pos="567"/>
          <w:tab w:val="left" w:pos="1134"/>
        </w:tabs>
        <w:spacing w:after="120"/>
        <w:ind w:left="1134" w:hanging="567"/>
      </w:pPr>
      <w:r>
        <w:t>les méthodes de recherche textuelle, dans lesquelles les utilisateurs saisissent des mots</w:t>
      </w:r>
      <w:r w:rsidR="00EA56AD">
        <w:noBreakHyphen/>
      </w:r>
      <w:r>
        <w:t>clés ou des expressions décrivant l</w:t>
      </w:r>
      <w:r w:rsidR="006B7AE5">
        <w:t>’</w:t>
      </w:r>
      <w:r>
        <w:t>objet;  et</w:t>
      </w:r>
    </w:p>
    <w:p w14:paraId="2E29B014" w14:textId="77777777" w:rsidR="00A22D86" w:rsidRDefault="00A22D86" w:rsidP="00886C76">
      <w:pPr>
        <w:pStyle w:val="ONUMFS"/>
        <w:numPr>
          <w:ilvl w:val="0"/>
          <w:numId w:val="10"/>
        </w:numPr>
        <w:tabs>
          <w:tab w:val="clear" w:pos="567"/>
          <w:tab w:val="left" w:pos="1134"/>
        </w:tabs>
        <w:ind w:left="1134" w:hanging="567"/>
      </w:pPr>
      <w:r>
        <w:t>les méthodes fondées sur le contenu (fondées sur la forme), dans lesquelles les modèles 3D sont comparés en fonction de leur forme géométrique.</w:t>
      </w:r>
    </w:p>
    <w:p w14:paraId="1054BA0C" w14:textId="4CA642E5" w:rsidR="00A22D86" w:rsidRPr="009A047A" w:rsidRDefault="00A22D86" w:rsidP="00A22D86">
      <w:pPr>
        <w:pStyle w:val="ONUMFS"/>
      </w:pPr>
      <w:r>
        <w:t>Si les méthodes de recherche textuelle sont simples à mettre en œuvre, elles reposent toutefois sur des descriptions et des métadonnées de modèles 3D saisies manuellement, qui ne se prêtent pas bien à une automatisation complète et peuvent s</w:t>
      </w:r>
      <w:r w:rsidR="006B7AE5">
        <w:t>’</w:t>
      </w:r>
      <w:r>
        <w:t>avérer moins efficaces, car la description conceptuelle d</w:t>
      </w:r>
      <w:r w:rsidR="006B7AE5">
        <w:t>’</w:t>
      </w:r>
      <w:r>
        <w:t>un modèle 3D ne correspond pas toujours à sa similitude visuelle avec d</w:t>
      </w:r>
      <w:r w:rsidR="006B7AE5">
        <w:t>’</w:t>
      </w:r>
      <w:r>
        <w:t>autres obje</w:t>
      </w:r>
      <w:r w:rsidR="00EA56AD">
        <w:t>ts.  C’e</w:t>
      </w:r>
      <w:r>
        <w:t>st pourquoi la proposition d</w:t>
      </w:r>
      <w:r w:rsidR="006B7AE5">
        <w:t>’</w:t>
      </w:r>
      <w:r>
        <w:t>annexe II recommande les méthodes fondées sur le contenu (fondées sur la forme), qui restent efficaces même lorsqu</w:t>
      </w:r>
      <w:r w:rsidR="006B7AE5">
        <w:t>’</w:t>
      </w:r>
      <w:r>
        <w:t>un modèle 3D ne s</w:t>
      </w:r>
      <w:r w:rsidR="006B7AE5">
        <w:t>’</w:t>
      </w:r>
      <w:r>
        <w:t>accompagne pas de métadonnées précises, mais présente une forme caractéristiq</w:t>
      </w:r>
      <w:r w:rsidR="00EA56AD">
        <w:t>ue.  L’a</w:t>
      </w:r>
      <w:r>
        <w:t>nnexe reconnaît néanmoins que les méthodes de recherche textuelle peuvent être employées en complément des méthodes fondées sur le contenu lorsqu</w:t>
      </w:r>
      <w:r w:rsidR="006B7AE5">
        <w:t>’</w:t>
      </w:r>
      <w:r>
        <w:t>un office conserve des descriptions de modèles 3D.</w:t>
      </w:r>
    </w:p>
    <w:p w14:paraId="1D721C7A" w14:textId="29D0334F" w:rsidR="00A22D86" w:rsidRPr="00820380" w:rsidRDefault="00A22D86" w:rsidP="00164F10">
      <w:pPr>
        <w:pStyle w:val="ONUMFS"/>
        <w:keepLines/>
        <w:spacing w:after="120"/>
      </w:pPr>
      <w:r>
        <w:t>En ce qui concerne les méthodes fondées sur le contenu (fondées sur la forme), la proposition d</w:t>
      </w:r>
      <w:r w:rsidR="006B7AE5">
        <w:t>’</w:t>
      </w:r>
      <w:r>
        <w:t>annexe II recommande le recours à une recherche fondée sur la géométrie dans des réseaux de modèles 3D afin d</w:t>
      </w:r>
      <w:r w:rsidR="006B7AE5">
        <w:t>’</w:t>
      </w:r>
      <w:r>
        <w:t>identifier les similitudes entre les modèles 3D figurant dans les demandes de brevet et les demandes d</w:t>
      </w:r>
      <w:r w:rsidR="006B7AE5">
        <w:t>’</w:t>
      </w:r>
      <w:r>
        <w:t>enregistrement de marque et de dessin ou modèle industri</w:t>
      </w:r>
      <w:r w:rsidR="00EA56AD">
        <w:t>el.  L’a</w:t>
      </w:r>
      <w:r>
        <w:t>nnexe II décrit un processus de recherche en trois</w:t>
      </w:r>
      <w:r w:rsidR="008927D1">
        <w:t> </w:t>
      </w:r>
      <w:r>
        <w:t>étapes</w:t>
      </w:r>
      <w:r w:rsidR="006B7AE5">
        <w:t> :</w:t>
      </w:r>
    </w:p>
    <w:p w14:paraId="09BD89BE" w14:textId="77777777" w:rsidR="006B7AE5" w:rsidRDefault="00A22D86" w:rsidP="00886C76">
      <w:pPr>
        <w:pStyle w:val="ONUMFS"/>
        <w:numPr>
          <w:ilvl w:val="2"/>
          <w:numId w:val="6"/>
        </w:numPr>
        <w:tabs>
          <w:tab w:val="clear" w:pos="1701"/>
          <w:tab w:val="left" w:pos="1134"/>
        </w:tabs>
        <w:spacing w:after="120"/>
        <w:ind w:hanging="567"/>
      </w:pPr>
      <w:r>
        <w:t>prétraitement de la requête de recherche et extraction de données géométriques;</w:t>
      </w:r>
    </w:p>
    <w:p w14:paraId="5348485F" w14:textId="1BA6E43C" w:rsidR="00A22D86" w:rsidRPr="00820380" w:rsidRDefault="00A22D86" w:rsidP="00886C76">
      <w:pPr>
        <w:pStyle w:val="ONUMFS"/>
        <w:numPr>
          <w:ilvl w:val="2"/>
          <w:numId w:val="6"/>
        </w:numPr>
        <w:tabs>
          <w:tab w:val="clear" w:pos="1701"/>
          <w:tab w:val="left" w:pos="1134"/>
        </w:tabs>
        <w:spacing w:after="120"/>
        <w:ind w:hanging="567"/>
      </w:pPr>
      <w:r>
        <w:t>création d</w:t>
      </w:r>
      <w:r w:rsidR="006B7AE5">
        <w:t>’</w:t>
      </w:r>
      <w:r>
        <w:t>un descripteur géométrique;  et</w:t>
      </w:r>
    </w:p>
    <w:p w14:paraId="632A8F4C" w14:textId="77777777" w:rsidR="006B7AE5" w:rsidRDefault="00A22D86" w:rsidP="00886C76">
      <w:pPr>
        <w:pStyle w:val="ONUMFS"/>
        <w:numPr>
          <w:ilvl w:val="2"/>
          <w:numId w:val="6"/>
        </w:numPr>
        <w:tabs>
          <w:tab w:val="clear" w:pos="1701"/>
          <w:tab w:val="left" w:pos="1134"/>
        </w:tabs>
        <w:ind w:hanging="567"/>
      </w:pPr>
      <w:r>
        <w:t>comparaison du descripteur avec ceux des modèles existants dans la base de données.</w:t>
      </w:r>
    </w:p>
    <w:p w14:paraId="05880F5A" w14:textId="120CB2DE" w:rsidR="006B7AE5" w:rsidRDefault="00A22D86" w:rsidP="00A22D86">
      <w:pPr>
        <w:pStyle w:val="ONUMFS"/>
      </w:pPr>
      <w:r>
        <w:t>Les formats de modèle 3D recommandés dans la norme ST.91 de l</w:t>
      </w:r>
      <w:r w:rsidR="006B7AE5">
        <w:t>’</w:t>
      </w:r>
      <w:r>
        <w:t>OMPI sont soit de type maillage, soit fondés sur des solid</w:t>
      </w:r>
      <w:r w:rsidR="00EA56AD">
        <w:t>es.  La</w:t>
      </w:r>
      <w:r>
        <w:t xml:space="preserve"> proposition d</w:t>
      </w:r>
      <w:r w:rsidR="006B7AE5">
        <w:t>’</w:t>
      </w:r>
      <w:r>
        <w:t>annexe II s</w:t>
      </w:r>
      <w:r w:rsidR="006B7AE5">
        <w:t>’</w:t>
      </w:r>
      <w:r>
        <w:t xml:space="preserve">appuie sur les formats recommandés en précisant comment les données géométriques peuvent être extraites de chaque type de format, </w:t>
      </w:r>
      <w:r w:rsidR="006B7AE5">
        <w:t>y compris</w:t>
      </w:r>
      <w:r>
        <w:t xml:space="preserve"> la conversion des formats basés sur des solides en une représentation maillée et, le cas échéant, en données de nuage de points, garantissant ainsi que les recommandations en matière de recherche restent techniquement cohérentes avec les formats déjà adoptés dans le cadre de la nor</w:t>
      </w:r>
      <w:r w:rsidR="00EA56AD">
        <w:t>me.  La</w:t>
      </w:r>
      <w:r>
        <w:t xml:space="preserve"> proposition d</w:t>
      </w:r>
      <w:r w:rsidR="006B7AE5">
        <w:t>’</w:t>
      </w:r>
      <w:r>
        <w:t>annexe II recommande en outre que chaque partie du modèle 3D soit traitée et analysée séparément.</w:t>
      </w:r>
    </w:p>
    <w:p w14:paraId="033CBCD7" w14:textId="0E294053" w:rsidR="00A22D86" w:rsidRPr="002E1992" w:rsidRDefault="00A22D86" w:rsidP="00A22D86">
      <w:pPr>
        <w:pStyle w:val="ONUMFS"/>
      </w:pPr>
      <w:r>
        <w:t>La proposition d</w:t>
      </w:r>
      <w:r w:rsidR="006B7AE5">
        <w:t>’</w:t>
      </w:r>
      <w:r>
        <w:t>annexe II recommande également que les offices de propriété intellectuelle qui collectent ou extraient des images 2D à partir de modèles 3D et qui en ont les capacités puissent mettre en œuvre la recherche d</w:t>
      </w:r>
      <w:r w:rsidR="006B7AE5">
        <w:t>’</w:t>
      </w:r>
      <w:r>
        <w:t>images 2D en plus de la recherche de 3D à</w:t>
      </w:r>
      <w:r w:rsidR="003B1FEE">
        <w:t> </w:t>
      </w:r>
      <w:r>
        <w:t>3D fondée sur le contenu.</w:t>
      </w:r>
    </w:p>
    <w:p w14:paraId="4C253C14" w14:textId="2CB6F269" w:rsidR="00A22D86" w:rsidRDefault="00A22D86" w:rsidP="00A22D86">
      <w:pPr>
        <w:pStyle w:val="ONUMFS"/>
      </w:pPr>
      <w:r>
        <w:t>Plusieurs modifications d</w:t>
      </w:r>
      <w:r w:rsidR="006B7AE5">
        <w:t>’</w:t>
      </w:r>
      <w:r>
        <w:t>ordre rédactionnel sont également proposées dans la norme, notamment l</w:t>
      </w:r>
      <w:r w:rsidR="006B7AE5">
        <w:t>’</w:t>
      </w:r>
      <w:r>
        <w:t>ajout des normes ST.92 et ST.97 de l</w:t>
      </w:r>
      <w:r w:rsidR="006B7AE5">
        <w:t>’</w:t>
      </w:r>
      <w:r>
        <w:t>OMPI à la section “Références”.</w:t>
      </w:r>
    </w:p>
    <w:p w14:paraId="4B7E990B" w14:textId="6C45E09F" w:rsidR="00A22D86" w:rsidRDefault="00A22D86" w:rsidP="00A22D86">
      <w:pPr>
        <w:pStyle w:val="ONUMFS"/>
      </w:pPr>
      <w:r>
        <w:t>Puisque la norme n</w:t>
      </w:r>
      <w:r w:rsidR="006B7AE5">
        <w:t>’</w:t>
      </w:r>
      <w:r>
        <w:t>est associée à aucun numéro de version, il n</w:t>
      </w:r>
      <w:r w:rsidR="006B7AE5">
        <w:t>’</w:t>
      </w:r>
      <w:r>
        <w:t>est pas nécessaire de proposer un nouveau numéro de version et la date de publication est jugée suffisante en tant que référence unique.</w:t>
      </w:r>
    </w:p>
    <w:p w14:paraId="52C21A4E" w14:textId="77777777" w:rsidR="00A22D86" w:rsidRPr="00673068" w:rsidRDefault="00A22D86" w:rsidP="00886C76">
      <w:pPr>
        <w:pStyle w:val="Heading2"/>
      </w:pPr>
      <w:r>
        <w:t>Proposition de révision de la tâche n° 61</w:t>
      </w:r>
    </w:p>
    <w:p w14:paraId="05F751F1" w14:textId="4C61F474" w:rsidR="006B7AE5" w:rsidRDefault="00A22D86" w:rsidP="00482B8B">
      <w:pPr>
        <w:pStyle w:val="ONUMFS"/>
        <w:spacing w:after="120"/>
      </w:pPr>
      <w:r>
        <w:t>Une fois que la proposition de révision de la norme ST.91 de l</w:t>
      </w:r>
      <w:r w:rsidR="006B7AE5">
        <w:t>’</w:t>
      </w:r>
      <w:r>
        <w:t>OMPI aura été approuvée, la tâche n° 61 pourra être considérée comme partiellement achevée.  L</w:t>
      </w:r>
      <w:r w:rsidR="006B7AE5">
        <w:t>’</w:t>
      </w:r>
      <w:r>
        <w:t>Équipe d</w:t>
      </w:r>
      <w:r w:rsidR="006B7AE5">
        <w:t>’</w:t>
      </w:r>
      <w:r>
        <w:t>experts 3D poursuivra ses discussions afin de garantir une amélioration continue de la norme, tout en soutenant sa mise en œuvre par les offices de propriété intellectuel</w:t>
      </w:r>
      <w:r w:rsidR="00EA56AD">
        <w:t>le.  Au</w:t>
      </w:r>
      <w:r>
        <w:t>ssi, il est proposé de réviser la description de la tâche n° 61 comme suit</w:t>
      </w:r>
      <w:r w:rsidR="006B7AE5">
        <w:t> :</w:t>
      </w:r>
    </w:p>
    <w:p w14:paraId="455718EA" w14:textId="626B856B" w:rsidR="00A22D86" w:rsidRDefault="00A22D86" w:rsidP="00886C76">
      <w:pPr>
        <w:pStyle w:val="ONUMFS"/>
        <w:numPr>
          <w:ilvl w:val="0"/>
          <w:numId w:val="0"/>
        </w:numPr>
        <w:ind w:firstLine="567"/>
      </w:pPr>
      <w:r>
        <w:rPr>
          <w:i/>
        </w:rPr>
        <w:t>“Procéder aux révisions et mises à jour nécessaires de la norme ST.91 de l</w:t>
      </w:r>
      <w:r w:rsidR="006B7AE5">
        <w:rPr>
          <w:i/>
        </w:rPr>
        <w:t>’</w:t>
      </w:r>
      <w:r>
        <w:rPr>
          <w:i/>
        </w:rPr>
        <w:t>OMPI et soutenir la mise en œuvre de cette norme.”</w:t>
      </w:r>
    </w:p>
    <w:p w14:paraId="7243C7C3" w14:textId="3BB6C3DA" w:rsidR="006B7AE5" w:rsidRPr="003B1FEE" w:rsidRDefault="00A22D86" w:rsidP="003B1FEE">
      <w:pPr>
        <w:pStyle w:val="ONUMFS"/>
        <w:ind w:left="5533"/>
        <w:rPr>
          <w:i/>
        </w:rPr>
      </w:pPr>
      <w:r w:rsidRPr="003B1FEE">
        <w:rPr>
          <w:i/>
        </w:rPr>
        <w:t>Le CWS est invité</w:t>
      </w:r>
    </w:p>
    <w:p w14:paraId="744E9629" w14:textId="77777777" w:rsidR="006B7AE5" w:rsidRPr="00482B8B" w:rsidRDefault="00A22D86" w:rsidP="003B1FEE">
      <w:pPr>
        <w:pStyle w:val="ONUMFS"/>
        <w:numPr>
          <w:ilvl w:val="1"/>
          <w:numId w:val="6"/>
        </w:numPr>
        <w:ind w:left="5533" w:firstLine="704"/>
        <w:rPr>
          <w:i/>
          <w:spacing w:val="-2"/>
        </w:rPr>
      </w:pPr>
      <w:r w:rsidRPr="00482B8B">
        <w:rPr>
          <w:i/>
          <w:spacing w:val="-2"/>
        </w:rPr>
        <w:t>à prendre note du contenu du présent document et de son annexe,</w:t>
      </w:r>
    </w:p>
    <w:p w14:paraId="03804F14" w14:textId="263260B7" w:rsidR="00A22D86" w:rsidRPr="003B1FEE" w:rsidRDefault="00A22D86" w:rsidP="003B1FEE">
      <w:pPr>
        <w:pStyle w:val="ONUMFS"/>
        <w:numPr>
          <w:ilvl w:val="1"/>
          <w:numId w:val="6"/>
        </w:numPr>
        <w:ind w:left="5533" w:firstLine="704"/>
        <w:rPr>
          <w:i/>
        </w:rPr>
      </w:pPr>
      <w:r w:rsidRPr="003B1FEE">
        <w:rPr>
          <w:i/>
        </w:rPr>
        <w:t>à examiner et à approuver les propositions de révision de la norme ST.91 indiquées aux paragraphes 7 à 15 et reproduites dans l</w:t>
      </w:r>
      <w:r w:rsidR="006B7AE5" w:rsidRPr="003B1FEE">
        <w:rPr>
          <w:i/>
        </w:rPr>
        <w:t>’</w:t>
      </w:r>
      <w:r w:rsidRPr="003B1FEE">
        <w:rPr>
          <w:i/>
        </w:rPr>
        <w:t>annexe du présent document et</w:t>
      </w:r>
    </w:p>
    <w:p w14:paraId="6C665CD3" w14:textId="3E3ECF7C" w:rsidR="00A22D86" w:rsidRDefault="00A22D86" w:rsidP="00164F10">
      <w:pPr>
        <w:pStyle w:val="ONUMFS"/>
        <w:keepLines/>
        <w:numPr>
          <w:ilvl w:val="1"/>
          <w:numId w:val="6"/>
        </w:numPr>
        <w:ind w:left="5533" w:firstLine="704"/>
        <w:rPr>
          <w:i/>
        </w:rPr>
      </w:pPr>
      <w:r w:rsidRPr="003B1FEE">
        <w:rPr>
          <w:i/>
        </w:rPr>
        <w:t>à examiner et à approuver la proposition de nouvelle description de la tâche n° 61, telle qu</w:t>
      </w:r>
      <w:r w:rsidR="006B7AE5" w:rsidRPr="003B1FEE">
        <w:rPr>
          <w:i/>
        </w:rPr>
        <w:t>’</w:t>
      </w:r>
      <w:r w:rsidRPr="003B1FEE">
        <w:rPr>
          <w:i/>
        </w:rPr>
        <w:t>elle figure au paragraphe 16.</w:t>
      </w:r>
    </w:p>
    <w:p w14:paraId="5F9A2284" w14:textId="77777777" w:rsidR="00164F10" w:rsidRPr="003B1FEE" w:rsidRDefault="00164F10" w:rsidP="00164F10">
      <w:pPr>
        <w:pStyle w:val="ONUMFS"/>
        <w:keepLines/>
        <w:numPr>
          <w:ilvl w:val="0"/>
          <w:numId w:val="0"/>
        </w:numPr>
        <w:ind w:left="5533"/>
        <w:rPr>
          <w:i/>
        </w:rPr>
      </w:pPr>
    </w:p>
    <w:bookmarkEnd w:id="4"/>
    <w:p w14:paraId="133C9AB9" w14:textId="3AF1D9D1" w:rsidR="0099108F" w:rsidRPr="00A22D86" w:rsidRDefault="00A22D86" w:rsidP="003B1FEE">
      <w:pPr>
        <w:pStyle w:val="Endofdocument-Annex"/>
        <w:spacing w:before="240"/>
      </w:pPr>
      <w:r w:rsidRPr="00A22D86">
        <w:t>[L</w:t>
      </w:r>
      <w:r w:rsidR="006B7AE5">
        <w:t>’</w:t>
      </w:r>
      <w:r w:rsidRPr="00A22D86">
        <w:t>annexe suit]</w:t>
      </w:r>
    </w:p>
    <w:sectPr w:rsidR="0099108F" w:rsidRPr="00A22D86" w:rsidSect="00A22D86">
      <w:headerReference w:type="default" r:id="rId12"/>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CDBA0" w14:textId="77777777" w:rsidR="00843706" w:rsidRPr="00290DCD" w:rsidRDefault="00843706">
      <w:r w:rsidRPr="00290DCD">
        <w:separator/>
      </w:r>
    </w:p>
  </w:endnote>
  <w:endnote w:type="continuationSeparator" w:id="0">
    <w:p w14:paraId="23D663DB" w14:textId="77777777" w:rsidR="00843706" w:rsidRPr="00290DCD" w:rsidRDefault="00843706" w:rsidP="00D45252">
      <w:pPr>
        <w:rPr>
          <w:sz w:val="17"/>
          <w:szCs w:val="17"/>
        </w:rPr>
      </w:pPr>
      <w:r w:rsidRPr="00290DCD">
        <w:rPr>
          <w:sz w:val="17"/>
          <w:szCs w:val="17"/>
        </w:rPr>
        <w:separator/>
      </w:r>
    </w:p>
    <w:p w14:paraId="72C18134" w14:textId="77777777" w:rsidR="00843706" w:rsidRPr="00290DCD" w:rsidRDefault="00843706" w:rsidP="00D45252">
      <w:pPr>
        <w:spacing w:after="60"/>
        <w:rPr>
          <w:sz w:val="17"/>
          <w:szCs w:val="17"/>
        </w:rPr>
      </w:pPr>
      <w:r w:rsidRPr="00290DCD">
        <w:rPr>
          <w:sz w:val="17"/>
          <w:szCs w:val="17"/>
        </w:rPr>
        <w:t>[Suite de la note de la page précédente]</w:t>
      </w:r>
    </w:p>
  </w:endnote>
  <w:endnote w:type="continuationNotice" w:id="1">
    <w:p w14:paraId="39031F79" w14:textId="77777777" w:rsidR="00843706" w:rsidRPr="00290DCD" w:rsidRDefault="00843706" w:rsidP="009D30E6">
      <w:pPr>
        <w:spacing w:before="60"/>
        <w:jc w:val="right"/>
        <w:rPr>
          <w:sz w:val="17"/>
          <w:szCs w:val="17"/>
        </w:rPr>
      </w:pPr>
      <w:r w:rsidRPr="00290DCD">
        <w:rPr>
          <w:sz w:val="17"/>
          <w:szCs w:val="17"/>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E2F7D" w14:textId="77777777" w:rsidR="00843706" w:rsidRPr="00290DCD" w:rsidRDefault="00843706">
      <w:r w:rsidRPr="00290DCD">
        <w:separator/>
      </w:r>
    </w:p>
  </w:footnote>
  <w:footnote w:type="continuationSeparator" w:id="0">
    <w:p w14:paraId="5D5F476C" w14:textId="77777777" w:rsidR="00843706" w:rsidRPr="00290DCD" w:rsidRDefault="00843706" w:rsidP="007461F1">
      <w:r w:rsidRPr="00290DCD">
        <w:separator/>
      </w:r>
    </w:p>
    <w:p w14:paraId="2B43EE26" w14:textId="77777777" w:rsidR="00843706" w:rsidRPr="00290DCD" w:rsidRDefault="00843706" w:rsidP="007461F1">
      <w:pPr>
        <w:spacing w:after="60"/>
        <w:rPr>
          <w:sz w:val="17"/>
          <w:szCs w:val="17"/>
        </w:rPr>
      </w:pPr>
      <w:r w:rsidRPr="00290DCD">
        <w:rPr>
          <w:sz w:val="17"/>
          <w:szCs w:val="17"/>
        </w:rPr>
        <w:t>[Suite de la note de la page précédente]</w:t>
      </w:r>
    </w:p>
  </w:footnote>
  <w:footnote w:type="continuationNotice" w:id="1">
    <w:p w14:paraId="628D08BE" w14:textId="77777777" w:rsidR="00843706" w:rsidRPr="00290DCD" w:rsidRDefault="00843706" w:rsidP="007461F1">
      <w:pPr>
        <w:spacing w:before="60"/>
        <w:jc w:val="right"/>
        <w:rPr>
          <w:sz w:val="17"/>
          <w:szCs w:val="17"/>
        </w:rPr>
      </w:pPr>
      <w:r w:rsidRPr="00290DCD">
        <w:rPr>
          <w:sz w:val="17"/>
          <w:szCs w:val="17"/>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23025" w14:textId="7223C24D" w:rsidR="00F16975" w:rsidRPr="00290DCD" w:rsidRDefault="00A22D86" w:rsidP="00477D6B">
    <w:pPr>
      <w:jc w:val="right"/>
    </w:pPr>
    <w:bookmarkStart w:id="5" w:name="Code2"/>
    <w:bookmarkEnd w:id="5"/>
    <w:r>
      <w:t>CWS/14/22</w:t>
    </w:r>
  </w:p>
  <w:p w14:paraId="397DD641" w14:textId="77777777" w:rsidR="004F4E31" w:rsidRPr="00290DCD" w:rsidRDefault="00F16975" w:rsidP="0099108F">
    <w:pPr>
      <w:spacing w:after="480"/>
      <w:jc w:val="right"/>
    </w:pPr>
    <w:r w:rsidRPr="00290DCD">
      <w:t>page</w:t>
    </w:r>
    <w:r w:rsidR="0099108F" w:rsidRPr="00290DCD">
      <w:t> </w:t>
    </w:r>
    <w:r w:rsidRPr="00290DCD">
      <w:fldChar w:fldCharType="begin"/>
    </w:r>
    <w:r w:rsidRPr="00290DCD">
      <w:instrText xml:space="preserve"> PAGE  \* MERGEFORMAT </w:instrText>
    </w:r>
    <w:r w:rsidRPr="00290DCD">
      <w:fldChar w:fldCharType="separate"/>
    </w:r>
    <w:r w:rsidR="004F4E31" w:rsidRPr="00290DCD">
      <w:t>2</w:t>
    </w:r>
    <w:r w:rsidRPr="00290DCD">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86E3ED8"/>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C420BC6C"/>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304439D"/>
    <w:multiLevelType w:val="hybridMultilevel"/>
    <w:tmpl w:val="5DA05908"/>
    <w:lvl w:ilvl="0" w:tplc="0409001B">
      <w:start w:val="1"/>
      <w:numFmt w:val="lowerRoman"/>
      <w:lvlText w:val="%1."/>
      <w:lvlJc w:val="righ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88B1A66"/>
    <w:multiLevelType w:val="hybridMultilevel"/>
    <w:tmpl w:val="CAB40802"/>
    <w:lvl w:ilvl="0" w:tplc="51603708">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59BD6BAB"/>
    <w:multiLevelType w:val="multilevel"/>
    <w:tmpl w:val="6BD06B66"/>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9" w15:restartNumberingAfterBreak="0">
    <w:nsid w:val="661C0DE3"/>
    <w:multiLevelType w:val="hybridMultilevel"/>
    <w:tmpl w:val="70E8EA6A"/>
    <w:lvl w:ilvl="0" w:tplc="62E09970">
      <w:start w:val="1"/>
      <w:numFmt w:val="lowerLetter"/>
      <w:lvlText w:val="(%1)"/>
      <w:lvlJc w:val="left"/>
      <w:pPr>
        <w:ind w:left="1440" w:hanging="360"/>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98548192">
    <w:abstractNumId w:val="2"/>
  </w:num>
  <w:num w:numId="2" w16cid:durableId="1870607316">
    <w:abstractNumId w:val="5"/>
  </w:num>
  <w:num w:numId="3" w16cid:durableId="844322595">
    <w:abstractNumId w:val="0"/>
  </w:num>
  <w:num w:numId="4" w16cid:durableId="1456631763">
    <w:abstractNumId w:val="6"/>
  </w:num>
  <w:num w:numId="5" w16cid:durableId="628778745">
    <w:abstractNumId w:val="1"/>
  </w:num>
  <w:num w:numId="6" w16cid:durableId="670451745">
    <w:abstractNumId w:val="3"/>
  </w:num>
  <w:num w:numId="7" w16cid:durableId="353775531">
    <w:abstractNumId w:val="9"/>
  </w:num>
  <w:num w:numId="8" w16cid:durableId="1127815668">
    <w:abstractNumId w:val="7"/>
  </w:num>
  <w:num w:numId="9" w16cid:durableId="439371625">
    <w:abstractNumId w:val="4"/>
  </w:num>
  <w:num w:numId="10" w16cid:durableId="14668522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D86"/>
    <w:rsid w:val="00011B7D"/>
    <w:rsid w:val="00075432"/>
    <w:rsid w:val="000F5E56"/>
    <w:rsid w:val="001352EC"/>
    <w:rsid w:val="001362EE"/>
    <w:rsid w:val="00157E3C"/>
    <w:rsid w:val="00164F10"/>
    <w:rsid w:val="001832A6"/>
    <w:rsid w:val="00193438"/>
    <w:rsid w:val="00195C6E"/>
    <w:rsid w:val="00197881"/>
    <w:rsid w:val="001B266A"/>
    <w:rsid w:val="001C27A7"/>
    <w:rsid w:val="001C467D"/>
    <w:rsid w:val="001D3D56"/>
    <w:rsid w:val="00240654"/>
    <w:rsid w:val="002634C4"/>
    <w:rsid w:val="00290DCD"/>
    <w:rsid w:val="002D4918"/>
    <w:rsid w:val="002E4D1A"/>
    <w:rsid w:val="002F16BC"/>
    <w:rsid w:val="002F4E68"/>
    <w:rsid w:val="00315FCA"/>
    <w:rsid w:val="003845C1"/>
    <w:rsid w:val="003A1BCD"/>
    <w:rsid w:val="003B1FEE"/>
    <w:rsid w:val="004008A2"/>
    <w:rsid w:val="004025DF"/>
    <w:rsid w:val="00423E3E"/>
    <w:rsid w:val="00427AF4"/>
    <w:rsid w:val="004647DA"/>
    <w:rsid w:val="00477D6B"/>
    <w:rsid w:val="00482B8B"/>
    <w:rsid w:val="004D6471"/>
    <w:rsid w:val="004F4E31"/>
    <w:rsid w:val="00525B63"/>
    <w:rsid w:val="00547476"/>
    <w:rsid w:val="00561DB8"/>
    <w:rsid w:val="00567A4C"/>
    <w:rsid w:val="00576171"/>
    <w:rsid w:val="00587ACE"/>
    <w:rsid w:val="005A3309"/>
    <w:rsid w:val="005E6516"/>
    <w:rsid w:val="00605827"/>
    <w:rsid w:val="00676936"/>
    <w:rsid w:val="006B0DB5"/>
    <w:rsid w:val="006B7AE5"/>
    <w:rsid w:val="006E4243"/>
    <w:rsid w:val="007461F1"/>
    <w:rsid w:val="007C04C6"/>
    <w:rsid w:val="007D6961"/>
    <w:rsid w:val="007E2E41"/>
    <w:rsid w:val="007F07CB"/>
    <w:rsid w:val="00810CEF"/>
    <w:rsid w:val="0081208D"/>
    <w:rsid w:val="008236DE"/>
    <w:rsid w:val="00842A13"/>
    <w:rsid w:val="00843706"/>
    <w:rsid w:val="00886C76"/>
    <w:rsid w:val="008927D1"/>
    <w:rsid w:val="008B2CC1"/>
    <w:rsid w:val="008B7418"/>
    <w:rsid w:val="008E7930"/>
    <w:rsid w:val="0090731E"/>
    <w:rsid w:val="00917121"/>
    <w:rsid w:val="00966A22"/>
    <w:rsid w:val="00974CD6"/>
    <w:rsid w:val="0099108F"/>
    <w:rsid w:val="009D30E6"/>
    <w:rsid w:val="009E3F6F"/>
    <w:rsid w:val="009F499F"/>
    <w:rsid w:val="009F541A"/>
    <w:rsid w:val="00A02BD3"/>
    <w:rsid w:val="00A22D86"/>
    <w:rsid w:val="00A65E7E"/>
    <w:rsid w:val="00A971A6"/>
    <w:rsid w:val="00AA1F20"/>
    <w:rsid w:val="00AC0AE4"/>
    <w:rsid w:val="00AD61DB"/>
    <w:rsid w:val="00AD76D2"/>
    <w:rsid w:val="00B6177F"/>
    <w:rsid w:val="00B66A77"/>
    <w:rsid w:val="00B87BCF"/>
    <w:rsid w:val="00BA62D4"/>
    <w:rsid w:val="00BC3FC3"/>
    <w:rsid w:val="00BF6079"/>
    <w:rsid w:val="00C153FD"/>
    <w:rsid w:val="00C40E15"/>
    <w:rsid w:val="00C664C8"/>
    <w:rsid w:val="00C76A79"/>
    <w:rsid w:val="00CA15F5"/>
    <w:rsid w:val="00CA72C1"/>
    <w:rsid w:val="00CF0460"/>
    <w:rsid w:val="00D45252"/>
    <w:rsid w:val="00D71B4D"/>
    <w:rsid w:val="00D75C1E"/>
    <w:rsid w:val="00D871A7"/>
    <w:rsid w:val="00D93D55"/>
    <w:rsid w:val="00DB0349"/>
    <w:rsid w:val="00DD6A16"/>
    <w:rsid w:val="00E0091A"/>
    <w:rsid w:val="00E203AA"/>
    <w:rsid w:val="00E527A5"/>
    <w:rsid w:val="00E76456"/>
    <w:rsid w:val="00EA56AD"/>
    <w:rsid w:val="00EE71CB"/>
    <w:rsid w:val="00F16975"/>
    <w:rsid w:val="00F66152"/>
    <w:rsid w:val="00FF4371"/>
    <w:rsid w:val="00FF5FC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A5648"/>
  <w15:docId w15:val="{63EEE60E-F0AC-437D-9787-2D44EA570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5DF"/>
    <w:rPr>
      <w:rFonts w:ascii="Arial" w:eastAsia="SimSun" w:hAnsi="Arial" w:cs="Arial"/>
      <w:sz w:val="22"/>
      <w:lang w:val="fr-FR" w:eastAsia="zh-CN"/>
    </w:rPr>
  </w:style>
  <w:style w:type="paragraph" w:styleId="Heading1">
    <w:name w:val="heading 1"/>
    <w:basedOn w:val="Normal"/>
    <w:next w:val="Normal"/>
    <w:qFormat/>
    <w:rsid w:val="004025DF"/>
    <w:pPr>
      <w:keepNext/>
      <w:spacing w:before="240" w:after="60"/>
      <w:outlineLvl w:val="0"/>
    </w:pPr>
    <w:rPr>
      <w:b/>
      <w:bCs/>
      <w:caps/>
      <w:kern w:val="32"/>
      <w:szCs w:val="32"/>
    </w:rPr>
  </w:style>
  <w:style w:type="paragraph" w:styleId="Heading2">
    <w:name w:val="heading 2"/>
    <w:basedOn w:val="Normal"/>
    <w:next w:val="Normal"/>
    <w:link w:val="Heading2Char"/>
    <w:qFormat/>
    <w:rsid w:val="004025DF"/>
    <w:pPr>
      <w:keepNext/>
      <w:spacing w:before="240" w:after="60"/>
      <w:outlineLvl w:val="1"/>
    </w:pPr>
    <w:rPr>
      <w:bCs/>
      <w:iCs/>
      <w:caps/>
      <w:szCs w:val="28"/>
    </w:rPr>
  </w:style>
  <w:style w:type="paragraph" w:styleId="Heading3">
    <w:name w:val="heading 3"/>
    <w:basedOn w:val="Normal"/>
    <w:next w:val="Normal"/>
    <w:qFormat/>
    <w:rsid w:val="004025DF"/>
    <w:pPr>
      <w:keepNext/>
      <w:spacing w:before="240" w:after="60"/>
      <w:outlineLvl w:val="2"/>
    </w:pPr>
    <w:rPr>
      <w:bCs/>
      <w:szCs w:val="26"/>
      <w:u w:val="single"/>
    </w:rPr>
  </w:style>
  <w:style w:type="paragraph" w:styleId="Heading4">
    <w:name w:val="heading 4"/>
    <w:basedOn w:val="Normal"/>
    <w:next w:val="Normal"/>
    <w:qFormat/>
    <w:rsid w:val="004025DF"/>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025DF"/>
    <w:pPr>
      <w:spacing w:after="220"/>
    </w:pPr>
  </w:style>
  <w:style w:type="paragraph" w:styleId="Caption">
    <w:name w:val="caption"/>
    <w:basedOn w:val="Normal"/>
    <w:next w:val="Normal"/>
    <w:qFormat/>
    <w:rsid w:val="004025DF"/>
    <w:rPr>
      <w:b/>
      <w:bCs/>
      <w:sz w:val="18"/>
    </w:rPr>
  </w:style>
  <w:style w:type="paragraph" w:styleId="CommentText">
    <w:name w:val="annotation text"/>
    <w:basedOn w:val="Normal"/>
    <w:semiHidden/>
    <w:rsid w:val="004025DF"/>
    <w:rPr>
      <w:sz w:val="18"/>
    </w:rPr>
  </w:style>
  <w:style w:type="paragraph" w:styleId="EndnoteText">
    <w:name w:val="endnote text"/>
    <w:basedOn w:val="Normal"/>
    <w:semiHidden/>
    <w:rsid w:val="004025DF"/>
    <w:rPr>
      <w:sz w:val="18"/>
    </w:rPr>
  </w:style>
  <w:style w:type="paragraph" w:styleId="Footer">
    <w:name w:val="footer"/>
    <w:basedOn w:val="Normal"/>
    <w:semiHidden/>
    <w:rsid w:val="004025DF"/>
    <w:pPr>
      <w:tabs>
        <w:tab w:val="center" w:pos="4320"/>
        <w:tab w:val="right" w:pos="8640"/>
      </w:tabs>
    </w:pPr>
  </w:style>
  <w:style w:type="paragraph" w:styleId="FootnoteText">
    <w:name w:val="footnote text"/>
    <w:basedOn w:val="Normal"/>
    <w:semiHidden/>
    <w:rsid w:val="004025DF"/>
    <w:rPr>
      <w:sz w:val="18"/>
    </w:rPr>
  </w:style>
  <w:style w:type="paragraph" w:customStyle="1" w:styleId="Endofdocument-Annex">
    <w:name w:val="[End of document - Annex]"/>
    <w:basedOn w:val="Normal"/>
    <w:rsid w:val="00A22D86"/>
    <w:pPr>
      <w:spacing w:before="720"/>
      <w:ind w:left="5534"/>
    </w:pPr>
  </w:style>
  <w:style w:type="paragraph" w:styleId="Header">
    <w:name w:val="header"/>
    <w:basedOn w:val="Normal"/>
    <w:semiHidden/>
    <w:rsid w:val="004025DF"/>
    <w:pPr>
      <w:tabs>
        <w:tab w:val="center" w:pos="4536"/>
        <w:tab w:val="right" w:pos="9072"/>
      </w:tabs>
    </w:pPr>
  </w:style>
  <w:style w:type="paragraph" w:styleId="ListNumber">
    <w:name w:val="List Number"/>
    <w:basedOn w:val="Normal"/>
    <w:semiHidden/>
    <w:rsid w:val="004025DF"/>
    <w:pPr>
      <w:numPr>
        <w:numId w:val="4"/>
      </w:numPr>
    </w:pPr>
  </w:style>
  <w:style w:type="paragraph" w:customStyle="1" w:styleId="ONUME">
    <w:name w:val="ONUM E"/>
    <w:basedOn w:val="BodyText"/>
    <w:link w:val="ONUMEChar"/>
    <w:rsid w:val="004025DF"/>
    <w:pPr>
      <w:numPr>
        <w:numId w:val="5"/>
      </w:numPr>
    </w:pPr>
  </w:style>
  <w:style w:type="paragraph" w:customStyle="1" w:styleId="ONUMFS">
    <w:name w:val="ONUM FS"/>
    <w:basedOn w:val="BodyText"/>
    <w:rsid w:val="004025DF"/>
    <w:pPr>
      <w:numPr>
        <w:numId w:val="6"/>
      </w:numPr>
    </w:pPr>
  </w:style>
  <w:style w:type="paragraph" w:styleId="Salutation">
    <w:name w:val="Salutation"/>
    <w:basedOn w:val="Normal"/>
    <w:next w:val="Normal"/>
    <w:semiHidden/>
    <w:rsid w:val="004025DF"/>
  </w:style>
  <w:style w:type="paragraph" w:styleId="Signature">
    <w:name w:val="Signature"/>
    <w:basedOn w:val="Normal"/>
    <w:semiHidden/>
    <w:rsid w:val="004025DF"/>
    <w:pPr>
      <w:ind w:left="5250"/>
    </w:pPr>
  </w:style>
  <w:style w:type="character" w:customStyle="1" w:styleId="Heading2Char">
    <w:name w:val="Heading 2 Char"/>
    <w:basedOn w:val="DefaultParagraphFont"/>
    <w:link w:val="Heading2"/>
    <w:rsid w:val="00A22D86"/>
    <w:rPr>
      <w:rFonts w:ascii="Arial" w:eastAsia="SimSun" w:hAnsi="Arial" w:cs="Arial"/>
      <w:bCs/>
      <w:iCs/>
      <w:caps/>
      <w:sz w:val="22"/>
      <w:szCs w:val="28"/>
      <w:lang w:val="fr-FR" w:eastAsia="zh-CN"/>
    </w:rPr>
  </w:style>
  <w:style w:type="paragraph" w:styleId="ListParagraph">
    <w:name w:val="List Paragraph"/>
    <w:basedOn w:val="Normal"/>
    <w:uiPriority w:val="34"/>
    <w:qFormat/>
    <w:rsid w:val="00A22D86"/>
    <w:pPr>
      <w:ind w:left="720"/>
      <w:contextualSpacing/>
    </w:pPr>
  </w:style>
  <w:style w:type="character" w:customStyle="1" w:styleId="ONUMEChar">
    <w:name w:val="ONUM E Char"/>
    <w:basedOn w:val="DefaultParagraphFont"/>
    <w:link w:val="ONUME"/>
    <w:rsid w:val="00A22D86"/>
    <w:rPr>
      <w:rFonts w:ascii="Arial" w:eastAsia="SimSun" w:hAnsi="Arial" w:cs="Arial"/>
      <w:sz w:val="22"/>
      <w:lang w:val="fr-FR" w:eastAsia="zh-CN"/>
    </w:rPr>
  </w:style>
  <w:style w:type="character" w:styleId="Hyperlink">
    <w:name w:val="Hyperlink"/>
    <w:basedOn w:val="DefaultParagraphFont"/>
    <w:semiHidden/>
    <w:unhideWhenUsed/>
    <w:rsid w:val="00EA56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F).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f7a99264-aac8-44dd-b14f-8017e78a225a"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2DA239-42C0-46C7-905D-1232FED3EE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D12258-A02C-4C11-ADEE-D3625748A37B}">
  <ds:schemaRefs>
    <ds:schemaRef ds:uri="Microsoft.SharePoint.Taxonomy.ContentTypeSync"/>
  </ds:schemaRefs>
</ds:datastoreItem>
</file>

<file path=customXml/itemProps3.xml><?xml version="1.0" encoding="utf-8"?>
<ds:datastoreItem xmlns:ds="http://schemas.openxmlformats.org/officeDocument/2006/customXml" ds:itemID="{3B838263-19CD-45CC-A429-34885889CDC2}">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4.xml><?xml version="1.0" encoding="utf-8"?>
<ds:datastoreItem xmlns:ds="http://schemas.openxmlformats.org/officeDocument/2006/customXml" ds:itemID="{7C4AA3FD-0E6C-4E2D-9EBA-FDD2AA563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CWS_14 (F).dotm</Template>
  <TotalTime>12</TotalTime>
  <Pages>4</Pages>
  <Words>1247</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CWS/14/22 (French) </vt:lpstr>
    </vt:vector>
  </TitlesOfParts>
  <Company>WIPO</Company>
  <LinksUpToDate>false</LinksUpToDate>
  <CharactersWithSpaces>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CWS/14/22 (French) </dc:title>
  <dc:subject>Proposition de révision de la norme ST.91 de l’OMPI </dc:subject>
  <dc:creator>WIPO</dc:creator>
  <cp:keywords>WIPO CWS quatorzième session, Proposition de révision, norme ST.91 de l’OMPI </cp:keywords>
  <cp:lastModifiedBy>EMMETT Claudia</cp:lastModifiedBy>
  <cp:revision>5</cp:revision>
  <cp:lastPrinted>2011-05-19T12:37:00Z</cp:lastPrinted>
  <dcterms:created xsi:type="dcterms:W3CDTF">2026-09-18T12:22:00Z</dcterms:created>
  <dcterms:modified xsi:type="dcterms:W3CDTF">2026-10-12T11:54:00Z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4be00795-0332-471b-bc48-392ea471087a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2025-06-12T13:23:13Z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717d40da-50e5-4df9-b411-3e5ab47e1f7b</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ies>
</file>