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A45F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0975590E" wp14:editId="75E61A7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7914F46" wp14:editId="3C9AEB6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D2761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B84D043" w14:textId="0F3F3219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D06297">
        <w:rPr>
          <w:rFonts w:ascii="Arial Black" w:hAnsi="Arial Black"/>
          <w:caps/>
          <w:sz w:val="15"/>
          <w:szCs w:val="15"/>
        </w:rPr>
        <w:t>31</w:t>
      </w:r>
      <w:r w:rsidR="00D31BB8">
        <w:rPr>
          <w:rFonts w:ascii="Arial Black" w:hAnsi="Arial Black"/>
          <w:caps/>
          <w:sz w:val="15"/>
          <w:szCs w:val="15"/>
        </w:rPr>
        <w:t> Rev.</w:t>
      </w:r>
      <w:r w:rsidR="000F307F">
        <w:rPr>
          <w:rFonts w:ascii="Arial Black" w:hAnsi="Arial Black"/>
          <w:caps/>
          <w:sz w:val="15"/>
          <w:szCs w:val="15"/>
        </w:rPr>
        <w:t>2</w:t>
      </w:r>
    </w:p>
    <w:p w14:paraId="31368F01" w14:textId="7119EA67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143B26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D06297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1518EC29" w14:textId="50A0D3F1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143B26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0F307F">
        <w:rPr>
          <w:rFonts w:ascii="Arial Black" w:hAnsi="Arial Black"/>
          <w:caps/>
          <w:sz w:val="15"/>
          <w:szCs w:val="15"/>
        </w:rPr>
        <w:t>3</w:t>
      </w:r>
      <w:r w:rsidR="00685D3D">
        <w:rPr>
          <w:rFonts w:ascii="Arial Black" w:hAnsi="Arial Black"/>
          <w:caps/>
          <w:sz w:val="15"/>
          <w:szCs w:val="15"/>
        </w:rPr>
        <w:t>1</w:t>
      </w:r>
      <w:r w:rsidR="00D06297">
        <w:rPr>
          <w:rFonts w:ascii="Arial Black" w:hAnsi="Arial Black"/>
          <w:caps/>
          <w:sz w:val="15"/>
          <w:szCs w:val="15"/>
        </w:rPr>
        <w:t> </w:t>
      </w:r>
      <w:r w:rsidR="00D31BB8">
        <w:rPr>
          <w:rFonts w:ascii="Arial Black" w:hAnsi="Arial Black"/>
          <w:caps/>
          <w:sz w:val="15"/>
          <w:szCs w:val="15"/>
        </w:rPr>
        <w:t>octobr</w:t>
      </w:r>
      <w:r w:rsidR="00143B26">
        <w:rPr>
          <w:rFonts w:ascii="Arial Black" w:hAnsi="Arial Black"/>
          <w:caps/>
          <w:sz w:val="15"/>
          <w:szCs w:val="15"/>
        </w:rPr>
        <w:t>e 20</w:t>
      </w:r>
      <w:r w:rsidR="00D06297">
        <w:rPr>
          <w:rFonts w:ascii="Arial Black" w:hAnsi="Arial Black"/>
          <w:caps/>
          <w:sz w:val="15"/>
          <w:szCs w:val="15"/>
        </w:rPr>
        <w:t>25</w:t>
      </w:r>
    </w:p>
    <w:bookmarkEnd w:id="2"/>
    <w:p w14:paraId="7828AFB7" w14:textId="3F01ADF5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143B26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4BEA02FB" w14:textId="13E6408D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143B26">
        <w:rPr>
          <w:b/>
          <w:sz w:val="24"/>
        </w:rPr>
        <w:t>ième session</w:t>
      </w:r>
    </w:p>
    <w:p w14:paraId="6B8128A1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55009356" w14:textId="68175722" w:rsidR="008B2CC1" w:rsidRPr="00290DCD" w:rsidRDefault="00D06297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Programme de travail</w:t>
      </w:r>
      <w:r w:rsidR="00143B26">
        <w:rPr>
          <w:caps/>
          <w:sz w:val="24"/>
        </w:rPr>
        <w:t xml:space="preserve"> du CWS</w:t>
      </w:r>
    </w:p>
    <w:p w14:paraId="122124FC" w14:textId="4A18DF2C" w:rsidR="00525B63" w:rsidRPr="00290DCD" w:rsidRDefault="00D06297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établi par le Secrétariat</w:t>
      </w:r>
    </w:p>
    <w:bookmarkEnd w:id="4"/>
    <w:p w14:paraId="19081331" w14:textId="77777777" w:rsidR="00D06297" w:rsidRPr="00190321" w:rsidRDefault="00D06297" w:rsidP="00D06297">
      <w:pPr>
        <w:pStyle w:val="Heading2"/>
      </w:pPr>
      <w:r>
        <w:t>Résumé</w:t>
      </w:r>
    </w:p>
    <w:p w14:paraId="65D4F14D" w14:textId="4BCA5532" w:rsidR="00D06297" w:rsidRPr="00CC684E" w:rsidRDefault="00D06297" w:rsidP="00CC684E">
      <w:pPr>
        <w:pStyle w:val="ONUMFS"/>
      </w:pPr>
      <w:r w:rsidRPr="00CC684E">
        <w:t>Le présent document résume le programme de travail et la liste des tâches actualisés du Comité des normes de l</w:t>
      </w:r>
      <w:r w:rsidR="00143B26">
        <w:t>’</w:t>
      </w:r>
      <w:r w:rsidRPr="00CC684E">
        <w:t xml:space="preserve">OMPI (CWS), qui seront examinés à la présente session, </w:t>
      </w:r>
      <w:r w:rsidR="00143B26">
        <w:t>y compris</w:t>
      </w:r>
      <w:r w:rsidRPr="00CC684E">
        <w:t xml:space="preserve"> l</w:t>
      </w:r>
      <w:r w:rsidR="00143B26">
        <w:t>’</w:t>
      </w:r>
      <w:r w:rsidRPr="00CC684E">
        <w:t>analyse de la complexité et du niveau d</w:t>
      </w:r>
      <w:r w:rsidR="00143B26">
        <w:t>’</w:t>
      </w:r>
      <w:r w:rsidRPr="00CC684E">
        <w:t>activité des tâches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 xml:space="preserve"> établie par le Secrétariat, assortie d</w:t>
      </w:r>
      <w:r w:rsidR="00143B26">
        <w:t>’</w:t>
      </w:r>
      <w:r w:rsidRPr="00CC684E">
        <w:t>une proposition de hiérarchisation de ces dernières.</w:t>
      </w:r>
    </w:p>
    <w:p w14:paraId="353A0126" w14:textId="77777777" w:rsidR="00D06297" w:rsidRPr="00190321" w:rsidRDefault="00D06297" w:rsidP="00D06297">
      <w:pPr>
        <w:pStyle w:val="Heading2"/>
      </w:pPr>
      <w:r>
        <w:t>Introduction</w:t>
      </w:r>
    </w:p>
    <w:p w14:paraId="004AE64B" w14:textId="79B988C8" w:rsidR="00143B26" w:rsidRDefault="00D06297" w:rsidP="00CC684E">
      <w:pPr>
        <w:pStyle w:val="ONUMFS"/>
      </w:pPr>
      <w:r w:rsidRPr="00CC684E">
        <w:t>À sa douz</w:t>
      </w:r>
      <w:r w:rsidR="00143B26">
        <w:t>ième session</w:t>
      </w:r>
      <w:r w:rsidRPr="00CC684E">
        <w:t xml:space="preserve">, tenue </w:t>
      </w:r>
      <w:r w:rsidR="00143B26" w:rsidRPr="00CC684E">
        <w:t>en</w:t>
      </w:r>
      <w:r w:rsidR="00143B26">
        <w:t> </w:t>
      </w:r>
      <w:r w:rsidR="00143B26" w:rsidRPr="00CC684E">
        <w:t>2024</w:t>
      </w:r>
      <w:r w:rsidRPr="00CC684E">
        <w:t>,</w:t>
      </w:r>
      <w:r w:rsidR="00143B26" w:rsidRPr="00CC684E">
        <w:t xml:space="preserve"> le</w:t>
      </w:r>
      <w:r w:rsidR="00143B26">
        <w:t> </w:t>
      </w:r>
      <w:r w:rsidR="00143B26" w:rsidRPr="00CC684E">
        <w:t>CWS</w:t>
      </w:r>
      <w:r w:rsidRPr="00CC684E">
        <w:t xml:space="preserve"> a examiné son programme de travail et sa liste de tâches, qui ont été joints en annexe au </w:t>
      </w:r>
      <w:r w:rsidR="00143B26" w:rsidRPr="00CC684E">
        <w:t>document</w:t>
      </w:r>
      <w:r w:rsidR="00143B26">
        <w:t xml:space="preserve"> </w:t>
      </w:r>
      <w:r w:rsidR="00143B26" w:rsidRPr="00CC684E">
        <w:t>CW</w:t>
      </w:r>
      <w:r w:rsidRPr="00CC684E">
        <w:t>S/12/2</w:t>
      </w:r>
      <w:r w:rsidR="002B1502">
        <w:t> </w:t>
      </w:r>
      <w:r w:rsidRPr="00CC684E">
        <w:t>Co</w:t>
      </w:r>
      <w:r w:rsidR="00571C0A" w:rsidRPr="00CC684E">
        <w:t>rr</w:t>
      </w:r>
      <w:r w:rsidR="00571C0A">
        <w:t xml:space="preserve">.  </w:t>
      </w:r>
      <w:r w:rsidR="00571C0A" w:rsidRPr="00CC684E">
        <w:t>La</w:t>
      </w:r>
      <w:r w:rsidRPr="00CC684E">
        <w:t xml:space="preserve"> liste comprenait 19 tâches en cours d</w:t>
      </w:r>
      <w:r w:rsidR="00143B26">
        <w:t>’</w:t>
      </w:r>
      <w:r w:rsidRPr="00CC684E">
        <w:t>exécution et deux</w:t>
      </w:r>
      <w:r w:rsidR="002B1502">
        <w:t> </w:t>
      </w:r>
      <w:r w:rsidRPr="00CC684E">
        <w:t>en suspens, 14 ayant été confiées à une équipe d</w:t>
      </w:r>
      <w:r w:rsidR="00143B26">
        <w:t>’</w:t>
      </w:r>
      <w:r w:rsidRPr="00CC684E">
        <w:t>experts donnée et cinq</w:t>
      </w:r>
      <w:r w:rsidR="002B1502">
        <w:t> </w:t>
      </w:r>
      <w:r w:rsidRPr="00CC684E">
        <w:t>ne l</w:t>
      </w:r>
      <w:r w:rsidR="00143B26">
        <w:t>’</w:t>
      </w:r>
      <w:r w:rsidRPr="00CC684E">
        <w:t>ayant pas encore é</w:t>
      </w:r>
      <w:r w:rsidR="00571C0A" w:rsidRPr="00CC684E">
        <w:t>té</w:t>
      </w:r>
      <w:r w:rsidR="00571C0A">
        <w:t xml:space="preserve">.  </w:t>
      </w:r>
      <w:r w:rsidR="00571C0A" w:rsidRPr="00CC684E">
        <w:t>Le</w:t>
      </w:r>
      <w:r w:rsidRPr="00CC684E">
        <w:t xml:space="preserve"> comité a également examiné des propositions visant à ajouter trois nouvelles tâches, ainsi que les activités relatives à toutes les tâches en cours d</w:t>
      </w:r>
      <w:r w:rsidR="00143B26">
        <w:t>’</w:t>
      </w:r>
      <w:r w:rsidRPr="00CC684E">
        <w:t>exécuti</w:t>
      </w:r>
      <w:r w:rsidR="00571C0A" w:rsidRPr="00CC684E">
        <w:t>on</w:t>
      </w:r>
      <w:r w:rsidR="00571C0A">
        <w:t xml:space="preserve">.  </w:t>
      </w:r>
      <w:r w:rsidR="00571C0A" w:rsidRPr="00CC684E">
        <w:t>Le</w:t>
      </w:r>
      <w:r w:rsidRPr="00CC684E">
        <w:t xml:space="preserve"> comité a approuvé la liste révisée des tâches, telle qu</w:t>
      </w:r>
      <w:r w:rsidR="00143B26">
        <w:t>’</w:t>
      </w:r>
      <w:r w:rsidRPr="00CC684E">
        <w:t>elle figure à l</w:t>
      </w:r>
      <w:r w:rsidR="00143B26">
        <w:t>’</w:t>
      </w:r>
      <w:r w:rsidRPr="00CC684E">
        <w:t xml:space="preserve">annexe II du </w:t>
      </w:r>
      <w:r w:rsidR="00143B26" w:rsidRPr="00CC684E">
        <w:t>document</w:t>
      </w:r>
      <w:r w:rsidR="00143B26">
        <w:t xml:space="preserve"> </w:t>
      </w:r>
      <w:r w:rsidR="00143B26" w:rsidRPr="00CC684E">
        <w:t>CW</w:t>
      </w:r>
      <w:r w:rsidRPr="00CC684E">
        <w:t xml:space="preserve">S/12/29, </w:t>
      </w:r>
      <w:r w:rsidR="00143B26">
        <w:t>y compris</w:t>
      </w:r>
      <w:r w:rsidRPr="00CC684E">
        <w:t xml:space="preserve"> une nouvelle tâche n° 67 et quatre</w:t>
      </w:r>
      <w:r w:rsidR="002B1502">
        <w:t> </w:t>
      </w:r>
      <w:r w:rsidRPr="00CC684E">
        <w:t>tâches révisé</w:t>
      </w:r>
      <w:r w:rsidR="00571C0A" w:rsidRPr="00CC684E">
        <w:t>es</w:t>
      </w:r>
      <w:r w:rsidR="00571C0A">
        <w:t xml:space="preserve">.  </w:t>
      </w:r>
      <w:r w:rsidR="00571C0A" w:rsidRPr="00CC684E">
        <w:t>Au</w:t>
      </w:r>
      <w:r w:rsidRPr="00CC684E">
        <w:t xml:space="preserve"> total, 22 tâches, dont deux</w:t>
      </w:r>
      <w:r w:rsidR="002B1502">
        <w:t> </w:t>
      </w:r>
      <w:r w:rsidRPr="00CC684E">
        <w:t>sont en suspens, restent inscrites au programme de travail.</w:t>
      </w:r>
    </w:p>
    <w:p w14:paraId="0A425C5B" w14:textId="34F704EA" w:rsidR="00D06297" w:rsidRPr="00CC684E" w:rsidRDefault="00D06297" w:rsidP="00CC684E">
      <w:pPr>
        <w:pStyle w:val="ONUMFS"/>
      </w:pPr>
      <w:r w:rsidRPr="00CC684E">
        <w:t>À la même session,</w:t>
      </w:r>
      <w:r w:rsidR="00143B26" w:rsidRPr="00CC684E">
        <w:t xml:space="preserve"> le</w:t>
      </w:r>
      <w:r w:rsidR="00143B26">
        <w:t> </w:t>
      </w:r>
      <w:r w:rsidR="00143B26" w:rsidRPr="00CC684E">
        <w:t>CWS</w:t>
      </w:r>
      <w:r w:rsidRPr="00CC684E">
        <w:t xml:space="preserve"> a pris note de l</w:t>
      </w:r>
      <w:r w:rsidR="00143B26">
        <w:t>’</w:t>
      </w:r>
      <w:r w:rsidRPr="00CC684E">
        <w:t>analyse des ressources nécessaires pour chacune des tâches, compte tenu de leur complexité et du niveau d</w:t>
      </w:r>
      <w:r w:rsidR="00143B26">
        <w:t>’</w:t>
      </w:r>
      <w:r w:rsidRPr="00CC684E">
        <w:t>activité estimé, établie par le Secrétari</w:t>
      </w:r>
      <w:r w:rsidR="00571C0A" w:rsidRPr="00CC684E">
        <w:t>at</w:t>
      </w:r>
      <w:r w:rsidR="00571C0A">
        <w:t xml:space="preserve">.  </w:t>
      </w:r>
      <w:r w:rsidR="00571C0A" w:rsidRPr="00CC684E">
        <w:t>Po</w:t>
      </w:r>
      <w:r w:rsidRPr="00CC684E">
        <w:t>ur chaque tâche, le niveau d</w:t>
      </w:r>
      <w:r w:rsidR="00143B26">
        <w:t>’</w:t>
      </w:r>
      <w:r w:rsidRPr="00CC684E">
        <w:t xml:space="preserve">activité était réparti entre “très active”, “active”, “occasionnelle” et “inactive”, et la complexité entre “complexe”, “moyenne” et “simple”.  Le Secrétariat a publié les résultats de son analyse dans le </w:t>
      </w:r>
      <w:r w:rsidR="00143B26" w:rsidRPr="00CC684E">
        <w:t>document</w:t>
      </w:r>
      <w:r w:rsidR="00143B26">
        <w:t xml:space="preserve"> </w:t>
      </w:r>
      <w:r w:rsidR="00143B26" w:rsidRPr="00CC684E">
        <w:t>CW</w:t>
      </w:r>
      <w:r w:rsidRPr="00CC684E">
        <w:t>S/12/4A</w:t>
      </w:r>
      <w:r w:rsidR="00143B26">
        <w:t>-</w:t>
      </w:r>
      <w:r w:rsidRPr="00CC684E">
        <w:t>IB, disponible sur la page de la réuni</w:t>
      </w:r>
      <w:r w:rsidR="00571C0A" w:rsidRPr="00CC684E">
        <w:t>on</w:t>
      </w:r>
      <w:r w:rsidR="00571C0A">
        <w:t xml:space="preserve">.  </w:t>
      </w:r>
      <w:r w:rsidR="00571C0A" w:rsidRPr="00CC684E">
        <w:t>Le</w:t>
      </w:r>
      <w:r w:rsidRPr="00CC684E">
        <w:t> CWS est convenu que le Secrétariat établirait une analyse de la complexité et du niveau d</w:t>
      </w:r>
      <w:r w:rsidR="00143B26">
        <w:t>’</w:t>
      </w:r>
      <w:r w:rsidRPr="00CC684E">
        <w:t>activité estimé de chacune des tâches en consultation avec les responsables des équipes d</w:t>
      </w:r>
      <w:r w:rsidR="00143B26">
        <w:t>’</w:t>
      </w:r>
      <w:r w:rsidRPr="00CC684E">
        <w:t xml:space="preserve">experts et inclurait les informations figurant dans la liste des </w:t>
      </w:r>
      <w:r w:rsidRPr="00CC684E">
        <w:lastRenderedPageBreak/>
        <w:t>tâches, pour examen à la treiz</w:t>
      </w:r>
      <w:r w:rsidR="00143B26">
        <w:t>ième session</w:t>
      </w:r>
      <w:r w:rsidRPr="00CC684E">
        <w:t xml:space="preserve"> du comité (voir le paragraphe 22 du </w:t>
      </w:r>
      <w:r w:rsidR="00143B26" w:rsidRPr="00CC684E">
        <w:t>document</w:t>
      </w:r>
      <w:r w:rsidR="00143B26">
        <w:t xml:space="preserve"> </w:t>
      </w:r>
      <w:r w:rsidR="00143B26" w:rsidRPr="00CC684E">
        <w:t>CW</w:t>
      </w:r>
      <w:r w:rsidRPr="00CC684E">
        <w:t>S/12/29).</w:t>
      </w:r>
    </w:p>
    <w:p w14:paraId="2EDDBBDE" w14:textId="185AF1DE" w:rsidR="00D06297" w:rsidRPr="00CC684E" w:rsidRDefault="00D06297" w:rsidP="00CC684E">
      <w:pPr>
        <w:pStyle w:val="ONUMFS"/>
      </w:pPr>
      <w:r w:rsidRPr="00CC684E">
        <w:t>Concernant la hiérarchisation des tâches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>, à sa douz</w:t>
      </w:r>
      <w:r w:rsidR="00143B26">
        <w:t>ième session</w:t>
      </w:r>
      <w:r w:rsidRPr="00CC684E">
        <w:t>, le comité a pris note des résultats de l</w:t>
      </w:r>
      <w:r w:rsidR="00143B26">
        <w:t>’</w:t>
      </w:r>
      <w:r w:rsidRPr="00CC684E">
        <w:t>enquête informelle sur la hiérarchisation des tâches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 xml:space="preserve"> et l</w:t>
      </w:r>
      <w:r w:rsidR="00143B26">
        <w:t>’</w:t>
      </w:r>
      <w:r w:rsidRPr="00CC684E">
        <w:t xml:space="preserve">analyse des observations formulées par les 21 offices participants, qui ont été présentés dans le </w:t>
      </w:r>
      <w:r w:rsidR="00143B26" w:rsidRPr="00CC684E">
        <w:t>document</w:t>
      </w:r>
      <w:r w:rsidR="00143B26">
        <w:t xml:space="preserve"> </w:t>
      </w:r>
      <w:r w:rsidR="00143B26" w:rsidRPr="00CC684E">
        <w:t>CW</w:t>
      </w:r>
      <w:r w:rsidRPr="00CC684E">
        <w:t xml:space="preserve">S/12/3. </w:t>
      </w:r>
      <w:r w:rsidR="00143B26" w:rsidRPr="00CC684E">
        <w:t xml:space="preserve"> Le</w:t>
      </w:r>
      <w:r w:rsidR="00143B26">
        <w:t> </w:t>
      </w:r>
      <w:r w:rsidR="00143B26" w:rsidRPr="00CC684E">
        <w:t>CWS</w:t>
      </w:r>
      <w:r w:rsidRPr="00CC684E">
        <w:t xml:space="preserve"> est convenu d</w:t>
      </w:r>
      <w:r w:rsidR="00143B26">
        <w:t>’</w:t>
      </w:r>
      <w:r w:rsidRPr="00CC684E">
        <w:t>examiner la priorité de chaque tâche à la lumière des résultats de l</w:t>
      </w:r>
      <w:r w:rsidR="00143B26">
        <w:t>’</w:t>
      </w:r>
      <w:r w:rsidRPr="00CC684E">
        <w:t>enquête informelle lors de l</w:t>
      </w:r>
      <w:r w:rsidR="00143B26">
        <w:t>’</w:t>
      </w:r>
      <w:r w:rsidRPr="00CC684E">
        <w:t>établissement de son programme de trava</w:t>
      </w:r>
      <w:r w:rsidR="00571C0A" w:rsidRPr="00CC684E">
        <w:t>il</w:t>
      </w:r>
      <w:r w:rsidR="00571C0A">
        <w:t xml:space="preserve">.  </w:t>
      </w:r>
      <w:r w:rsidR="00571C0A" w:rsidRPr="00CC684E">
        <w:t>Il</w:t>
      </w:r>
      <w:r w:rsidRPr="00CC684E">
        <w:t xml:space="preserve"> est également convenu que le Secrétariat proc</w:t>
      </w:r>
      <w:r w:rsidR="00143B26">
        <w:t>é</w:t>
      </w:r>
      <w:r w:rsidRPr="00CC684E">
        <w:t>derait à un examen annuel des activités de toutes les tâches du comité, en consultation avec les équipes d</w:t>
      </w:r>
      <w:r w:rsidR="00143B26">
        <w:t>’</w:t>
      </w:r>
      <w:r w:rsidRPr="00CC684E">
        <w:t xml:space="preserve">experts du CWS, puis présenterait une proposition concernant la ou les tâches qui pourraient être mises en suspens ou considérées comme prioritaires (voir les paragraphes 23 à 27 du </w:t>
      </w:r>
      <w:r w:rsidR="00143B26" w:rsidRPr="00CC684E">
        <w:t>document</w:t>
      </w:r>
      <w:r w:rsidR="00143B26">
        <w:t xml:space="preserve"> </w:t>
      </w:r>
      <w:r w:rsidR="00143B26" w:rsidRPr="00CC684E">
        <w:t>CW</w:t>
      </w:r>
      <w:r w:rsidRPr="00CC684E">
        <w:t>S/12/29).</w:t>
      </w:r>
    </w:p>
    <w:p w14:paraId="0B7CFEF4" w14:textId="67AE6F85" w:rsidR="00D06297" w:rsidRPr="00CC684E" w:rsidRDefault="00D06297" w:rsidP="00CC684E">
      <w:pPr>
        <w:pStyle w:val="Heading3"/>
      </w:pPr>
      <w:r w:rsidRPr="00CC684E">
        <w:t>Membres des équipes d</w:t>
      </w:r>
      <w:r w:rsidR="00143B26">
        <w:t>’</w:t>
      </w:r>
      <w:r w:rsidRPr="00CC684E">
        <w:t>experts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</w:p>
    <w:p w14:paraId="554D9F2C" w14:textId="46BFD5E2" w:rsidR="00D06297" w:rsidRDefault="00D06297" w:rsidP="00CC684E">
      <w:pPr>
        <w:pStyle w:val="ONUMFS"/>
      </w:pPr>
      <w:r>
        <w:t>À sa douz</w:t>
      </w:r>
      <w:r w:rsidR="00143B26">
        <w:t>ième session</w:t>
      </w:r>
      <w:r>
        <w:t>,</w:t>
      </w:r>
      <w:r w:rsidR="00143B26">
        <w:t xml:space="preserve"> le CWS</w:t>
      </w:r>
      <w:r>
        <w:t xml:space="preserve"> a indiqué que le Secrétariat avait procédé à un audit de la liste des membres des équipes d</w:t>
      </w:r>
      <w:r w:rsidR="00143B26">
        <w:t>’</w:t>
      </w:r>
      <w:r>
        <w:t xml:space="preserve">experts </w:t>
      </w:r>
      <w:r w:rsidR="00143B26">
        <w:t>en 2024</w:t>
      </w:r>
      <w:r>
        <w:t xml:space="preserve"> et supprimé de la liste les données qui n</w:t>
      </w:r>
      <w:r w:rsidR="00143B26">
        <w:t>’</w:t>
      </w:r>
      <w:r>
        <w:t>étaient plus valid</w:t>
      </w:r>
      <w:r w:rsidR="00571C0A">
        <w:t>es.  Af</w:t>
      </w:r>
      <w:r>
        <w:t>in d</w:t>
      </w:r>
      <w:r w:rsidR="00143B26">
        <w:t>’</w:t>
      </w:r>
      <w:r>
        <w:t>améliorer la communication avec les membres et les observateurs des équipes d</w:t>
      </w:r>
      <w:r w:rsidR="00143B26">
        <w:t>’</w:t>
      </w:r>
      <w:r>
        <w:t>experts, le Secrétariat a procédé au nettoyage annuel de la liste des membres, en consultation avec tous les membres et observateu</w:t>
      </w:r>
      <w:r w:rsidR="00571C0A">
        <w:t>rs.  La</w:t>
      </w:r>
      <w:r>
        <w:t xml:space="preserve"> nouvelle composition des équipes d</w:t>
      </w:r>
      <w:r w:rsidR="00143B26">
        <w:t>’</w:t>
      </w:r>
      <w:r>
        <w:t>experts</w:t>
      </w:r>
      <w:r w:rsidR="00143B26">
        <w:t xml:space="preserve"> du CWS</w:t>
      </w:r>
      <w:r>
        <w:t xml:space="preserve"> est disponible sur le site</w:t>
      </w:r>
      <w:r w:rsidR="002B1502">
        <w:t> </w:t>
      </w:r>
      <w:r>
        <w:t>Web de l</w:t>
      </w:r>
      <w:r w:rsidR="00143B26">
        <w:t>’</w:t>
      </w:r>
      <w:r>
        <w:t>OMPI à l</w:t>
      </w:r>
      <w:r w:rsidR="00143B26">
        <w:t>’</w:t>
      </w:r>
      <w:r>
        <w:t xml:space="preserve">adresse </w:t>
      </w:r>
      <w:hyperlink r:id="rId9">
        <w:r w:rsidRPr="00BF5CD0">
          <w:rPr>
            <w:rStyle w:val="Hyperlink"/>
          </w:rPr>
          <w:t>https://www.wipo.int/fr/web/cws/taskforce/members</w:t>
        </w:r>
      </w:hyperlink>
      <w:r>
        <w:t>.  Treize équipes d</w:t>
      </w:r>
      <w:r w:rsidR="00143B26">
        <w:t>’</w:t>
      </w:r>
      <w:r>
        <w:t>experts</w:t>
      </w:r>
      <w:r w:rsidR="00143B26">
        <w:t xml:space="preserve"> du CWS</w:t>
      </w:r>
      <w:r>
        <w:t xml:space="preserve"> sont actuellement en activi</w:t>
      </w:r>
      <w:r w:rsidR="00571C0A">
        <w:t>té.  De</w:t>
      </w:r>
      <w:r>
        <w:t>s experts de 69 membres</w:t>
      </w:r>
      <w:r w:rsidR="00143B26">
        <w:t xml:space="preserve"> du CWS</w:t>
      </w:r>
      <w:r>
        <w:t xml:space="preserve"> et de trois</w:t>
      </w:r>
      <w:r w:rsidR="002B1502">
        <w:t> </w:t>
      </w:r>
      <w:r>
        <w:t>observateurs auprès du comité participent aux équipes d</w:t>
      </w:r>
      <w:r w:rsidR="00143B26">
        <w:t>’</w:t>
      </w:r>
      <w:r>
        <w:t>exper</w:t>
      </w:r>
      <w:r w:rsidR="00571C0A">
        <w:t>ts.  Il</w:t>
      </w:r>
      <w:r>
        <w:t xml:space="preserve"> convient de noter que huit</w:t>
      </w:r>
      <w:r w:rsidR="002B1502">
        <w:t> </w:t>
      </w:r>
      <w:r>
        <w:t>nouveaux offices de propriété intellectuelle des pays suivants ont rejoint les équipes d</w:t>
      </w:r>
      <w:r w:rsidR="00143B26">
        <w:t>’</w:t>
      </w:r>
      <w:r>
        <w:t>experts</w:t>
      </w:r>
      <w:r w:rsidR="00143B26">
        <w:t xml:space="preserve"> du CWS</w:t>
      </w:r>
      <w:r>
        <w:t xml:space="preserve"> depuis la dernière session du comité</w:t>
      </w:r>
      <w:r w:rsidR="00143B26">
        <w:t> :</w:t>
      </w:r>
      <w:r>
        <w:t xml:space="preserve"> Ghana (GH), Grèce (GR), Inde (IN), Iran (IR), Jordanie (JO), Pérou (PE), Tadjikistan (TJ) et Uruguay (UY).   Afin d</w:t>
      </w:r>
      <w:r w:rsidR="00143B26">
        <w:t>’</w:t>
      </w:r>
      <w:r>
        <w:t>encourager davantage d</w:t>
      </w:r>
      <w:r w:rsidR="00143B26">
        <w:t>’</w:t>
      </w:r>
      <w:r>
        <w:t>offices de propriété intellectuelle à prendre part aux équipes d</w:t>
      </w:r>
      <w:r w:rsidR="00143B26">
        <w:t>’</w:t>
      </w:r>
      <w:r>
        <w:t>experts</w:t>
      </w:r>
      <w:r w:rsidR="00143B26">
        <w:t xml:space="preserve"> du CWS</w:t>
      </w:r>
      <w:r>
        <w:t>, le Secrétariat propose de diffuser une circulaire invitant les offices à désigner leur expert au sein de ces équipes.</w:t>
      </w:r>
    </w:p>
    <w:p w14:paraId="1DE02E3B" w14:textId="6098A08B" w:rsidR="00D06297" w:rsidRDefault="00D06297" w:rsidP="00CC684E">
      <w:pPr>
        <w:pStyle w:val="Heading2"/>
      </w:pPr>
      <w:r>
        <w:t>Rapport sur les activités menées dans le cadre du programme de travail</w:t>
      </w:r>
      <w:r w:rsidR="00143B26">
        <w:t xml:space="preserve"> du CWS</w:t>
      </w:r>
    </w:p>
    <w:p w14:paraId="3C5A5FB5" w14:textId="7AB983B9" w:rsidR="00D06297" w:rsidRPr="00CC684E" w:rsidRDefault="00D06297" w:rsidP="00571C0A">
      <w:pPr>
        <w:pStyle w:val="ONUMFS"/>
        <w:spacing w:after="120"/>
      </w:pPr>
      <w:r w:rsidRPr="00CC684E">
        <w:t>Depuis la douz</w:t>
      </w:r>
      <w:r w:rsidR="00143B26">
        <w:t>ième session</w:t>
      </w:r>
      <w:r w:rsidRPr="00CC684E">
        <w:t xml:space="preserve"> du comité, les équipes d</w:t>
      </w:r>
      <w:r w:rsidR="00143B26">
        <w:t>’</w:t>
      </w:r>
      <w:r w:rsidRPr="00CC684E">
        <w:t>experts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 xml:space="preserve"> ont œuvré dans le cadre de leur ou leurs tâches respectives inscrites au programme de travail approuvé à ladite sessi</w:t>
      </w:r>
      <w:r w:rsidR="00571C0A" w:rsidRPr="00CC684E">
        <w:t>on</w:t>
      </w:r>
      <w:r w:rsidR="00571C0A">
        <w:t xml:space="preserve">.  </w:t>
      </w:r>
      <w:r w:rsidR="00571C0A" w:rsidRPr="00CC684E">
        <w:t>Co</w:t>
      </w:r>
      <w:r w:rsidRPr="00CC684E">
        <w:t>mme l</w:t>
      </w:r>
      <w:r w:rsidR="00143B26">
        <w:t>’</w:t>
      </w:r>
      <w:r w:rsidRPr="00CC684E">
        <w:t>avait demandé</w:t>
      </w:r>
      <w:r w:rsidR="00143B26" w:rsidRPr="00CC684E">
        <w:t xml:space="preserve"> le</w:t>
      </w:r>
      <w:r w:rsidR="00143B26">
        <w:t> </w:t>
      </w:r>
      <w:r w:rsidR="00143B26" w:rsidRPr="00CC684E">
        <w:t>CWS</w:t>
      </w:r>
      <w:r w:rsidRPr="00CC684E">
        <w:t xml:space="preserve"> à sa dix</w:t>
      </w:r>
      <w:r w:rsidR="00143B26">
        <w:t>ième session</w:t>
      </w:r>
      <w:r w:rsidRPr="00CC684E">
        <w:t>, le Secrétariat a organisé une série de réunions d</w:t>
      </w:r>
      <w:r w:rsidR="00143B26">
        <w:t>’</w:t>
      </w:r>
      <w:r w:rsidRPr="00CC684E">
        <w:t xml:space="preserve">examen trimestrielles </w:t>
      </w:r>
      <w:r w:rsidR="00143B26" w:rsidRPr="00CC684E">
        <w:t>en</w:t>
      </w:r>
      <w:r w:rsidR="00143B26">
        <w:t> </w:t>
      </w:r>
      <w:r w:rsidR="00143B26" w:rsidRPr="00CC684E">
        <w:t>2025</w:t>
      </w:r>
      <w:r w:rsidRPr="00CC684E">
        <w:t>, au cours desquelles les responsables des équipes d</w:t>
      </w:r>
      <w:r w:rsidR="00143B26">
        <w:t>’</w:t>
      </w:r>
      <w:r w:rsidRPr="00CC684E">
        <w:t>experts ont présenté les progrès réalisés dans le cadre des tâches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>.  Tous les membres et observateurs des équipes d</w:t>
      </w:r>
      <w:r w:rsidR="00143B26">
        <w:t>’</w:t>
      </w:r>
      <w:r w:rsidRPr="00CC684E">
        <w:t>experts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 xml:space="preserve"> sont invités à participer aux réunions d</w:t>
      </w:r>
      <w:r w:rsidR="00143B26">
        <w:t>’</w:t>
      </w:r>
      <w:r w:rsidRPr="00CC684E">
        <w:t>examen trimestrielles.   Au cours de ces réunions, les participants ont pris note des progrès accomplis dans le cadre des tâches actuelles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>, présentés par les responsables des équipes d</w:t>
      </w:r>
      <w:r w:rsidR="00143B26">
        <w:t>’</w:t>
      </w:r>
      <w:r w:rsidRPr="00CC684E">
        <w:t>experts à l</w:t>
      </w:r>
      <w:r w:rsidR="00143B26">
        <w:t>’</w:t>
      </w:r>
      <w:r w:rsidRPr="00CC684E">
        <w:t>aide du modèle commun suivant</w:t>
      </w:r>
      <w:r w:rsidR="00143B26">
        <w:t> :</w:t>
      </w:r>
    </w:p>
    <w:p w14:paraId="2E8E5C79" w14:textId="77777777" w:rsidR="00143B26" w:rsidRDefault="00D06297" w:rsidP="00571C0A">
      <w:pPr>
        <w:pStyle w:val="ONUMFS"/>
        <w:numPr>
          <w:ilvl w:val="1"/>
          <w:numId w:val="15"/>
        </w:numPr>
        <w:spacing w:after="120"/>
        <w:ind w:left="1134" w:hanging="567"/>
      </w:pPr>
      <w:r w:rsidRPr="00CC684E">
        <w:t>les objectifs;</w:t>
      </w:r>
    </w:p>
    <w:p w14:paraId="608089E0" w14:textId="29E55721" w:rsidR="00D06297" w:rsidRPr="00CC684E" w:rsidRDefault="00D06297" w:rsidP="00571C0A">
      <w:pPr>
        <w:pStyle w:val="ONUMFS"/>
        <w:numPr>
          <w:ilvl w:val="1"/>
          <w:numId w:val="15"/>
        </w:numPr>
        <w:spacing w:after="120"/>
        <w:ind w:left="1134" w:hanging="567"/>
      </w:pPr>
      <w:r w:rsidRPr="00CC684E">
        <w:t xml:space="preserve">les actions pertinentes </w:t>
      </w:r>
      <w:r w:rsidR="00143B26" w:rsidRPr="00CC684E">
        <w:t>pour</w:t>
      </w:r>
      <w:r w:rsidR="00143B26">
        <w:t> </w:t>
      </w:r>
      <w:r w:rsidR="00143B26" w:rsidRPr="00CC684E">
        <w:t>2025</w:t>
      </w:r>
      <w:r w:rsidRPr="00CC684E">
        <w:t xml:space="preserve"> et l</w:t>
      </w:r>
      <w:r w:rsidR="00143B26">
        <w:t>’</w:t>
      </w:r>
      <w:r w:rsidRPr="00CC684E">
        <w:t>année suivante;</w:t>
      </w:r>
    </w:p>
    <w:p w14:paraId="5AFC07CC" w14:textId="61B07A25" w:rsidR="00143B26" w:rsidRDefault="00D06297" w:rsidP="00571C0A">
      <w:pPr>
        <w:pStyle w:val="ONUMFS"/>
        <w:numPr>
          <w:ilvl w:val="1"/>
          <w:numId w:val="15"/>
        </w:numPr>
        <w:spacing w:after="120"/>
        <w:ind w:left="1134" w:hanging="567"/>
      </w:pPr>
      <w:r w:rsidRPr="00CC684E">
        <w:t xml:space="preserve">les difficultés ou dépendances potentielles; </w:t>
      </w:r>
      <w:r w:rsidR="002B1502">
        <w:t xml:space="preserve"> </w:t>
      </w:r>
      <w:r w:rsidRPr="00CC684E">
        <w:t>et</w:t>
      </w:r>
    </w:p>
    <w:p w14:paraId="43FAD094" w14:textId="33BB6891" w:rsidR="00D06297" w:rsidRPr="00CC684E" w:rsidRDefault="00D06297" w:rsidP="00CC684E">
      <w:pPr>
        <w:pStyle w:val="ONUMFS"/>
        <w:numPr>
          <w:ilvl w:val="1"/>
          <w:numId w:val="15"/>
        </w:numPr>
        <w:ind w:left="1134" w:hanging="567"/>
      </w:pPr>
      <w:r w:rsidRPr="00CC684E">
        <w:t>l</w:t>
      </w:r>
      <w:r w:rsidR="00143B26">
        <w:t>’</w:t>
      </w:r>
      <w:r w:rsidRPr="00CC684E">
        <w:t>évaluation des progrès accomplis.</w:t>
      </w:r>
    </w:p>
    <w:p w14:paraId="08209343" w14:textId="00471D57" w:rsidR="00D06297" w:rsidRPr="00CC684E" w:rsidRDefault="00D06297" w:rsidP="00CC684E">
      <w:pPr>
        <w:pStyle w:val="ONUMFS"/>
      </w:pPr>
      <w:r w:rsidRPr="00CC684E">
        <w:t>Afin d</w:t>
      </w:r>
      <w:r w:rsidR="00143B26">
        <w:t>’</w:t>
      </w:r>
      <w:r w:rsidRPr="00CC684E">
        <w:t>aider les membres des équipes d</w:t>
      </w:r>
      <w:r w:rsidR="00143B26">
        <w:t>’</w:t>
      </w:r>
      <w:r w:rsidRPr="00CC684E">
        <w:t>experts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>, le Secrétariat a diffusé le calendrier des réunions relatives aux normes de l</w:t>
      </w:r>
      <w:r w:rsidR="00143B26">
        <w:t>’</w:t>
      </w:r>
      <w:r w:rsidRPr="00CC684E">
        <w:t xml:space="preserve">OMPI </w:t>
      </w:r>
      <w:r w:rsidR="00143B26" w:rsidRPr="00CC684E">
        <w:t>pour</w:t>
      </w:r>
      <w:r w:rsidR="00143B26">
        <w:t> </w:t>
      </w:r>
      <w:r w:rsidR="00143B26" w:rsidRPr="00CC684E">
        <w:t>2025</w:t>
      </w:r>
      <w:r w:rsidRPr="00CC684E">
        <w:t xml:space="preserve">, et le dernier calendrier des réunions actualisé, </w:t>
      </w:r>
      <w:r w:rsidR="00143B26">
        <w:t>à savoir</w:t>
      </w:r>
      <w:r w:rsidRPr="00CC684E">
        <w:t xml:space="preserve"> celui figurant dans la circulaire C.CWS 190 Rev., est publié sur la </w:t>
      </w:r>
      <w:r w:rsidR="00143B26" w:rsidRPr="00CC684E">
        <w:t>page</w:t>
      </w:r>
      <w:r w:rsidR="00143B26">
        <w:t> </w:t>
      </w:r>
      <w:r w:rsidR="00143B26" w:rsidRPr="00CC684E">
        <w:t>W</w:t>
      </w:r>
      <w:r w:rsidRPr="00CC684E">
        <w:t>eb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 xml:space="preserve"> à l</w:t>
      </w:r>
      <w:r w:rsidR="00143B26">
        <w:t>’</w:t>
      </w:r>
      <w:r w:rsidRPr="00CC684E">
        <w:t>adresse suivante</w:t>
      </w:r>
      <w:r w:rsidR="00143B26">
        <w:t> :</w:t>
      </w:r>
      <w:r w:rsidRPr="00CC684E">
        <w:t xml:space="preserve"> </w:t>
      </w:r>
      <w:hyperlink r:id="rId10" w:anchor="circ2025" w:history="1">
        <w:r w:rsidR="00571C0A" w:rsidRPr="00571C0A">
          <w:rPr>
            <w:rStyle w:val="Hyperlink"/>
          </w:rPr>
          <w:t>https://www.wipo.int/fr/web/cws/circulars/index#circ2025</w:t>
        </w:r>
      </w:hyperlink>
      <w:r w:rsidRPr="00CC684E">
        <w:t>.  Trois</w:t>
      </w:r>
      <w:r w:rsidR="002B1502">
        <w:t> </w:t>
      </w:r>
      <w:r w:rsidRPr="00CC684E">
        <w:t xml:space="preserve">ateliers et 41 réunions ont été organisés ou programmés </w:t>
      </w:r>
      <w:r w:rsidR="00143B26" w:rsidRPr="00CC684E">
        <w:t>en</w:t>
      </w:r>
      <w:r w:rsidR="00143B26">
        <w:t> </w:t>
      </w:r>
      <w:r w:rsidR="00143B26" w:rsidRPr="00CC684E">
        <w:t>2025</w:t>
      </w:r>
      <w:r w:rsidRPr="00CC684E">
        <w:t>.  En outre, le Secrétariat a organisé un certain nombre de réunions informelles au sein des offices intéressés sur des thèmes précis afin de trouver des solutions ou de préparer des propositions à soumettre aux équipes d</w:t>
      </w:r>
      <w:r w:rsidR="00143B26">
        <w:t>’</w:t>
      </w:r>
      <w:r w:rsidRPr="00CC684E">
        <w:t>experts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 xml:space="preserve"> pour examen.</w:t>
      </w:r>
    </w:p>
    <w:p w14:paraId="64BE2E7B" w14:textId="08C7DCF2" w:rsidR="00D06297" w:rsidRPr="00CC684E" w:rsidRDefault="00D06297" w:rsidP="00CC684E">
      <w:pPr>
        <w:pStyle w:val="ONUMFS"/>
      </w:pPr>
      <w:r w:rsidRPr="00CC684E">
        <w:t>À la présente session, les 13 équipes d</w:t>
      </w:r>
      <w:r w:rsidR="00143B26">
        <w:t>’</w:t>
      </w:r>
      <w:r w:rsidRPr="00CC684E">
        <w:t>experts en activité présenteront leur rapport sur les activités et les progrès accomplis depuis la douz</w:t>
      </w:r>
      <w:r w:rsidR="00143B26">
        <w:t>ième session</w:t>
      </w:r>
      <w:r w:rsidR="00143B26" w:rsidRPr="00CC684E">
        <w:t xml:space="preserve"> du</w:t>
      </w:r>
      <w:r w:rsidR="00143B26">
        <w:t> </w:t>
      </w:r>
      <w:r w:rsidR="00143B26" w:rsidRPr="00CC684E">
        <w:t>CWS</w:t>
      </w:r>
      <w:r w:rsidRPr="00CC684E">
        <w:t xml:space="preserve"> concernant la ou les tâches qui leur ont été confié</w:t>
      </w:r>
      <w:r w:rsidR="00571C0A" w:rsidRPr="00CC684E">
        <w:t>es</w:t>
      </w:r>
      <w:r w:rsidR="00571C0A">
        <w:t xml:space="preserve">.  </w:t>
      </w:r>
      <w:r w:rsidR="00571C0A" w:rsidRPr="00CC684E">
        <w:t>Le</w:t>
      </w:r>
      <w:r w:rsidRPr="00CC684E">
        <w:t>s progrès accomplis dans le cadre des tâches auxquelles aucune équipe d</w:t>
      </w:r>
      <w:r w:rsidR="00143B26">
        <w:t>’</w:t>
      </w:r>
      <w:r w:rsidRPr="00CC684E">
        <w:t>experts n</w:t>
      </w:r>
      <w:r w:rsidR="00143B26">
        <w:t>’</w:t>
      </w:r>
      <w:r w:rsidRPr="00CC684E">
        <w:t>est affectée sont présentés dans l</w:t>
      </w:r>
      <w:r w:rsidR="00143B26">
        <w:t>’</w:t>
      </w:r>
      <w:r w:rsidRPr="00CC684E">
        <w:t>annexe du présent document.</w:t>
      </w:r>
    </w:p>
    <w:p w14:paraId="6F0A06E9" w14:textId="77777777" w:rsidR="00D06297" w:rsidRDefault="00D06297" w:rsidP="00CC684E">
      <w:pPr>
        <w:pStyle w:val="Heading3"/>
      </w:pPr>
      <w:r>
        <w:t>Liste des tâches actuelles</w:t>
      </w:r>
    </w:p>
    <w:p w14:paraId="26F98D89" w14:textId="3DB47011" w:rsidR="00143B26" w:rsidRDefault="00D06297" w:rsidP="00571C0A">
      <w:pPr>
        <w:pStyle w:val="ONUMFS"/>
        <w:spacing w:after="120"/>
      </w:pPr>
      <w:r>
        <w:t>Le Secrétariat a établi une nouvelle liste de tâches révisée pour examen par</w:t>
      </w:r>
      <w:r w:rsidR="00143B26">
        <w:t xml:space="preserve"> le CWS</w:t>
      </w:r>
      <w:r>
        <w:t xml:space="preserve">, qui figure à </w:t>
      </w:r>
      <w:r w:rsidRPr="009338EC">
        <w:t>l</w:t>
      </w:r>
      <w:r w:rsidR="00143B26">
        <w:t>’</w:t>
      </w:r>
      <w:r w:rsidR="00143B26" w:rsidRPr="009338EC">
        <w:t>annexe</w:t>
      </w:r>
      <w:r w:rsidR="00143B26">
        <w:t> </w:t>
      </w:r>
      <w:r w:rsidR="00143B26" w:rsidRPr="009338EC">
        <w:t>I</w:t>
      </w:r>
      <w:r w:rsidRPr="009338EC">
        <w:t xml:space="preserve"> du présent docume</w:t>
      </w:r>
      <w:r w:rsidR="00571C0A" w:rsidRPr="009338EC">
        <w:t>nt</w:t>
      </w:r>
      <w:r w:rsidR="00571C0A">
        <w:t xml:space="preserve">.  </w:t>
      </w:r>
      <w:r w:rsidR="00571C0A" w:rsidRPr="009338EC">
        <w:t>Po</w:t>
      </w:r>
      <w:r w:rsidRPr="009338EC">
        <w:t>ur chacune des tâches, l</w:t>
      </w:r>
      <w:r w:rsidR="00143B26">
        <w:t>’</w:t>
      </w:r>
      <w:r w:rsidRPr="009338EC">
        <w:t>annexe contient les informations suivantes</w:t>
      </w:r>
      <w:r w:rsidR="00143B26">
        <w:t> :</w:t>
      </w:r>
    </w:p>
    <w:p w14:paraId="72D5F9CF" w14:textId="77777777" w:rsidR="00143B26" w:rsidRDefault="00D06297" w:rsidP="00571C0A">
      <w:pPr>
        <w:pStyle w:val="ONUMFS"/>
        <w:numPr>
          <w:ilvl w:val="0"/>
          <w:numId w:val="16"/>
        </w:numPr>
        <w:tabs>
          <w:tab w:val="clear" w:pos="567"/>
        </w:tabs>
        <w:spacing w:after="120"/>
        <w:ind w:left="1134" w:hanging="567"/>
      </w:pPr>
      <w:r w:rsidRPr="009338EC">
        <w:t>la description de la tâche;</w:t>
      </w:r>
    </w:p>
    <w:p w14:paraId="6BA51F0F" w14:textId="66A61D11" w:rsidR="00143B26" w:rsidRDefault="00D06297" w:rsidP="00571C0A">
      <w:pPr>
        <w:pStyle w:val="ONUMFS"/>
        <w:numPr>
          <w:ilvl w:val="0"/>
          <w:numId w:val="16"/>
        </w:numPr>
        <w:tabs>
          <w:tab w:val="clear" w:pos="567"/>
        </w:tabs>
        <w:spacing w:after="120"/>
        <w:ind w:left="1134" w:hanging="567"/>
      </w:pPr>
      <w:r w:rsidRPr="009338EC">
        <w:t>l</w:t>
      </w:r>
      <w:r w:rsidR="00143B26">
        <w:t>’</w:t>
      </w:r>
      <w:r w:rsidRPr="009338EC">
        <w:t>équipe d</w:t>
      </w:r>
      <w:r w:rsidR="00143B26">
        <w:t>’</w:t>
      </w:r>
      <w:r w:rsidRPr="009338EC">
        <w:t>experts/le responsable de l</w:t>
      </w:r>
      <w:r w:rsidR="00143B26">
        <w:t>’</w:t>
      </w:r>
      <w:r w:rsidRPr="009338EC">
        <w:t>équipe d</w:t>
      </w:r>
      <w:r w:rsidR="00143B26">
        <w:t>’</w:t>
      </w:r>
      <w:r w:rsidRPr="009338EC">
        <w:t>experts/le responsable de la tâche;</w:t>
      </w:r>
    </w:p>
    <w:p w14:paraId="40DFAF00" w14:textId="77777777" w:rsidR="00143B26" w:rsidRDefault="00D06297" w:rsidP="00571C0A">
      <w:pPr>
        <w:pStyle w:val="ONUMFS"/>
        <w:numPr>
          <w:ilvl w:val="0"/>
          <w:numId w:val="16"/>
        </w:numPr>
        <w:tabs>
          <w:tab w:val="clear" w:pos="567"/>
        </w:tabs>
        <w:spacing w:after="120"/>
        <w:ind w:left="1134" w:hanging="567"/>
      </w:pPr>
      <w:r w:rsidRPr="009338EC">
        <w:t>les actions programmées;</w:t>
      </w:r>
    </w:p>
    <w:p w14:paraId="78B98A1D" w14:textId="77777777" w:rsidR="00143B26" w:rsidRDefault="00D06297" w:rsidP="00571C0A">
      <w:pPr>
        <w:pStyle w:val="ONUMFS"/>
        <w:numPr>
          <w:ilvl w:val="0"/>
          <w:numId w:val="16"/>
        </w:numPr>
        <w:tabs>
          <w:tab w:val="clear" w:pos="567"/>
        </w:tabs>
        <w:spacing w:after="120"/>
        <w:ind w:left="1134" w:hanging="567"/>
      </w:pPr>
      <w:r w:rsidRPr="009338EC">
        <w:t>les remarques et précisions chronologiques;  et,</w:t>
      </w:r>
    </w:p>
    <w:p w14:paraId="1F28E720" w14:textId="323A57FF" w:rsidR="00143B26" w:rsidRDefault="00D06297" w:rsidP="009338EC">
      <w:pPr>
        <w:pStyle w:val="ONUMFS"/>
        <w:numPr>
          <w:ilvl w:val="0"/>
          <w:numId w:val="16"/>
        </w:numPr>
        <w:tabs>
          <w:tab w:val="clear" w:pos="567"/>
        </w:tabs>
        <w:ind w:left="1134" w:hanging="567"/>
      </w:pPr>
      <w:r w:rsidRPr="009338EC">
        <w:t>le cas échéant, les propositions soumises</w:t>
      </w:r>
      <w:r w:rsidR="00143B26" w:rsidRPr="009338EC">
        <w:t xml:space="preserve"> au</w:t>
      </w:r>
      <w:r w:rsidR="00143B26">
        <w:t> </w:t>
      </w:r>
      <w:r w:rsidR="00143B26" w:rsidRPr="009338EC">
        <w:t>CWS</w:t>
      </w:r>
      <w:r w:rsidRPr="009338EC">
        <w:t xml:space="preserve"> à la présente session pour examen et décision.</w:t>
      </w:r>
    </w:p>
    <w:p w14:paraId="3F154AD3" w14:textId="22243E4A" w:rsidR="00143B26" w:rsidRDefault="00D06297" w:rsidP="009338EC">
      <w:pPr>
        <w:pStyle w:val="ONUMFS"/>
      </w:pPr>
      <w:r w:rsidRPr="009338EC">
        <w:t>La liste des tâches en cours d</w:t>
      </w:r>
      <w:r w:rsidR="00143B26">
        <w:t>’</w:t>
      </w:r>
      <w:r w:rsidRPr="009338EC">
        <w:t xml:space="preserve">exécution est publiée sur la </w:t>
      </w:r>
      <w:r w:rsidR="00143B26" w:rsidRPr="009338EC">
        <w:t>page</w:t>
      </w:r>
      <w:r w:rsidR="00143B26">
        <w:t> </w:t>
      </w:r>
      <w:r w:rsidR="00143B26" w:rsidRPr="009338EC">
        <w:t>W</w:t>
      </w:r>
      <w:r w:rsidRPr="009338EC">
        <w:t>eb intitulée “Présentation générale du programme de travail</w:t>
      </w:r>
      <w:r w:rsidR="00143B26" w:rsidRPr="009338EC">
        <w:t xml:space="preserve"> du</w:t>
      </w:r>
      <w:r w:rsidR="00143B26">
        <w:t> </w:t>
      </w:r>
      <w:r w:rsidR="00143B26" w:rsidRPr="009338EC">
        <w:t>CWS</w:t>
      </w:r>
      <w:r w:rsidRPr="009338EC">
        <w:t>”, à l</w:t>
      </w:r>
      <w:r w:rsidR="00143B26">
        <w:t>’</w:t>
      </w:r>
      <w:r w:rsidRPr="009338EC">
        <w:t>adresse suivante</w:t>
      </w:r>
      <w:r w:rsidR="00143B26">
        <w:t> :</w:t>
      </w:r>
      <w:r w:rsidRPr="009338EC">
        <w:t xml:space="preserve"> </w:t>
      </w:r>
      <w:hyperlink r:id="rId11" w:history="1">
        <w:r w:rsidRPr="00BF5CD0">
          <w:rPr>
            <w:rStyle w:val="Hyperlink"/>
          </w:rPr>
          <w:t>https://www.wipo.int/cws/fr/work</w:t>
        </w:r>
        <w:r w:rsidR="00143B26" w:rsidRPr="00BF5CD0">
          <w:rPr>
            <w:rStyle w:val="Hyperlink"/>
          </w:rPr>
          <w:t>-</w:t>
        </w:r>
        <w:r w:rsidRPr="00BF5CD0">
          <w:rPr>
            <w:rStyle w:val="Hyperlink"/>
          </w:rPr>
          <w:t>program.html</w:t>
        </w:r>
      </w:hyperlink>
      <w:r w:rsidRPr="009338EC">
        <w:t>.  Des informations détaillées sur les équipes d</w:t>
      </w:r>
      <w:r w:rsidR="00143B26">
        <w:t>’</w:t>
      </w:r>
      <w:r w:rsidRPr="009338EC">
        <w:t xml:space="preserve">experts sont disponibles sur la </w:t>
      </w:r>
      <w:r w:rsidR="00143B26" w:rsidRPr="009338EC">
        <w:t>page</w:t>
      </w:r>
      <w:r w:rsidR="00143B26">
        <w:t> </w:t>
      </w:r>
      <w:r w:rsidR="00143B26" w:rsidRPr="009338EC">
        <w:t>W</w:t>
      </w:r>
      <w:r w:rsidRPr="009338EC">
        <w:t>eb des équipes d</w:t>
      </w:r>
      <w:r w:rsidR="00143B26">
        <w:t>’</w:t>
      </w:r>
      <w:r w:rsidRPr="009338EC">
        <w:t>experts</w:t>
      </w:r>
      <w:r w:rsidR="00143B26" w:rsidRPr="009338EC">
        <w:t xml:space="preserve"> du</w:t>
      </w:r>
      <w:r w:rsidR="00143B26">
        <w:t> </w:t>
      </w:r>
      <w:r w:rsidR="00143B26" w:rsidRPr="009338EC">
        <w:t>CWS</w:t>
      </w:r>
      <w:r w:rsidRPr="009338EC">
        <w:t xml:space="preserve"> à l</w:t>
      </w:r>
      <w:r w:rsidR="00143B26">
        <w:t>’</w:t>
      </w:r>
      <w:r w:rsidRPr="009338EC">
        <w:t>adresse suivante</w:t>
      </w:r>
      <w:r w:rsidR="00143B26">
        <w:t> :</w:t>
      </w:r>
      <w:r w:rsidRPr="009338EC">
        <w:t xml:space="preserve"> </w:t>
      </w:r>
      <w:hyperlink r:id="rId12" w:history="1">
        <w:r w:rsidRPr="00BF5CD0">
          <w:rPr>
            <w:rStyle w:val="Hyperlink"/>
          </w:rPr>
          <w:t>https://www.wipo.int/en/web/cws/taskforce/index</w:t>
        </w:r>
      </w:hyperlink>
      <w:r w:rsidRPr="009338EC">
        <w:t xml:space="preserve">.  Le contenu de la </w:t>
      </w:r>
      <w:r w:rsidR="00143B26" w:rsidRPr="009338EC">
        <w:t>page</w:t>
      </w:r>
      <w:r w:rsidR="00143B26">
        <w:t> </w:t>
      </w:r>
      <w:r w:rsidR="00143B26" w:rsidRPr="009338EC">
        <w:t>W</w:t>
      </w:r>
      <w:r w:rsidRPr="009338EC">
        <w:t>eb consacrée au programme de travail sera revu et actualisé après la treiz</w:t>
      </w:r>
      <w:r w:rsidR="00143B26">
        <w:t>ième session</w:t>
      </w:r>
      <w:r w:rsidRPr="009338EC">
        <w:t xml:space="preserve"> afin de tenir compte des éventuelles décisions que</w:t>
      </w:r>
      <w:r w:rsidR="00143B26" w:rsidRPr="009338EC">
        <w:t xml:space="preserve"> le</w:t>
      </w:r>
      <w:r w:rsidR="00143B26">
        <w:t> </w:t>
      </w:r>
      <w:r w:rsidR="00143B26" w:rsidRPr="009338EC">
        <w:t>CWS</w:t>
      </w:r>
      <w:r w:rsidRPr="009338EC">
        <w:t xml:space="preserve"> aura prises. </w:t>
      </w:r>
      <w:r w:rsidR="002B1502">
        <w:t xml:space="preserve"> </w:t>
      </w:r>
    </w:p>
    <w:p w14:paraId="4FDF3345" w14:textId="7AABD30E" w:rsidR="00D06297" w:rsidRPr="003743F7" w:rsidRDefault="00D06297" w:rsidP="009338EC">
      <w:pPr>
        <w:pStyle w:val="Heading2"/>
      </w:pPr>
      <w:r>
        <w:t>A</w:t>
      </w:r>
      <w:r w:rsidR="00CC684E">
        <w:t>nalyse</w:t>
      </w:r>
      <w:r>
        <w:t xml:space="preserve"> de la complexité et du niveau d</w:t>
      </w:r>
      <w:r w:rsidR="00143B26">
        <w:t>’</w:t>
      </w:r>
      <w:r>
        <w:t>activité des tâches, et proposition de hiérarchisation des tâches</w:t>
      </w:r>
    </w:p>
    <w:p w14:paraId="40BEBB5A" w14:textId="618DC151" w:rsidR="00D06297" w:rsidRPr="009338EC" w:rsidRDefault="00D06297" w:rsidP="009338EC">
      <w:pPr>
        <w:pStyle w:val="ONUMFS"/>
      </w:pPr>
      <w:r w:rsidRPr="009338EC">
        <w:t>Pour donner suite aux décisions prises à la douz</w:t>
      </w:r>
      <w:r w:rsidR="00143B26">
        <w:t>ième session</w:t>
      </w:r>
      <w:r w:rsidR="00143B26" w:rsidRPr="009338EC">
        <w:t xml:space="preserve"> du</w:t>
      </w:r>
      <w:r w:rsidR="00143B26">
        <w:t> </w:t>
      </w:r>
      <w:r w:rsidR="00143B26" w:rsidRPr="009338EC">
        <w:t>CWS</w:t>
      </w:r>
      <w:r w:rsidRPr="009338EC">
        <w:t>, le Secrétariat a analysé la complexité et le niveau d</w:t>
      </w:r>
      <w:r w:rsidR="00143B26">
        <w:t>’</w:t>
      </w:r>
      <w:r w:rsidRPr="009338EC">
        <w:t>activité de chaque tâche, en tenant compte des observations formulées par les responsables des équipes d</w:t>
      </w:r>
      <w:r w:rsidR="00143B26">
        <w:t>’</w:t>
      </w:r>
      <w:r w:rsidRPr="009338EC">
        <w:t>experts.  Le niveau d</w:t>
      </w:r>
      <w:r w:rsidR="00143B26">
        <w:t>’</w:t>
      </w:r>
      <w:r w:rsidRPr="009338EC">
        <w:t>activité et la complexité de chaque tâche ont été classés comme suit</w:t>
      </w:r>
      <w:r w:rsidR="00143B26">
        <w:t> :</w:t>
      </w:r>
    </w:p>
    <w:p w14:paraId="16A21D33" w14:textId="1344F230" w:rsidR="009338EC" w:rsidRDefault="00D06297" w:rsidP="00571C0A">
      <w:pPr>
        <w:pStyle w:val="ONUMFS"/>
        <w:numPr>
          <w:ilvl w:val="0"/>
          <w:numId w:val="16"/>
        </w:numPr>
        <w:tabs>
          <w:tab w:val="clear" w:pos="567"/>
        </w:tabs>
        <w:spacing w:after="120"/>
        <w:ind w:left="1134" w:hanging="567"/>
      </w:pPr>
      <w:r>
        <w:t>Niveau d</w:t>
      </w:r>
      <w:r w:rsidR="00143B26">
        <w:t>’</w:t>
      </w:r>
      <w:r>
        <w:t>activité</w:t>
      </w:r>
      <w:r w:rsidR="00143B26">
        <w:t> :</w:t>
      </w:r>
      <w:r>
        <w:t xml:space="preserve"> “très active”, “active”, “occasionnelle”, “ponctuelle” et “en suspens”; </w:t>
      </w:r>
      <w:r w:rsidR="002B1502">
        <w:t xml:space="preserve"> </w:t>
      </w:r>
      <w:r>
        <w:t>e</w:t>
      </w:r>
      <w:r w:rsidR="009338EC">
        <w:t>t</w:t>
      </w:r>
    </w:p>
    <w:p w14:paraId="52C3554C" w14:textId="3B8EEAE0" w:rsidR="00143B26" w:rsidRDefault="009338EC" w:rsidP="009338EC">
      <w:pPr>
        <w:pStyle w:val="ONUMFS"/>
        <w:numPr>
          <w:ilvl w:val="0"/>
          <w:numId w:val="16"/>
        </w:numPr>
        <w:tabs>
          <w:tab w:val="clear" w:pos="567"/>
        </w:tabs>
        <w:ind w:left="1134" w:hanging="567"/>
      </w:pPr>
      <w:r>
        <w:t>Complexité</w:t>
      </w:r>
      <w:r w:rsidR="00143B26">
        <w:t> :</w:t>
      </w:r>
      <w:r>
        <w:t xml:space="preserve"> “faible”, “moyenne”, “élevée” et “sans objet”.</w:t>
      </w:r>
    </w:p>
    <w:p w14:paraId="2904A8D9" w14:textId="7D62DBD4" w:rsidR="00143B26" w:rsidRDefault="00D06297" w:rsidP="009338EC">
      <w:pPr>
        <w:pStyle w:val="ONUMFS"/>
      </w:pPr>
      <w:r w:rsidRPr="009338EC">
        <w:t>Le Secrétariat a également procédé à un examen annuel de toutes les tâches</w:t>
      </w:r>
      <w:r w:rsidR="00143B26" w:rsidRPr="009338EC">
        <w:t xml:space="preserve"> du</w:t>
      </w:r>
      <w:r w:rsidR="00143B26">
        <w:t> </w:t>
      </w:r>
      <w:r w:rsidR="00143B26" w:rsidRPr="009338EC">
        <w:t>CWS</w:t>
      </w:r>
      <w:r w:rsidRPr="009338EC">
        <w:t xml:space="preserve"> en consultation avec les responsables des équipes d</w:t>
      </w:r>
      <w:r w:rsidR="00143B26">
        <w:t>’</w:t>
      </w:r>
      <w:r w:rsidRPr="009338EC">
        <w:t>experts, en vue de proposer les tâches qui devraient être prioritaires ou mises en suspens.  Les tâches prioritaires sont classées en deux</w:t>
      </w:r>
      <w:r w:rsidR="002B1502">
        <w:t> </w:t>
      </w:r>
      <w:r w:rsidRPr="009338EC">
        <w:t>catégories</w:t>
      </w:r>
      <w:r w:rsidR="00143B26">
        <w:t> :</w:t>
      </w:r>
      <w:r w:rsidRPr="009338EC">
        <w:t xml:space="preserve"> “essentielles” et “importantes”.  Les tâches “essentielles” sont liées aux normes ou recommandations de l</w:t>
      </w:r>
      <w:r w:rsidR="00143B26">
        <w:t>’</w:t>
      </w:r>
      <w:r w:rsidRPr="009338EC">
        <w:t>OMPI qui sont en cours d</w:t>
      </w:r>
      <w:r w:rsidR="00143B26">
        <w:t>’</w:t>
      </w:r>
      <w:r w:rsidRPr="009338EC">
        <w:t>examen par les offices de propriété intellectuelle en vue d</w:t>
      </w:r>
      <w:r w:rsidR="00143B26">
        <w:t>’</w:t>
      </w:r>
      <w:r w:rsidRPr="009338EC">
        <w:t>une mise en œuvre harmonisée.  Les tâches “importantes” sont celles qui sont considérées comme prioritaires pour l</w:t>
      </w:r>
      <w:r w:rsidR="00143B26">
        <w:t>’</w:t>
      </w:r>
      <w:r w:rsidRPr="009338EC">
        <w:t>élaboration ou la révision des normes de l</w:t>
      </w:r>
      <w:r w:rsidR="00143B26">
        <w:t>’</w:t>
      </w:r>
      <w:r w:rsidRPr="009338EC">
        <w:t>OMPI ou le partage de pratiques entre offices concernant les normes ou recommandations de l</w:t>
      </w:r>
      <w:r w:rsidR="00143B26">
        <w:t>’</w:t>
      </w:r>
      <w:r w:rsidRPr="009338EC">
        <w:t xml:space="preserve">OMPI </w:t>
      </w:r>
      <w:r w:rsidR="00143B26" w:rsidRPr="009338EC">
        <w:t>en</w:t>
      </w:r>
      <w:r w:rsidR="00143B26">
        <w:t> </w:t>
      </w:r>
      <w:r w:rsidR="00143B26" w:rsidRPr="009338EC">
        <w:t>2026</w:t>
      </w:r>
      <w:r w:rsidRPr="009338EC">
        <w:t>.</w:t>
      </w:r>
    </w:p>
    <w:p w14:paraId="35510660" w14:textId="65049585" w:rsidR="00D06297" w:rsidRPr="009338EC" w:rsidRDefault="00D06297" w:rsidP="009338EC">
      <w:pPr>
        <w:pStyle w:val="ONUMFS"/>
      </w:pPr>
      <w:r w:rsidRPr="009338EC">
        <w:t>Le Secrétariat présente les résultats de son analyse de la complexité et du niveau d</w:t>
      </w:r>
      <w:r w:rsidR="00143B26">
        <w:t>’</w:t>
      </w:r>
      <w:r w:rsidRPr="009338EC">
        <w:t>activité des tâches, ainsi qu</w:t>
      </w:r>
      <w:r w:rsidR="00143B26">
        <w:t>’</w:t>
      </w:r>
      <w:r w:rsidRPr="009338EC">
        <w:t>une proposition de hiérarchisation des tâches à l</w:t>
      </w:r>
      <w:r w:rsidR="00143B26">
        <w:t>’</w:t>
      </w:r>
      <w:r w:rsidRPr="009338EC">
        <w:t>annexe II du présent document.</w:t>
      </w:r>
    </w:p>
    <w:p w14:paraId="006E5537" w14:textId="1257E4ED" w:rsidR="00D06297" w:rsidRPr="009338EC" w:rsidRDefault="00D06297" w:rsidP="009338EC">
      <w:pPr>
        <w:pStyle w:val="ONUMFS"/>
        <w:ind w:left="5533"/>
        <w:rPr>
          <w:i/>
        </w:rPr>
      </w:pPr>
      <w:r w:rsidRPr="009338EC">
        <w:rPr>
          <w:i/>
        </w:rPr>
        <w:t>Le CWS est invité</w:t>
      </w:r>
    </w:p>
    <w:p w14:paraId="23C7C545" w14:textId="77777777" w:rsidR="00D06297" w:rsidRPr="009338EC" w:rsidRDefault="00D06297" w:rsidP="000F307F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9338EC">
        <w:rPr>
          <w:i/>
        </w:rPr>
        <w:t>à prendre note du contenu du présent document,</w:t>
      </w:r>
    </w:p>
    <w:p w14:paraId="41E7BAF0" w14:textId="33CF17FA" w:rsidR="00D06297" w:rsidRPr="009338EC" w:rsidRDefault="00D06297" w:rsidP="000F307F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9338EC">
        <w:rPr>
          <w:i/>
        </w:rPr>
        <w:t>à examiner la liste des tâches présentée à l</w:t>
      </w:r>
      <w:r w:rsidR="00143B26">
        <w:rPr>
          <w:i/>
        </w:rPr>
        <w:t>’</w:t>
      </w:r>
      <w:r w:rsidR="00143B26" w:rsidRPr="009338EC">
        <w:rPr>
          <w:i/>
        </w:rPr>
        <w:t>annexe</w:t>
      </w:r>
      <w:r w:rsidR="00143B26">
        <w:rPr>
          <w:i/>
        </w:rPr>
        <w:t> </w:t>
      </w:r>
      <w:r w:rsidR="00143B26" w:rsidRPr="009338EC">
        <w:rPr>
          <w:i/>
        </w:rPr>
        <w:t>I</w:t>
      </w:r>
      <w:r w:rsidRPr="009338EC">
        <w:rPr>
          <w:i/>
        </w:rPr>
        <w:t xml:space="preserve"> du présent document,</w:t>
      </w:r>
    </w:p>
    <w:p w14:paraId="062636CE" w14:textId="23D54E4F" w:rsidR="00143B26" w:rsidRDefault="00D06297" w:rsidP="000F307F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9338EC">
        <w:rPr>
          <w:i/>
        </w:rPr>
        <w:t>à approuver l</w:t>
      </w:r>
      <w:r w:rsidR="00143B26">
        <w:rPr>
          <w:i/>
        </w:rPr>
        <w:t>’</w:t>
      </w:r>
      <w:r w:rsidRPr="009338EC">
        <w:rPr>
          <w:i/>
        </w:rPr>
        <w:t>inclusion par le Secrétariat des accords auxquels la présente session a donné lieu, relatifs au programme de travail du CWS et à la présentation générale du programme de travail du CWS, et les publier sur le site Web de l</w:t>
      </w:r>
      <w:r w:rsidR="00143B26">
        <w:rPr>
          <w:i/>
        </w:rPr>
        <w:t>’</w:t>
      </w:r>
      <w:r w:rsidRPr="009338EC">
        <w:rPr>
          <w:i/>
        </w:rPr>
        <w:t>OMPI tels qu</w:t>
      </w:r>
      <w:r w:rsidR="00143B26">
        <w:rPr>
          <w:i/>
        </w:rPr>
        <w:t>’</w:t>
      </w:r>
      <w:r w:rsidRPr="009338EC">
        <w:rPr>
          <w:i/>
        </w:rPr>
        <w:t>ils figurent au paragraphe 10,</w:t>
      </w:r>
    </w:p>
    <w:p w14:paraId="5530D862" w14:textId="1CE4CB3A" w:rsidR="00D06297" w:rsidRPr="009338EC" w:rsidRDefault="00D06297" w:rsidP="000F307F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9338EC">
        <w:rPr>
          <w:i/>
        </w:rPr>
        <w:t>à examiner la proposition visant à encourager davantage d</w:t>
      </w:r>
      <w:r w:rsidR="00143B26">
        <w:rPr>
          <w:i/>
        </w:rPr>
        <w:t>’</w:t>
      </w:r>
      <w:r w:rsidRPr="009338EC">
        <w:rPr>
          <w:i/>
        </w:rPr>
        <w:t>offices de propriété intellectuelle à participer aux équipes d</w:t>
      </w:r>
      <w:r w:rsidR="00143B26">
        <w:rPr>
          <w:i/>
        </w:rPr>
        <w:t>’</w:t>
      </w:r>
      <w:r w:rsidRPr="009338EC">
        <w:rPr>
          <w:i/>
        </w:rPr>
        <w:t>experts du CWS et à prier le Secrétariat de diffuser une circulaire</w:t>
      </w:r>
      <w:r w:rsidR="00143B26" w:rsidRPr="009338EC">
        <w:rPr>
          <w:i/>
        </w:rPr>
        <w:t xml:space="preserve"> du</w:t>
      </w:r>
      <w:r w:rsidR="00143B26">
        <w:rPr>
          <w:i/>
        </w:rPr>
        <w:t> </w:t>
      </w:r>
      <w:r w:rsidR="00143B26" w:rsidRPr="009338EC">
        <w:rPr>
          <w:i/>
        </w:rPr>
        <w:t>CWS</w:t>
      </w:r>
      <w:r w:rsidRPr="009338EC">
        <w:rPr>
          <w:i/>
        </w:rPr>
        <w:t xml:space="preserve"> invitant les offices de propriété intellectuelle à désigner des experts des domaines concernés pour participer aux équipes d</w:t>
      </w:r>
      <w:r w:rsidR="00143B26">
        <w:rPr>
          <w:i/>
        </w:rPr>
        <w:t>’</w:t>
      </w:r>
      <w:r w:rsidRPr="009338EC">
        <w:rPr>
          <w:i/>
        </w:rPr>
        <w:t>experts, comme indiqué au paragraphe 5, et</w:t>
      </w:r>
    </w:p>
    <w:p w14:paraId="4DEA106D" w14:textId="1F702416" w:rsidR="00D06297" w:rsidRPr="009338EC" w:rsidRDefault="00D06297" w:rsidP="000F307F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r w:rsidRPr="009338EC">
        <w:rPr>
          <w:i/>
        </w:rPr>
        <w:t>à examiner l</w:t>
      </w:r>
      <w:r w:rsidR="00143B26">
        <w:rPr>
          <w:i/>
        </w:rPr>
        <w:t>’</w:t>
      </w:r>
      <w:r w:rsidRPr="009338EC">
        <w:rPr>
          <w:i/>
        </w:rPr>
        <w:t>analyse de la complexité et du niveau d</w:t>
      </w:r>
      <w:r w:rsidR="00143B26">
        <w:rPr>
          <w:i/>
        </w:rPr>
        <w:t>’</w:t>
      </w:r>
      <w:r w:rsidRPr="009338EC">
        <w:rPr>
          <w:i/>
        </w:rPr>
        <w:t>activité des tâches, ainsi que la proposition de hiérarchisation des tâches décrite aux paragraphes 11 à</w:t>
      </w:r>
      <w:r w:rsidR="00D31BB8">
        <w:rPr>
          <w:i/>
        </w:rPr>
        <w:t> </w:t>
      </w:r>
      <w:r w:rsidRPr="009338EC">
        <w:rPr>
          <w:i/>
        </w:rPr>
        <w:t>13 et présentée à l</w:t>
      </w:r>
      <w:r w:rsidR="00143B26">
        <w:rPr>
          <w:i/>
        </w:rPr>
        <w:t>’</w:t>
      </w:r>
      <w:r w:rsidRPr="009338EC">
        <w:rPr>
          <w:i/>
        </w:rPr>
        <w:t>annexe II du présent document.</w:t>
      </w:r>
    </w:p>
    <w:p w14:paraId="1C9489C0" w14:textId="27501FD1" w:rsidR="0099108F" w:rsidRPr="00D31BB8" w:rsidRDefault="00D06297" w:rsidP="00D31BB8">
      <w:pPr>
        <w:pStyle w:val="Endofdocument-Annex"/>
      </w:pPr>
      <w:r w:rsidRPr="00D31BB8">
        <w:t>[L</w:t>
      </w:r>
      <w:r w:rsidR="00143B26" w:rsidRPr="00D31BB8">
        <w:t>’annexe I</w:t>
      </w:r>
      <w:r w:rsidRPr="00D31BB8">
        <w:t xml:space="preserve"> suit]</w:t>
      </w:r>
    </w:p>
    <w:sectPr w:rsidR="0099108F" w:rsidRPr="00D31BB8" w:rsidSect="00D06297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F097" w14:textId="77777777" w:rsidR="001C5C2F" w:rsidRPr="00290DCD" w:rsidRDefault="001C5C2F">
      <w:r w:rsidRPr="00290DCD">
        <w:separator/>
      </w:r>
    </w:p>
  </w:endnote>
  <w:endnote w:type="continuationSeparator" w:id="0">
    <w:p w14:paraId="29EFF906" w14:textId="77777777" w:rsidR="001C5C2F" w:rsidRPr="00290DCD" w:rsidRDefault="001C5C2F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76313026" w14:textId="77777777" w:rsidR="001C5C2F" w:rsidRPr="00290DCD" w:rsidRDefault="001C5C2F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21E87435" w14:textId="77777777" w:rsidR="001C5C2F" w:rsidRPr="00290DCD" w:rsidRDefault="001C5C2F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E7BFB" w14:textId="77777777" w:rsidR="001C5C2F" w:rsidRPr="00290DCD" w:rsidRDefault="001C5C2F">
      <w:r w:rsidRPr="00290DCD">
        <w:separator/>
      </w:r>
    </w:p>
  </w:footnote>
  <w:footnote w:type="continuationSeparator" w:id="0">
    <w:p w14:paraId="2C1516FB" w14:textId="77777777" w:rsidR="001C5C2F" w:rsidRPr="00290DCD" w:rsidRDefault="001C5C2F" w:rsidP="007461F1">
      <w:r w:rsidRPr="00290DCD">
        <w:separator/>
      </w:r>
    </w:p>
    <w:p w14:paraId="401F6703" w14:textId="77777777" w:rsidR="001C5C2F" w:rsidRPr="00290DCD" w:rsidRDefault="001C5C2F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47F78308" w14:textId="77777777" w:rsidR="001C5C2F" w:rsidRPr="00290DCD" w:rsidRDefault="001C5C2F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CE21" w14:textId="1BECBF0B" w:rsidR="00F16975" w:rsidRPr="00290DCD" w:rsidRDefault="00D06297" w:rsidP="00477D6B">
    <w:pPr>
      <w:jc w:val="right"/>
    </w:pPr>
    <w:bookmarkStart w:id="5" w:name="Code2"/>
    <w:bookmarkEnd w:id="5"/>
    <w:r>
      <w:t>CWS/13/31</w:t>
    </w:r>
    <w:r w:rsidR="00D31BB8">
      <w:t> Rev.</w:t>
    </w:r>
    <w:r w:rsidR="000F307F">
      <w:t>2</w:t>
    </w:r>
  </w:p>
  <w:p w14:paraId="191F92C5" w14:textId="77777777" w:rsidR="004F4E31" w:rsidRPr="00290DCD" w:rsidRDefault="00F16975" w:rsidP="0099108F">
    <w:pPr>
      <w:spacing w:after="480"/>
      <w:jc w:val="right"/>
    </w:pPr>
    <w:r w:rsidRPr="00290DCD">
      <w:t>page</w:t>
    </w:r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7A7BC3"/>
    <w:multiLevelType w:val="hybridMultilevel"/>
    <w:tmpl w:val="9A10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F0807F4"/>
    <w:multiLevelType w:val="hybridMultilevel"/>
    <w:tmpl w:val="6BC259BE"/>
    <w:lvl w:ilvl="0" w:tplc="91F28F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C36AC"/>
    <w:multiLevelType w:val="hybridMultilevel"/>
    <w:tmpl w:val="41A27008"/>
    <w:lvl w:ilvl="0" w:tplc="DDA6CF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E025048"/>
    <w:multiLevelType w:val="hybridMultilevel"/>
    <w:tmpl w:val="59A20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548CF"/>
    <w:multiLevelType w:val="hybridMultilevel"/>
    <w:tmpl w:val="F3B656AA"/>
    <w:lvl w:ilvl="0" w:tplc="6026303C">
      <w:start w:val="1"/>
      <w:numFmt w:val="bullet"/>
      <w:lvlText w:val="­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86C4434"/>
    <w:multiLevelType w:val="hybridMultilevel"/>
    <w:tmpl w:val="64104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E0708"/>
    <w:multiLevelType w:val="multilevel"/>
    <w:tmpl w:val="973C54D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7D4D4659"/>
    <w:multiLevelType w:val="multilevel"/>
    <w:tmpl w:val="4B72AEB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7F220532"/>
    <w:multiLevelType w:val="multilevel"/>
    <w:tmpl w:val="958EFE14"/>
    <w:lvl w:ilvl="0">
      <w:start w:val="1"/>
      <w:numFmt w:val="lowerLetter"/>
      <w:lvlText w:val="(%1)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164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</w:lvl>
  </w:abstractNum>
  <w:num w:numId="1" w16cid:durableId="1398548192">
    <w:abstractNumId w:val="3"/>
  </w:num>
  <w:num w:numId="2" w16cid:durableId="1870607316">
    <w:abstractNumId w:val="7"/>
  </w:num>
  <w:num w:numId="3" w16cid:durableId="844322595">
    <w:abstractNumId w:val="0"/>
  </w:num>
  <w:num w:numId="4" w16cid:durableId="1456631763">
    <w:abstractNumId w:val="8"/>
  </w:num>
  <w:num w:numId="5" w16cid:durableId="628778745">
    <w:abstractNumId w:val="1"/>
  </w:num>
  <w:num w:numId="6" w16cid:durableId="670451745">
    <w:abstractNumId w:val="4"/>
  </w:num>
  <w:num w:numId="7" w16cid:durableId="246352957">
    <w:abstractNumId w:val="9"/>
  </w:num>
  <w:num w:numId="8" w16cid:durableId="395592218">
    <w:abstractNumId w:val="6"/>
  </w:num>
  <w:num w:numId="9" w16cid:durableId="222257233">
    <w:abstractNumId w:val="15"/>
  </w:num>
  <w:num w:numId="10" w16cid:durableId="677662934">
    <w:abstractNumId w:val="11"/>
  </w:num>
  <w:num w:numId="11" w16cid:durableId="1997998573">
    <w:abstractNumId w:val="12"/>
  </w:num>
  <w:num w:numId="12" w16cid:durableId="1015041040">
    <w:abstractNumId w:val="5"/>
  </w:num>
  <w:num w:numId="13" w16cid:durableId="563948810">
    <w:abstractNumId w:val="2"/>
  </w:num>
  <w:num w:numId="14" w16cid:durableId="265309464">
    <w:abstractNumId w:val="10"/>
  </w:num>
  <w:num w:numId="15" w16cid:durableId="2143036256">
    <w:abstractNumId w:val="13"/>
  </w:num>
  <w:num w:numId="16" w16cid:durableId="432014243">
    <w:abstractNumId w:val="14"/>
  </w:num>
  <w:num w:numId="17" w16cid:durableId="1930388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97"/>
    <w:rsid w:val="00011B7D"/>
    <w:rsid w:val="000447A8"/>
    <w:rsid w:val="00062CD2"/>
    <w:rsid w:val="00075432"/>
    <w:rsid w:val="000F307F"/>
    <w:rsid w:val="000F5E56"/>
    <w:rsid w:val="001352EC"/>
    <w:rsid w:val="001362EE"/>
    <w:rsid w:val="00143B26"/>
    <w:rsid w:val="00157E3C"/>
    <w:rsid w:val="001832A6"/>
    <w:rsid w:val="00195C6E"/>
    <w:rsid w:val="00197881"/>
    <w:rsid w:val="001B266A"/>
    <w:rsid w:val="001C5C2F"/>
    <w:rsid w:val="001D3D56"/>
    <w:rsid w:val="00240654"/>
    <w:rsid w:val="002634C4"/>
    <w:rsid w:val="00290DCD"/>
    <w:rsid w:val="002B1502"/>
    <w:rsid w:val="002D4918"/>
    <w:rsid w:val="002E4D1A"/>
    <w:rsid w:val="002E64B8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E1E51"/>
    <w:rsid w:val="004F4E31"/>
    <w:rsid w:val="00525B63"/>
    <w:rsid w:val="00547476"/>
    <w:rsid w:val="00561DB8"/>
    <w:rsid w:val="00567A4C"/>
    <w:rsid w:val="00571C0A"/>
    <w:rsid w:val="00576171"/>
    <w:rsid w:val="005A3309"/>
    <w:rsid w:val="005E6516"/>
    <w:rsid w:val="00605827"/>
    <w:rsid w:val="006508B5"/>
    <w:rsid w:val="00676936"/>
    <w:rsid w:val="00685D3D"/>
    <w:rsid w:val="006B0DB5"/>
    <w:rsid w:val="006E4243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7930"/>
    <w:rsid w:val="0090731E"/>
    <w:rsid w:val="009338EC"/>
    <w:rsid w:val="00966A22"/>
    <w:rsid w:val="00974CD6"/>
    <w:rsid w:val="0099108F"/>
    <w:rsid w:val="009D30E6"/>
    <w:rsid w:val="009E3F6F"/>
    <w:rsid w:val="009F382A"/>
    <w:rsid w:val="009F499F"/>
    <w:rsid w:val="00A02BD3"/>
    <w:rsid w:val="00A65E7E"/>
    <w:rsid w:val="00AA1F20"/>
    <w:rsid w:val="00AC0AE4"/>
    <w:rsid w:val="00AD61DB"/>
    <w:rsid w:val="00B6177F"/>
    <w:rsid w:val="00B66A77"/>
    <w:rsid w:val="00B87BCF"/>
    <w:rsid w:val="00BA62D4"/>
    <w:rsid w:val="00BC3FC3"/>
    <w:rsid w:val="00BF5CD0"/>
    <w:rsid w:val="00C078DE"/>
    <w:rsid w:val="00C153FD"/>
    <w:rsid w:val="00C333AB"/>
    <w:rsid w:val="00C40E15"/>
    <w:rsid w:val="00C664C8"/>
    <w:rsid w:val="00C76A79"/>
    <w:rsid w:val="00CA15F5"/>
    <w:rsid w:val="00CA72C1"/>
    <w:rsid w:val="00CC684E"/>
    <w:rsid w:val="00CF0460"/>
    <w:rsid w:val="00D06297"/>
    <w:rsid w:val="00D31BB8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40021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7A9F9C"/>
  <w15:docId w15:val="{36E4DC3B-582B-43B2-B5B1-DDB30867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31BB8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06297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Heading3Char">
    <w:name w:val="Heading 3 Char"/>
    <w:basedOn w:val="DefaultParagraphFont"/>
    <w:link w:val="Heading3"/>
    <w:rsid w:val="00D06297"/>
    <w:rPr>
      <w:rFonts w:ascii="Arial" w:eastAsia="SimSun" w:hAnsi="Arial" w:cs="Arial"/>
      <w:bCs/>
      <w:sz w:val="22"/>
      <w:szCs w:val="26"/>
      <w:u w:val="single"/>
      <w:lang w:val="fr-FR" w:eastAsia="zh-CN"/>
    </w:rPr>
  </w:style>
  <w:style w:type="character" w:styleId="Hyperlink">
    <w:name w:val="Hyperlink"/>
    <w:unhideWhenUsed/>
    <w:rsid w:val="00D06297"/>
    <w:rPr>
      <w:color w:val="0000FF"/>
      <w:u w:val="single"/>
    </w:rPr>
  </w:style>
  <w:style w:type="paragraph" w:customStyle="1" w:styleId="Endofdocument">
    <w:name w:val="End of document"/>
    <w:basedOn w:val="Normal"/>
    <w:rsid w:val="00D0629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ONUMEChar">
    <w:name w:val="ONUM E Char"/>
    <w:basedOn w:val="DefaultParagraphFont"/>
    <w:link w:val="ONUME"/>
    <w:rsid w:val="00D06297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D0629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71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n/web/cws/taskforce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fr/web/cws/work-progr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ipo.int/fr/web/cws/circulars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n/web/cws/taskforce/member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9FDCC-B14A-44F0-A405-6A5CAED6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30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CWS/13/31 Rev. 2 (French) </vt:lpstr>
    </vt:vector>
  </TitlesOfParts>
  <Company>WIPO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CWS/13/31 Rev. 2 (French) </dc:title>
  <dc:subject>Programme de travail du CWS </dc:subject>
  <dc:creator>WIPO</dc:creator>
  <cp:keywords>WIPO CWS treizième session, Programme de travail du CWS </cp:keywords>
  <cp:lastModifiedBy>EMMETT Claudia</cp:lastModifiedBy>
  <cp:revision>9</cp:revision>
  <cp:lastPrinted>2025-10-31T16:10:00Z</cp:lastPrinted>
  <dcterms:created xsi:type="dcterms:W3CDTF">2025-10-02T15:44:00Z</dcterms:created>
  <dcterms:modified xsi:type="dcterms:W3CDTF">2025-10-31T16:37:00Z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