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44184" w14:textId="1A3810DA" w:rsidR="002B3F16" w:rsidRPr="00BF25F0" w:rsidRDefault="00493285" w:rsidP="00BF25F0">
      <w:pPr>
        <w:pStyle w:val="Heading1"/>
      </w:pPr>
      <w:r w:rsidRPr="00BF25F0">
        <w:t>A</w:t>
      </w:r>
      <w:r w:rsidR="00BF25F0" w:rsidRPr="00BF25F0">
        <w:t>nalyse par le Secrétariat des tâches du CWS pour l’allocation des ressources</w:t>
      </w:r>
    </w:p>
    <w:p w14:paraId="7B151C75" w14:textId="0A737563" w:rsidR="00B91C8D" w:rsidRPr="00AB5EE4" w:rsidRDefault="004E0CAF" w:rsidP="004E0CAF">
      <w:pPr>
        <w:spacing w:after="220"/>
        <w:rPr>
          <w:rFonts w:ascii="Arial" w:hAnsi="Arial" w:cs="Arial"/>
        </w:rPr>
      </w:pPr>
      <w:r>
        <w:rPr>
          <w:rFonts w:ascii="Arial" w:hAnsi="Arial"/>
        </w:rPr>
        <w:t>À la suite des décisions prises à la douzième session du CWS, le Secrétariat a analysé la complexité et le niveau d’activité de chaque tâche du CWS.  Il a également procédé à un examen annuel de toutes les tâches du CWS afin de proposer celles qui devraient être classées comme prioritaires ou mises en suspens pour examen par les membres et les observateurs du CWS en vue de l’allocation future des ressources.</w:t>
      </w:r>
    </w:p>
    <w:p w14:paraId="3EF042CA" w14:textId="6DCDC7D9" w:rsidR="004E0CAF" w:rsidRPr="003F23BB" w:rsidRDefault="004E0CAF" w:rsidP="009B6F12">
      <w:pPr>
        <w:spacing w:after="220"/>
        <w:rPr>
          <w:rFonts w:ascii="Arial" w:hAnsi="Arial" w:cs="Arial"/>
        </w:rPr>
      </w:pPr>
      <w:r>
        <w:rPr>
          <w:rFonts w:ascii="Arial" w:hAnsi="Arial"/>
        </w:rPr>
        <w:t>Les tâches prioritaires sont identifiées comme “essentielles” et “importantes”.  Les tâches “essentielles” sont liées aux normes ou recommandations de l’OMPI qui font actuellement l’objet de discussions entre les offices de propriété intellectuelle en vue d’une mise en œuvre harmonisée.  Les tâches “importantes” sont celles qui sont considérées comme prioritaires en termes d’élaboration ou de révision des normes de l’OMPI ou de partage des pratiques des offices concernant les normes ou recommandations de l’OMPI en 2026.</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110"/>
        <w:gridCol w:w="1701"/>
        <w:gridCol w:w="1418"/>
        <w:gridCol w:w="1417"/>
      </w:tblGrid>
      <w:tr w:rsidR="00915A8B" w:rsidRPr="002B3F16" w14:paraId="289A31BA" w14:textId="67971ED3" w:rsidTr="003F23BB">
        <w:trPr>
          <w:trHeight w:val="144"/>
          <w:tblHeader/>
        </w:trPr>
        <w:tc>
          <w:tcPr>
            <w:tcW w:w="988" w:type="dxa"/>
            <w:noWrap/>
            <w:vAlign w:val="center"/>
            <w:hideMark/>
          </w:tcPr>
          <w:p w14:paraId="4AB3A7BB" w14:textId="71398291" w:rsidR="0010477A" w:rsidRPr="002B3F16" w:rsidRDefault="0010477A" w:rsidP="0001482F">
            <w:pPr>
              <w:spacing w:before="40" w:after="40" w:line="240" w:lineRule="auto"/>
              <w:rPr>
                <w:rFonts w:ascii="Arial" w:eastAsia="Times New Roman" w:hAnsi="Arial" w:cs="Arial"/>
                <w:b/>
                <w:bCs/>
                <w:color w:val="000000"/>
                <w:kern w:val="0"/>
                <w14:ligatures w14:val="none"/>
              </w:rPr>
            </w:pPr>
            <w:r>
              <w:rPr>
                <w:rFonts w:ascii="Arial" w:hAnsi="Arial"/>
                <w:b/>
                <w:color w:val="000000"/>
              </w:rPr>
              <w:t>Tâche n°</w:t>
            </w:r>
          </w:p>
        </w:tc>
        <w:tc>
          <w:tcPr>
            <w:tcW w:w="4110" w:type="dxa"/>
            <w:noWrap/>
            <w:vAlign w:val="center"/>
            <w:hideMark/>
          </w:tcPr>
          <w:p w14:paraId="693684ED" w14:textId="77777777" w:rsidR="0010477A" w:rsidRPr="002B3F16" w:rsidRDefault="0010477A" w:rsidP="0001482F">
            <w:pPr>
              <w:spacing w:before="40" w:after="40" w:line="240" w:lineRule="auto"/>
              <w:rPr>
                <w:rFonts w:ascii="Arial" w:eastAsia="Times New Roman" w:hAnsi="Arial" w:cs="Arial"/>
                <w:b/>
                <w:bCs/>
                <w:color w:val="000000"/>
                <w:kern w:val="0"/>
                <w14:ligatures w14:val="none"/>
              </w:rPr>
            </w:pPr>
            <w:r>
              <w:rPr>
                <w:rFonts w:ascii="Arial" w:hAnsi="Arial"/>
                <w:b/>
                <w:color w:val="000000"/>
              </w:rPr>
              <w:t>Description de la tâche</w:t>
            </w:r>
          </w:p>
        </w:tc>
        <w:tc>
          <w:tcPr>
            <w:tcW w:w="1701" w:type="dxa"/>
            <w:noWrap/>
            <w:vAlign w:val="center"/>
            <w:hideMark/>
          </w:tcPr>
          <w:p w14:paraId="6B9669B0" w14:textId="77777777" w:rsidR="0010477A" w:rsidRPr="002B3F16" w:rsidRDefault="0010477A" w:rsidP="0001482F">
            <w:pPr>
              <w:spacing w:before="40" w:after="40" w:line="240" w:lineRule="auto"/>
              <w:rPr>
                <w:rFonts w:ascii="Arial" w:eastAsia="Times New Roman" w:hAnsi="Arial" w:cs="Arial"/>
                <w:b/>
                <w:bCs/>
                <w:color w:val="000000"/>
                <w:kern w:val="0"/>
                <w14:ligatures w14:val="none"/>
              </w:rPr>
            </w:pPr>
            <w:r>
              <w:rPr>
                <w:rFonts w:ascii="Arial" w:hAnsi="Arial"/>
                <w:b/>
                <w:color w:val="000000"/>
              </w:rPr>
              <w:t>Niveau d’activité</w:t>
            </w:r>
          </w:p>
        </w:tc>
        <w:tc>
          <w:tcPr>
            <w:tcW w:w="1418" w:type="dxa"/>
            <w:noWrap/>
            <w:vAlign w:val="center"/>
            <w:hideMark/>
          </w:tcPr>
          <w:p w14:paraId="04616CDE" w14:textId="77777777" w:rsidR="0010477A" w:rsidRPr="002B3F16" w:rsidRDefault="0010477A" w:rsidP="0001482F">
            <w:pPr>
              <w:spacing w:before="40" w:after="40" w:line="240" w:lineRule="auto"/>
              <w:rPr>
                <w:rFonts w:ascii="Arial" w:eastAsia="Times New Roman" w:hAnsi="Arial" w:cs="Arial"/>
                <w:b/>
                <w:bCs/>
                <w:color w:val="000000"/>
                <w:kern w:val="0"/>
                <w14:ligatures w14:val="none"/>
              </w:rPr>
            </w:pPr>
            <w:r>
              <w:rPr>
                <w:rFonts w:ascii="Arial" w:hAnsi="Arial"/>
                <w:b/>
                <w:color w:val="000000"/>
              </w:rPr>
              <w:t>Complexité</w:t>
            </w:r>
          </w:p>
        </w:tc>
        <w:tc>
          <w:tcPr>
            <w:tcW w:w="1417" w:type="dxa"/>
            <w:vAlign w:val="center"/>
          </w:tcPr>
          <w:p w14:paraId="2B867BA4" w14:textId="4853A6DB" w:rsidR="0010477A" w:rsidRPr="002B3F16" w:rsidRDefault="00567F95" w:rsidP="0001482F">
            <w:pPr>
              <w:spacing w:before="40" w:after="40" w:line="240" w:lineRule="auto"/>
              <w:rPr>
                <w:rFonts w:ascii="Arial" w:eastAsia="Times New Roman" w:hAnsi="Arial" w:cs="Arial"/>
                <w:b/>
                <w:bCs/>
                <w:color w:val="000000"/>
                <w:kern w:val="0"/>
                <w14:ligatures w14:val="none"/>
              </w:rPr>
            </w:pPr>
            <w:r>
              <w:rPr>
                <w:rFonts w:ascii="Arial" w:hAnsi="Arial"/>
                <w:b/>
                <w:color w:val="000000"/>
              </w:rPr>
              <w:t>Priorité</w:t>
            </w:r>
          </w:p>
        </w:tc>
      </w:tr>
      <w:tr w:rsidR="00915A8B" w:rsidRPr="002B3F16" w14:paraId="335D59A0" w14:textId="766F62EF" w:rsidTr="003F23BB">
        <w:trPr>
          <w:trHeight w:val="144"/>
        </w:trPr>
        <w:tc>
          <w:tcPr>
            <w:tcW w:w="988" w:type="dxa"/>
            <w:noWrap/>
            <w:vAlign w:val="center"/>
            <w:hideMark/>
          </w:tcPr>
          <w:p w14:paraId="3E728570" w14:textId="77777777" w:rsidR="0010477A" w:rsidRPr="002B3F16" w:rsidRDefault="0010477A" w:rsidP="0001482F">
            <w:pPr>
              <w:spacing w:before="40" w:after="40" w:line="240" w:lineRule="auto"/>
              <w:rPr>
                <w:rFonts w:ascii="Arial" w:eastAsia="Times New Roman" w:hAnsi="Arial" w:cs="Arial"/>
                <w:color w:val="000000"/>
                <w:kern w:val="0"/>
                <w14:ligatures w14:val="none"/>
              </w:rPr>
            </w:pPr>
            <w:r>
              <w:rPr>
                <w:rFonts w:ascii="Arial" w:hAnsi="Arial"/>
                <w:color w:val="000000"/>
              </w:rPr>
              <w:t>18</w:t>
            </w:r>
          </w:p>
        </w:tc>
        <w:tc>
          <w:tcPr>
            <w:tcW w:w="4110" w:type="dxa"/>
            <w:noWrap/>
            <w:vAlign w:val="center"/>
            <w:hideMark/>
          </w:tcPr>
          <w:p w14:paraId="4A75DD7F" w14:textId="442BF9CA" w:rsidR="0010477A" w:rsidRPr="002B3F16" w:rsidRDefault="0010477A" w:rsidP="0001482F">
            <w:pPr>
              <w:spacing w:before="40" w:after="40" w:line="240" w:lineRule="auto"/>
              <w:rPr>
                <w:rFonts w:ascii="Arial" w:eastAsia="Times New Roman" w:hAnsi="Arial" w:cs="Arial"/>
                <w:color w:val="000000"/>
                <w:kern w:val="0"/>
                <w14:ligatures w14:val="none"/>
              </w:rPr>
            </w:pPr>
            <w:r>
              <w:rPr>
                <w:rFonts w:ascii="Arial" w:hAnsi="Arial"/>
              </w:rPr>
              <w:t>Recenser les domaines de normalisation possibles concernant l’échange de données déchiffrables par machine sur la base de projets envisagés par des organismes tels que les cinq offices de la propriété intellectuelle (dits IP5), les cinq offices de marques (dits TM5), le forum des cinq offices de dessins et modèles industriels (dit ID5), l’ISO, la CEI et d’autres institutions connues de normalisation industrielle.</w:t>
            </w:r>
          </w:p>
        </w:tc>
        <w:tc>
          <w:tcPr>
            <w:tcW w:w="1701" w:type="dxa"/>
            <w:noWrap/>
            <w:vAlign w:val="center"/>
            <w:hideMark/>
          </w:tcPr>
          <w:p w14:paraId="26BF39BD" w14:textId="793BC801" w:rsidR="0010477A" w:rsidRPr="002B3F16" w:rsidRDefault="00A95ED5" w:rsidP="0001482F">
            <w:pPr>
              <w:spacing w:before="40" w:after="40" w:line="240" w:lineRule="auto"/>
              <w:rPr>
                <w:rFonts w:ascii="Arial" w:eastAsia="Times New Roman" w:hAnsi="Arial" w:cs="Arial"/>
                <w:color w:val="000000"/>
                <w:kern w:val="0"/>
                <w14:ligatures w14:val="none"/>
              </w:rPr>
            </w:pPr>
            <w:proofErr w:type="spellStart"/>
            <w:r>
              <w:rPr>
                <w:rFonts w:ascii="Arial" w:hAnsi="Arial"/>
                <w:color w:val="000000"/>
              </w:rPr>
              <w:t>Ad-hoc</w:t>
            </w:r>
            <w:proofErr w:type="spellEnd"/>
          </w:p>
        </w:tc>
        <w:tc>
          <w:tcPr>
            <w:tcW w:w="1418" w:type="dxa"/>
            <w:noWrap/>
            <w:vAlign w:val="center"/>
            <w:hideMark/>
          </w:tcPr>
          <w:p w14:paraId="1116D105" w14:textId="69C70938" w:rsidR="0010477A" w:rsidRPr="002B3F16" w:rsidRDefault="00F20F12" w:rsidP="0001482F">
            <w:pPr>
              <w:spacing w:before="40" w:after="40" w:line="240" w:lineRule="auto"/>
              <w:rPr>
                <w:rFonts w:ascii="Arial" w:eastAsia="Times New Roman" w:hAnsi="Arial" w:cs="Arial"/>
                <w:color w:val="000000"/>
                <w:kern w:val="0"/>
                <w14:ligatures w14:val="none"/>
              </w:rPr>
            </w:pPr>
            <w:r>
              <w:rPr>
                <w:rFonts w:ascii="Arial" w:hAnsi="Arial"/>
                <w:color w:val="000000"/>
              </w:rPr>
              <w:t>Moyenne</w:t>
            </w:r>
          </w:p>
        </w:tc>
        <w:tc>
          <w:tcPr>
            <w:tcW w:w="1417" w:type="dxa"/>
            <w:vAlign w:val="center"/>
          </w:tcPr>
          <w:p w14:paraId="2A33681B" w14:textId="77777777" w:rsidR="0010477A" w:rsidRPr="002B3F16" w:rsidRDefault="0010477A" w:rsidP="0001482F">
            <w:pPr>
              <w:spacing w:before="40" w:after="40" w:line="240" w:lineRule="auto"/>
              <w:rPr>
                <w:rFonts w:ascii="Arial" w:eastAsia="Times New Roman" w:hAnsi="Arial" w:cs="Arial"/>
                <w:color w:val="000000"/>
                <w:kern w:val="0"/>
                <w14:ligatures w14:val="none"/>
              </w:rPr>
            </w:pPr>
          </w:p>
        </w:tc>
      </w:tr>
      <w:tr w:rsidR="00915A8B" w:rsidRPr="002B3F16" w14:paraId="4FF1EBC4" w14:textId="5EF092D4" w:rsidTr="003F23BB">
        <w:trPr>
          <w:trHeight w:val="144"/>
        </w:trPr>
        <w:tc>
          <w:tcPr>
            <w:tcW w:w="988" w:type="dxa"/>
            <w:noWrap/>
            <w:vAlign w:val="center"/>
            <w:hideMark/>
          </w:tcPr>
          <w:p w14:paraId="1F441A6E" w14:textId="77777777" w:rsidR="0010477A" w:rsidRPr="002B3F16" w:rsidRDefault="0010477A" w:rsidP="0001482F">
            <w:pPr>
              <w:spacing w:before="40" w:after="40" w:line="240" w:lineRule="auto"/>
              <w:rPr>
                <w:rFonts w:ascii="Arial" w:eastAsia="Times New Roman" w:hAnsi="Arial" w:cs="Arial"/>
                <w:color w:val="000000"/>
                <w:kern w:val="0"/>
                <w14:ligatures w14:val="none"/>
              </w:rPr>
            </w:pPr>
            <w:r>
              <w:rPr>
                <w:rFonts w:ascii="Arial" w:hAnsi="Arial"/>
                <w:color w:val="000000"/>
              </w:rPr>
              <w:t>24</w:t>
            </w:r>
          </w:p>
        </w:tc>
        <w:tc>
          <w:tcPr>
            <w:tcW w:w="4110" w:type="dxa"/>
            <w:noWrap/>
            <w:vAlign w:val="center"/>
            <w:hideMark/>
          </w:tcPr>
          <w:p w14:paraId="12B6B67F" w14:textId="2CA2069D" w:rsidR="0010477A" w:rsidRPr="002B3F16" w:rsidRDefault="0010477A" w:rsidP="0001482F">
            <w:pPr>
              <w:spacing w:before="40" w:after="40" w:line="240" w:lineRule="auto"/>
              <w:rPr>
                <w:rFonts w:ascii="Arial" w:eastAsia="Times New Roman" w:hAnsi="Arial" w:cs="Arial"/>
                <w:color w:val="000000"/>
                <w:kern w:val="0"/>
                <w14:ligatures w14:val="none"/>
              </w:rPr>
            </w:pPr>
            <w:r>
              <w:rPr>
                <w:rFonts w:ascii="Arial" w:hAnsi="Arial"/>
                <w:color w:val="000000"/>
              </w:rPr>
              <w:t>Recueillir et publier les rapports techniques annuels (ATR/PI, ATR/TM, ATR/ID) sur les activités des membres du CWS dans le domaine de l’information en matière de brevets, de marques et de dessins et modèles industriels.</w:t>
            </w:r>
          </w:p>
        </w:tc>
        <w:tc>
          <w:tcPr>
            <w:tcW w:w="1701" w:type="dxa"/>
            <w:noWrap/>
            <w:vAlign w:val="center"/>
            <w:hideMark/>
          </w:tcPr>
          <w:p w14:paraId="0683D306" w14:textId="571F75D6" w:rsidR="0010477A" w:rsidRPr="002B3F16" w:rsidRDefault="003B0276" w:rsidP="0001482F">
            <w:pPr>
              <w:spacing w:before="40" w:after="40" w:line="240" w:lineRule="auto"/>
              <w:rPr>
                <w:rFonts w:ascii="Arial" w:eastAsia="Times New Roman" w:hAnsi="Arial" w:cs="Arial"/>
                <w:color w:val="000000"/>
                <w:kern w:val="0"/>
                <w14:ligatures w14:val="none"/>
              </w:rPr>
            </w:pPr>
            <w:r>
              <w:rPr>
                <w:rFonts w:ascii="Arial" w:hAnsi="Arial"/>
                <w:color w:val="000000"/>
              </w:rPr>
              <w:t>Active</w:t>
            </w:r>
          </w:p>
        </w:tc>
        <w:tc>
          <w:tcPr>
            <w:tcW w:w="1418" w:type="dxa"/>
            <w:noWrap/>
            <w:vAlign w:val="center"/>
            <w:hideMark/>
          </w:tcPr>
          <w:p w14:paraId="0A433917" w14:textId="77777777" w:rsidR="0010477A" w:rsidRPr="002B3F16" w:rsidRDefault="0010477A" w:rsidP="0001482F">
            <w:pPr>
              <w:spacing w:before="40" w:after="40" w:line="240" w:lineRule="auto"/>
              <w:rPr>
                <w:rFonts w:ascii="Arial" w:eastAsia="Times New Roman" w:hAnsi="Arial" w:cs="Arial"/>
                <w:color w:val="000000"/>
                <w:kern w:val="0"/>
                <w14:ligatures w14:val="none"/>
              </w:rPr>
            </w:pPr>
            <w:r>
              <w:rPr>
                <w:rFonts w:ascii="Arial" w:hAnsi="Arial"/>
                <w:color w:val="000000"/>
              </w:rPr>
              <w:t>Moyenne</w:t>
            </w:r>
          </w:p>
        </w:tc>
        <w:tc>
          <w:tcPr>
            <w:tcW w:w="1417" w:type="dxa"/>
            <w:vAlign w:val="center"/>
          </w:tcPr>
          <w:p w14:paraId="4E3DB105" w14:textId="6CF86755" w:rsidR="0010477A" w:rsidRPr="002B3F16" w:rsidRDefault="00525C74" w:rsidP="0001482F">
            <w:pPr>
              <w:spacing w:before="40" w:after="40" w:line="240" w:lineRule="auto"/>
              <w:rPr>
                <w:rFonts w:ascii="Arial" w:eastAsia="Times New Roman" w:hAnsi="Arial" w:cs="Arial"/>
                <w:color w:val="000000"/>
                <w:kern w:val="0"/>
                <w14:ligatures w14:val="none"/>
              </w:rPr>
            </w:pPr>
            <w:r>
              <w:rPr>
                <w:rFonts w:ascii="Arial" w:hAnsi="Arial"/>
                <w:color w:val="000000"/>
              </w:rPr>
              <w:t>Importante</w:t>
            </w:r>
          </w:p>
        </w:tc>
      </w:tr>
      <w:tr w:rsidR="00915A8B" w:rsidRPr="002B3F16" w14:paraId="390AC8CB" w14:textId="614BC5FA" w:rsidTr="003F23BB">
        <w:trPr>
          <w:trHeight w:val="144"/>
        </w:trPr>
        <w:tc>
          <w:tcPr>
            <w:tcW w:w="988" w:type="dxa"/>
            <w:noWrap/>
            <w:vAlign w:val="center"/>
            <w:hideMark/>
          </w:tcPr>
          <w:p w14:paraId="0EEE91D4" w14:textId="77777777" w:rsidR="0010477A" w:rsidRPr="002B3F16" w:rsidRDefault="0010477A" w:rsidP="0001482F">
            <w:pPr>
              <w:spacing w:before="40" w:after="40" w:line="240" w:lineRule="auto"/>
              <w:rPr>
                <w:rFonts w:ascii="Arial" w:eastAsia="Times New Roman" w:hAnsi="Arial" w:cs="Arial"/>
                <w:color w:val="000000"/>
                <w:kern w:val="0"/>
                <w14:ligatures w14:val="none"/>
              </w:rPr>
            </w:pPr>
            <w:r>
              <w:rPr>
                <w:rFonts w:ascii="Arial" w:hAnsi="Arial"/>
                <w:color w:val="000000"/>
              </w:rPr>
              <w:t>33</w:t>
            </w:r>
          </w:p>
        </w:tc>
        <w:tc>
          <w:tcPr>
            <w:tcW w:w="4110" w:type="dxa"/>
            <w:noWrap/>
            <w:vAlign w:val="center"/>
            <w:hideMark/>
          </w:tcPr>
          <w:p w14:paraId="715D1A66" w14:textId="70338E94" w:rsidR="0010477A" w:rsidRPr="002B3F16" w:rsidRDefault="0010477A" w:rsidP="0001482F">
            <w:pPr>
              <w:spacing w:before="40" w:after="40" w:line="240" w:lineRule="auto"/>
              <w:rPr>
                <w:rFonts w:ascii="Arial" w:eastAsia="Times New Roman" w:hAnsi="Arial" w:cs="Arial"/>
                <w:color w:val="000000"/>
                <w:kern w:val="0"/>
                <w14:ligatures w14:val="none"/>
              </w:rPr>
            </w:pPr>
            <w:r>
              <w:rPr>
                <w:rFonts w:ascii="Arial" w:hAnsi="Arial"/>
                <w:color w:val="000000"/>
              </w:rPr>
              <w:t>Révision permanente des normes de l’OMPI.</w:t>
            </w:r>
          </w:p>
        </w:tc>
        <w:tc>
          <w:tcPr>
            <w:tcW w:w="1701" w:type="dxa"/>
            <w:noWrap/>
            <w:vAlign w:val="center"/>
            <w:hideMark/>
          </w:tcPr>
          <w:p w14:paraId="1BCAB797" w14:textId="5E79F986" w:rsidR="0010477A" w:rsidRPr="002B3F16" w:rsidRDefault="00AA634D" w:rsidP="0001482F">
            <w:pPr>
              <w:spacing w:before="40" w:after="40" w:line="240" w:lineRule="auto"/>
              <w:rPr>
                <w:rFonts w:ascii="Arial" w:eastAsia="Times New Roman" w:hAnsi="Arial" w:cs="Arial"/>
                <w:color w:val="000000"/>
                <w:kern w:val="0"/>
                <w14:ligatures w14:val="none"/>
              </w:rPr>
            </w:pPr>
            <w:proofErr w:type="spellStart"/>
            <w:r>
              <w:rPr>
                <w:rFonts w:ascii="Arial" w:hAnsi="Arial"/>
                <w:color w:val="000000"/>
              </w:rPr>
              <w:t>Ad-hoc</w:t>
            </w:r>
            <w:proofErr w:type="spellEnd"/>
          </w:p>
        </w:tc>
        <w:tc>
          <w:tcPr>
            <w:tcW w:w="1418" w:type="dxa"/>
            <w:noWrap/>
            <w:vAlign w:val="center"/>
            <w:hideMark/>
          </w:tcPr>
          <w:p w14:paraId="4AF1CB23" w14:textId="77777777" w:rsidR="0010477A" w:rsidRPr="002B3F16" w:rsidRDefault="0010477A" w:rsidP="0001482F">
            <w:pPr>
              <w:spacing w:before="40" w:after="40" w:line="240" w:lineRule="auto"/>
              <w:rPr>
                <w:rFonts w:ascii="Arial" w:eastAsia="Times New Roman" w:hAnsi="Arial" w:cs="Arial"/>
                <w:color w:val="000000"/>
                <w:kern w:val="0"/>
                <w14:ligatures w14:val="none"/>
              </w:rPr>
            </w:pPr>
            <w:r>
              <w:rPr>
                <w:rFonts w:ascii="Arial" w:hAnsi="Arial"/>
                <w:color w:val="000000"/>
              </w:rPr>
              <w:t>Moyenne</w:t>
            </w:r>
          </w:p>
        </w:tc>
        <w:tc>
          <w:tcPr>
            <w:tcW w:w="1417" w:type="dxa"/>
            <w:vAlign w:val="center"/>
          </w:tcPr>
          <w:p w14:paraId="32F6F9B7" w14:textId="06C9E024" w:rsidR="0010477A" w:rsidRPr="002B3F16" w:rsidRDefault="0010477A" w:rsidP="0001482F">
            <w:pPr>
              <w:spacing w:before="40" w:after="40" w:line="240" w:lineRule="auto"/>
              <w:rPr>
                <w:rFonts w:ascii="Arial" w:eastAsia="Times New Roman" w:hAnsi="Arial" w:cs="Arial"/>
                <w:color w:val="000000"/>
                <w:kern w:val="0"/>
                <w14:ligatures w14:val="none"/>
              </w:rPr>
            </w:pPr>
          </w:p>
        </w:tc>
      </w:tr>
      <w:tr w:rsidR="00915A8B" w:rsidRPr="002B3F16" w14:paraId="7C844EE5" w14:textId="7716A7FE" w:rsidTr="003F23BB">
        <w:trPr>
          <w:trHeight w:val="144"/>
        </w:trPr>
        <w:tc>
          <w:tcPr>
            <w:tcW w:w="988" w:type="dxa"/>
            <w:noWrap/>
            <w:vAlign w:val="center"/>
            <w:hideMark/>
          </w:tcPr>
          <w:p w14:paraId="6DC5EDBC" w14:textId="77777777" w:rsidR="0010477A" w:rsidRPr="002B3F16" w:rsidRDefault="0010477A" w:rsidP="0001482F">
            <w:pPr>
              <w:spacing w:before="40" w:after="40" w:line="240" w:lineRule="auto"/>
              <w:rPr>
                <w:rFonts w:ascii="Arial" w:eastAsia="Times New Roman" w:hAnsi="Arial" w:cs="Arial"/>
                <w:color w:val="000000"/>
                <w:kern w:val="0"/>
                <w14:ligatures w14:val="none"/>
              </w:rPr>
            </w:pPr>
            <w:r>
              <w:rPr>
                <w:rFonts w:ascii="Arial" w:hAnsi="Arial"/>
                <w:color w:val="000000"/>
              </w:rPr>
              <w:t>33/3</w:t>
            </w:r>
          </w:p>
        </w:tc>
        <w:tc>
          <w:tcPr>
            <w:tcW w:w="4110" w:type="dxa"/>
            <w:noWrap/>
            <w:vAlign w:val="center"/>
            <w:hideMark/>
          </w:tcPr>
          <w:p w14:paraId="5D3E24E7" w14:textId="0FE730B2" w:rsidR="0010477A" w:rsidRPr="002B3F16" w:rsidRDefault="0010477A" w:rsidP="0001482F">
            <w:pPr>
              <w:spacing w:before="40" w:after="40" w:line="240" w:lineRule="auto"/>
              <w:rPr>
                <w:rFonts w:ascii="Arial" w:eastAsia="Times New Roman" w:hAnsi="Arial" w:cs="Arial"/>
                <w:color w:val="000000"/>
                <w:kern w:val="0"/>
                <w14:ligatures w14:val="none"/>
              </w:rPr>
            </w:pPr>
            <w:r>
              <w:rPr>
                <w:rFonts w:ascii="Arial" w:hAnsi="Arial"/>
                <w:color w:val="000000"/>
              </w:rPr>
              <w:t>Révision permanente de la norme ST.3 de l’OMPI.</w:t>
            </w:r>
          </w:p>
        </w:tc>
        <w:tc>
          <w:tcPr>
            <w:tcW w:w="1701" w:type="dxa"/>
            <w:noWrap/>
            <w:vAlign w:val="center"/>
            <w:hideMark/>
          </w:tcPr>
          <w:p w14:paraId="341AA96E" w14:textId="5B9190A6" w:rsidR="0010477A" w:rsidRPr="002B3F16" w:rsidRDefault="00AA634D" w:rsidP="0001482F">
            <w:pPr>
              <w:spacing w:before="40" w:after="40" w:line="240" w:lineRule="auto"/>
              <w:rPr>
                <w:rFonts w:ascii="Arial" w:eastAsia="Times New Roman" w:hAnsi="Arial" w:cs="Arial"/>
                <w:color w:val="000000"/>
                <w:kern w:val="0"/>
                <w14:ligatures w14:val="none"/>
              </w:rPr>
            </w:pPr>
            <w:proofErr w:type="spellStart"/>
            <w:r>
              <w:rPr>
                <w:rFonts w:ascii="Arial" w:hAnsi="Arial"/>
                <w:color w:val="000000"/>
              </w:rPr>
              <w:t>Ad-hoc</w:t>
            </w:r>
            <w:proofErr w:type="spellEnd"/>
          </w:p>
        </w:tc>
        <w:tc>
          <w:tcPr>
            <w:tcW w:w="1418" w:type="dxa"/>
            <w:noWrap/>
            <w:vAlign w:val="center"/>
            <w:hideMark/>
          </w:tcPr>
          <w:p w14:paraId="7DE2AFEF" w14:textId="7A6725F0" w:rsidR="0010477A" w:rsidRPr="002B3F16" w:rsidRDefault="00E77E88" w:rsidP="0001482F">
            <w:pPr>
              <w:spacing w:before="40" w:after="40" w:line="240" w:lineRule="auto"/>
              <w:rPr>
                <w:rFonts w:ascii="Arial" w:eastAsia="Times New Roman" w:hAnsi="Arial" w:cs="Arial"/>
                <w:color w:val="000000"/>
                <w:kern w:val="0"/>
                <w14:ligatures w14:val="none"/>
              </w:rPr>
            </w:pPr>
            <w:r>
              <w:rPr>
                <w:rFonts w:ascii="Arial" w:hAnsi="Arial"/>
                <w:color w:val="000000"/>
              </w:rPr>
              <w:t>Faible</w:t>
            </w:r>
          </w:p>
        </w:tc>
        <w:tc>
          <w:tcPr>
            <w:tcW w:w="1417" w:type="dxa"/>
            <w:vAlign w:val="center"/>
          </w:tcPr>
          <w:p w14:paraId="3B37BD0D" w14:textId="77777777" w:rsidR="0010477A" w:rsidRPr="002B3F16" w:rsidRDefault="0010477A" w:rsidP="0001482F">
            <w:pPr>
              <w:spacing w:before="40" w:after="40" w:line="240" w:lineRule="auto"/>
              <w:rPr>
                <w:rFonts w:ascii="Arial" w:eastAsia="Times New Roman" w:hAnsi="Arial" w:cs="Arial"/>
                <w:color w:val="000000"/>
                <w:kern w:val="0"/>
                <w14:ligatures w14:val="none"/>
              </w:rPr>
            </w:pPr>
          </w:p>
        </w:tc>
      </w:tr>
      <w:tr w:rsidR="00915A8B" w:rsidRPr="002B3F16" w14:paraId="58B19154" w14:textId="0B8BC93F" w:rsidTr="003F23BB">
        <w:trPr>
          <w:trHeight w:val="144"/>
        </w:trPr>
        <w:tc>
          <w:tcPr>
            <w:tcW w:w="988" w:type="dxa"/>
            <w:noWrap/>
            <w:vAlign w:val="center"/>
            <w:hideMark/>
          </w:tcPr>
          <w:p w14:paraId="7AD396C2" w14:textId="77777777" w:rsidR="0010477A" w:rsidRPr="002B3F16" w:rsidRDefault="0010477A" w:rsidP="0001482F">
            <w:pPr>
              <w:spacing w:before="40" w:after="40" w:line="240" w:lineRule="auto"/>
              <w:rPr>
                <w:rFonts w:ascii="Arial" w:eastAsia="Times New Roman" w:hAnsi="Arial" w:cs="Arial"/>
                <w:color w:val="000000"/>
                <w:kern w:val="0"/>
                <w14:ligatures w14:val="none"/>
              </w:rPr>
            </w:pPr>
            <w:r>
              <w:rPr>
                <w:rFonts w:ascii="Arial" w:hAnsi="Arial"/>
                <w:color w:val="000000"/>
              </w:rPr>
              <w:t>41</w:t>
            </w:r>
          </w:p>
        </w:tc>
        <w:tc>
          <w:tcPr>
            <w:tcW w:w="4110" w:type="dxa"/>
            <w:noWrap/>
            <w:vAlign w:val="center"/>
            <w:hideMark/>
          </w:tcPr>
          <w:p w14:paraId="224B7C27" w14:textId="661A98F1" w:rsidR="0010477A" w:rsidRPr="002B3F16" w:rsidRDefault="0010477A" w:rsidP="0001482F">
            <w:pPr>
              <w:spacing w:before="40" w:after="40" w:line="240" w:lineRule="auto"/>
              <w:rPr>
                <w:rFonts w:ascii="Arial" w:eastAsia="Times New Roman" w:hAnsi="Arial" w:cs="Arial"/>
                <w:color w:val="000000"/>
                <w:kern w:val="0"/>
                <w14:ligatures w14:val="none"/>
              </w:rPr>
            </w:pPr>
            <w:r>
              <w:rPr>
                <w:rFonts w:ascii="Arial" w:hAnsi="Arial"/>
                <w:color w:val="000000"/>
              </w:rPr>
              <w:t>Procéder aux révisions et mises à jour nécessaires des normes ST.36, ST.66, ST.86 et ST.96 de l’OMPI;  et appuyer la mise en œuvre de ces normes.</w:t>
            </w:r>
          </w:p>
        </w:tc>
        <w:tc>
          <w:tcPr>
            <w:tcW w:w="1701" w:type="dxa"/>
            <w:noWrap/>
            <w:vAlign w:val="center"/>
            <w:hideMark/>
          </w:tcPr>
          <w:p w14:paraId="44E69865" w14:textId="10A12ADB" w:rsidR="0010477A" w:rsidRPr="002B3F16" w:rsidRDefault="003B0276" w:rsidP="0001482F">
            <w:pPr>
              <w:spacing w:before="40" w:after="40" w:line="240" w:lineRule="auto"/>
              <w:rPr>
                <w:rFonts w:ascii="Arial" w:eastAsia="Times New Roman" w:hAnsi="Arial" w:cs="Arial"/>
                <w:color w:val="000000"/>
                <w:kern w:val="0"/>
                <w14:ligatures w14:val="none"/>
              </w:rPr>
            </w:pPr>
            <w:r>
              <w:rPr>
                <w:rFonts w:ascii="Arial" w:hAnsi="Arial"/>
                <w:color w:val="000000"/>
              </w:rPr>
              <w:t>Très active</w:t>
            </w:r>
          </w:p>
        </w:tc>
        <w:tc>
          <w:tcPr>
            <w:tcW w:w="1418" w:type="dxa"/>
            <w:noWrap/>
            <w:vAlign w:val="center"/>
            <w:hideMark/>
          </w:tcPr>
          <w:p w14:paraId="5D712552" w14:textId="1A37716C" w:rsidR="0010477A" w:rsidRPr="002B3F16" w:rsidRDefault="00E77E88" w:rsidP="0001482F">
            <w:pPr>
              <w:spacing w:before="40" w:after="40" w:line="240" w:lineRule="auto"/>
              <w:rPr>
                <w:rFonts w:ascii="Arial" w:eastAsia="Times New Roman" w:hAnsi="Arial" w:cs="Arial"/>
                <w:color w:val="000000"/>
                <w:kern w:val="0"/>
                <w14:ligatures w14:val="none"/>
              </w:rPr>
            </w:pPr>
            <w:r>
              <w:rPr>
                <w:rFonts w:ascii="Arial" w:hAnsi="Arial"/>
                <w:color w:val="000000"/>
              </w:rPr>
              <w:t>Élevée</w:t>
            </w:r>
          </w:p>
        </w:tc>
        <w:tc>
          <w:tcPr>
            <w:tcW w:w="1417" w:type="dxa"/>
            <w:vAlign w:val="center"/>
          </w:tcPr>
          <w:p w14:paraId="0CB41E0D" w14:textId="11F5DA85" w:rsidR="0010477A" w:rsidRPr="002B3F16" w:rsidRDefault="00525C74" w:rsidP="0001482F">
            <w:pPr>
              <w:spacing w:before="40" w:after="40" w:line="240" w:lineRule="auto"/>
              <w:rPr>
                <w:rFonts w:ascii="Arial" w:eastAsia="Times New Roman" w:hAnsi="Arial" w:cs="Arial"/>
                <w:color w:val="000000"/>
                <w:kern w:val="0"/>
                <w14:ligatures w14:val="none"/>
              </w:rPr>
            </w:pPr>
            <w:r>
              <w:rPr>
                <w:rFonts w:ascii="Arial" w:hAnsi="Arial"/>
                <w:color w:val="000000"/>
              </w:rPr>
              <w:t>Importante</w:t>
            </w:r>
          </w:p>
        </w:tc>
      </w:tr>
      <w:tr w:rsidR="00915A8B" w:rsidRPr="002B3F16" w14:paraId="0D20C6B6" w14:textId="77777777" w:rsidTr="003F23BB">
        <w:trPr>
          <w:trHeight w:val="144"/>
        </w:trPr>
        <w:tc>
          <w:tcPr>
            <w:tcW w:w="988" w:type="dxa"/>
            <w:noWrap/>
            <w:vAlign w:val="center"/>
          </w:tcPr>
          <w:p w14:paraId="53972DEE" w14:textId="51DB0F19" w:rsidR="00994AC0" w:rsidRPr="002B3F16" w:rsidRDefault="00994AC0" w:rsidP="0001482F">
            <w:pPr>
              <w:keepNext/>
              <w:keepLines/>
              <w:spacing w:before="40" w:after="40" w:line="240" w:lineRule="auto"/>
              <w:rPr>
                <w:rFonts w:ascii="Arial" w:eastAsia="Times New Roman" w:hAnsi="Arial" w:cs="Arial"/>
                <w:color w:val="000000"/>
                <w:kern w:val="0"/>
                <w14:ligatures w14:val="none"/>
              </w:rPr>
            </w:pPr>
            <w:r>
              <w:rPr>
                <w:rFonts w:ascii="Arial" w:hAnsi="Arial"/>
                <w:color w:val="000000"/>
              </w:rPr>
              <w:lastRenderedPageBreak/>
              <w:t>43</w:t>
            </w:r>
          </w:p>
        </w:tc>
        <w:tc>
          <w:tcPr>
            <w:tcW w:w="4110" w:type="dxa"/>
            <w:noWrap/>
            <w:vAlign w:val="center"/>
          </w:tcPr>
          <w:p w14:paraId="69C9E803" w14:textId="06CFDECB" w:rsidR="00994AC0" w:rsidRPr="002B3F16" w:rsidRDefault="00A61192" w:rsidP="0001482F">
            <w:pPr>
              <w:keepNext/>
              <w:spacing w:before="40" w:after="40" w:line="240" w:lineRule="auto"/>
              <w:rPr>
                <w:rFonts w:ascii="Arial" w:eastAsia="Times New Roman" w:hAnsi="Arial" w:cs="Arial"/>
                <w:color w:val="000000"/>
                <w:kern w:val="0"/>
                <w14:ligatures w14:val="none"/>
              </w:rPr>
            </w:pPr>
            <w:r>
              <w:rPr>
                <w:rFonts w:ascii="Arial" w:hAnsi="Arial"/>
                <w:color w:val="000000"/>
              </w:rPr>
              <w:t>Établir des principes directeurs, que devront suivre les offices de propriété industrielle, en ce qui concerne la numérotation des paragraphes, les longs paragraphes et la présentation cohérente des documents de brevet.</w:t>
            </w:r>
          </w:p>
        </w:tc>
        <w:tc>
          <w:tcPr>
            <w:tcW w:w="1701" w:type="dxa"/>
            <w:noWrap/>
            <w:vAlign w:val="center"/>
          </w:tcPr>
          <w:p w14:paraId="01D6BD9E" w14:textId="16C4CA6C" w:rsidR="00994AC0" w:rsidRPr="002B3F16" w:rsidRDefault="00994AC0" w:rsidP="0001482F">
            <w:pPr>
              <w:keepNext/>
              <w:keepLines/>
              <w:spacing w:before="40" w:after="40" w:line="240" w:lineRule="auto"/>
              <w:rPr>
                <w:rFonts w:ascii="Arial" w:eastAsia="Times New Roman" w:hAnsi="Arial" w:cs="Arial"/>
                <w:color w:val="000000"/>
                <w:kern w:val="0"/>
                <w14:ligatures w14:val="none"/>
              </w:rPr>
            </w:pPr>
            <w:r>
              <w:rPr>
                <w:rFonts w:ascii="Arial" w:hAnsi="Arial"/>
                <w:color w:val="000000"/>
              </w:rPr>
              <w:t>En suspens</w:t>
            </w:r>
          </w:p>
        </w:tc>
        <w:tc>
          <w:tcPr>
            <w:tcW w:w="1418" w:type="dxa"/>
            <w:noWrap/>
            <w:vAlign w:val="center"/>
          </w:tcPr>
          <w:p w14:paraId="263519E9" w14:textId="13D8CBC1" w:rsidR="00994AC0" w:rsidRPr="002B3F16" w:rsidRDefault="006662B9" w:rsidP="0001482F">
            <w:pPr>
              <w:keepNext/>
              <w:keepLines/>
              <w:spacing w:before="40" w:after="40" w:line="240" w:lineRule="auto"/>
              <w:rPr>
                <w:rFonts w:ascii="Arial" w:eastAsia="Times New Roman" w:hAnsi="Arial" w:cs="Arial"/>
                <w:color w:val="000000"/>
                <w:kern w:val="0"/>
                <w14:ligatures w14:val="none"/>
              </w:rPr>
            </w:pPr>
            <w:r>
              <w:rPr>
                <w:rFonts w:ascii="Arial" w:hAnsi="Arial"/>
                <w:color w:val="000000"/>
              </w:rPr>
              <w:t>Sans objet</w:t>
            </w:r>
          </w:p>
        </w:tc>
        <w:tc>
          <w:tcPr>
            <w:tcW w:w="1417" w:type="dxa"/>
            <w:vAlign w:val="center"/>
          </w:tcPr>
          <w:p w14:paraId="5E2FCC5F" w14:textId="77777777" w:rsidR="00994AC0" w:rsidRDefault="00994AC0" w:rsidP="0001482F">
            <w:pPr>
              <w:keepNext/>
              <w:keepLines/>
              <w:spacing w:before="40" w:after="40" w:line="240" w:lineRule="auto"/>
              <w:rPr>
                <w:rFonts w:ascii="Arial" w:eastAsia="Times New Roman" w:hAnsi="Arial" w:cs="Arial"/>
                <w:color w:val="000000"/>
                <w:kern w:val="0"/>
                <w14:ligatures w14:val="none"/>
              </w:rPr>
            </w:pPr>
          </w:p>
        </w:tc>
      </w:tr>
      <w:tr w:rsidR="00915A8B" w:rsidRPr="002B3F16" w14:paraId="6752C799" w14:textId="57A663F3" w:rsidTr="003F23BB">
        <w:trPr>
          <w:trHeight w:val="144"/>
        </w:trPr>
        <w:tc>
          <w:tcPr>
            <w:tcW w:w="988" w:type="dxa"/>
            <w:noWrap/>
            <w:vAlign w:val="center"/>
            <w:hideMark/>
          </w:tcPr>
          <w:p w14:paraId="7A01552B" w14:textId="77777777" w:rsidR="0010477A" w:rsidRPr="002B3F16" w:rsidRDefault="0010477A" w:rsidP="0001482F">
            <w:pPr>
              <w:keepLines/>
              <w:spacing w:before="40" w:after="40" w:line="240" w:lineRule="auto"/>
              <w:rPr>
                <w:rFonts w:ascii="Arial" w:eastAsia="Times New Roman" w:hAnsi="Arial" w:cs="Arial"/>
                <w:color w:val="000000"/>
                <w:kern w:val="0"/>
                <w14:ligatures w14:val="none"/>
              </w:rPr>
            </w:pPr>
            <w:r>
              <w:rPr>
                <w:rFonts w:ascii="Arial" w:hAnsi="Arial"/>
                <w:color w:val="000000"/>
              </w:rPr>
              <w:t>44</w:t>
            </w:r>
          </w:p>
        </w:tc>
        <w:tc>
          <w:tcPr>
            <w:tcW w:w="4110" w:type="dxa"/>
            <w:noWrap/>
            <w:vAlign w:val="center"/>
            <w:hideMark/>
          </w:tcPr>
          <w:p w14:paraId="202D5500" w14:textId="24AD755C" w:rsidR="0010477A" w:rsidRPr="002B3F16" w:rsidRDefault="0010477A" w:rsidP="0001482F">
            <w:pPr>
              <w:keepLines/>
              <w:spacing w:before="40" w:after="40" w:line="240" w:lineRule="auto"/>
              <w:rPr>
                <w:rFonts w:ascii="Arial" w:eastAsia="Times New Roman" w:hAnsi="Arial" w:cs="Arial"/>
                <w:color w:val="000000"/>
                <w:kern w:val="0"/>
                <w14:ligatures w14:val="none"/>
              </w:rPr>
            </w:pPr>
            <w:r>
              <w:rPr>
                <w:rFonts w:ascii="Arial" w:hAnsi="Arial"/>
                <w:color w:val="000000"/>
              </w:rPr>
              <w:t xml:space="preserve">Fournir un appui au Bureau international en testant les nouvelles versions en fonction des ressources disponibles, et en lui communiquant les commentaires des utilisateurs sur la suite logicielle WIPO </w:t>
            </w:r>
            <w:proofErr w:type="spellStart"/>
            <w:r>
              <w:rPr>
                <w:rFonts w:ascii="Arial" w:hAnsi="Arial"/>
                <w:color w:val="000000"/>
              </w:rPr>
              <w:t>Sequence</w:t>
            </w:r>
            <w:proofErr w:type="spellEnd"/>
            <w:r>
              <w:rPr>
                <w:rFonts w:ascii="Arial" w:hAnsi="Arial"/>
                <w:color w:val="000000"/>
              </w:rPr>
              <w:t>; et préparer les révisions à apporter à la norme ST.26 de l’OMPI.</w:t>
            </w:r>
          </w:p>
        </w:tc>
        <w:tc>
          <w:tcPr>
            <w:tcW w:w="1701" w:type="dxa"/>
            <w:noWrap/>
            <w:vAlign w:val="center"/>
            <w:hideMark/>
          </w:tcPr>
          <w:p w14:paraId="06229694" w14:textId="1FCCD452" w:rsidR="0010477A" w:rsidRPr="002B3F16" w:rsidRDefault="003B0276" w:rsidP="0001482F">
            <w:pPr>
              <w:keepLines/>
              <w:spacing w:before="40" w:after="40" w:line="240" w:lineRule="auto"/>
              <w:rPr>
                <w:rFonts w:ascii="Arial" w:eastAsia="Times New Roman" w:hAnsi="Arial" w:cs="Arial"/>
                <w:color w:val="000000"/>
                <w:kern w:val="0"/>
                <w14:ligatures w14:val="none"/>
              </w:rPr>
            </w:pPr>
            <w:r>
              <w:rPr>
                <w:rFonts w:ascii="Arial" w:hAnsi="Arial"/>
                <w:color w:val="000000"/>
              </w:rPr>
              <w:t>Très active</w:t>
            </w:r>
          </w:p>
        </w:tc>
        <w:tc>
          <w:tcPr>
            <w:tcW w:w="1418" w:type="dxa"/>
            <w:noWrap/>
            <w:vAlign w:val="center"/>
            <w:hideMark/>
          </w:tcPr>
          <w:p w14:paraId="77F75A5E" w14:textId="24FA24D8" w:rsidR="0010477A" w:rsidRPr="002B3F16" w:rsidRDefault="00A47E45" w:rsidP="0001482F">
            <w:pPr>
              <w:keepLines/>
              <w:spacing w:before="40" w:after="40" w:line="240" w:lineRule="auto"/>
              <w:rPr>
                <w:rFonts w:ascii="Arial" w:eastAsia="Times New Roman" w:hAnsi="Arial" w:cs="Arial"/>
                <w:color w:val="000000"/>
                <w:kern w:val="0"/>
                <w14:ligatures w14:val="none"/>
              </w:rPr>
            </w:pPr>
            <w:r>
              <w:rPr>
                <w:rFonts w:ascii="Arial" w:hAnsi="Arial"/>
                <w:color w:val="000000"/>
              </w:rPr>
              <w:t>Élevée</w:t>
            </w:r>
          </w:p>
        </w:tc>
        <w:tc>
          <w:tcPr>
            <w:tcW w:w="1417" w:type="dxa"/>
            <w:vAlign w:val="center"/>
          </w:tcPr>
          <w:p w14:paraId="255535B9" w14:textId="0FFA0384" w:rsidR="0010477A" w:rsidRPr="002B3F16" w:rsidRDefault="00396263" w:rsidP="0001482F">
            <w:pPr>
              <w:keepLines/>
              <w:spacing w:before="40" w:after="40" w:line="240" w:lineRule="auto"/>
              <w:rPr>
                <w:rFonts w:ascii="Arial" w:eastAsia="Times New Roman" w:hAnsi="Arial" w:cs="Arial"/>
                <w:color w:val="000000"/>
                <w:kern w:val="0"/>
                <w14:ligatures w14:val="none"/>
              </w:rPr>
            </w:pPr>
            <w:r>
              <w:rPr>
                <w:rFonts w:ascii="Arial" w:hAnsi="Arial"/>
              </w:rPr>
              <w:t>Essentielle</w:t>
            </w:r>
          </w:p>
        </w:tc>
      </w:tr>
      <w:tr w:rsidR="00BF25F0" w:rsidRPr="002B3F16" w14:paraId="31655682" w14:textId="77777777" w:rsidTr="003F23BB">
        <w:trPr>
          <w:trHeight w:val="144"/>
        </w:trPr>
        <w:tc>
          <w:tcPr>
            <w:tcW w:w="988" w:type="dxa"/>
            <w:noWrap/>
            <w:vAlign w:val="center"/>
          </w:tcPr>
          <w:p w14:paraId="4DA3FB30" w14:textId="33060044" w:rsidR="00BF25F0" w:rsidRDefault="00BF25F0" w:rsidP="0001482F">
            <w:pPr>
              <w:spacing w:before="40" w:after="40" w:line="240" w:lineRule="auto"/>
              <w:rPr>
                <w:rFonts w:ascii="Arial" w:hAnsi="Arial"/>
                <w:color w:val="000000"/>
              </w:rPr>
            </w:pPr>
            <w:r>
              <w:rPr>
                <w:rFonts w:ascii="Arial" w:hAnsi="Arial"/>
                <w:color w:val="000000"/>
              </w:rPr>
              <w:t>47</w:t>
            </w:r>
          </w:p>
        </w:tc>
        <w:tc>
          <w:tcPr>
            <w:tcW w:w="4110" w:type="dxa"/>
            <w:noWrap/>
            <w:vAlign w:val="center"/>
          </w:tcPr>
          <w:p w14:paraId="26E82CA4" w14:textId="0844F7D0" w:rsidR="00BF25F0" w:rsidRDefault="00BF25F0" w:rsidP="0001482F">
            <w:pPr>
              <w:spacing w:before="40" w:after="40" w:line="240" w:lineRule="auto"/>
              <w:rPr>
                <w:rFonts w:ascii="Arial" w:hAnsi="Arial"/>
                <w:color w:val="000000"/>
              </w:rPr>
            </w:pPr>
            <w:r>
              <w:rPr>
                <w:rFonts w:ascii="Arial" w:hAnsi="Arial"/>
                <w:color w:val="000000"/>
              </w:rPr>
              <w:t>Procéder aux révisions et mises à jour nécessaires des normes ST.27, ST.87 et ST.61 de l’OMPI; établir des documents d’orientation concernant l’utilisation de ces normes au sein de la communauté de la propriété intellectuelle; et aider l’Équipe d’experts chargée de la norme XML4IP à élaborer des éléments de schéma XML pour les données relatives à la situation juridique.</w:t>
            </w:r>
          </w:p>
        </w:tc>
        <w:tc>
          <w:tcPr>
            <w:tcW w:w="1701" w:type="dxa"/>
            <w:noWrap/>
            <w:vAlign w:val="center"/>
          </w:tcPr>
          <w:p w14:paraId="34055F01" w14:textId="58E3A880" w:rsidR="00BF25F0" w:rsidRDefault="00BF25F0" w:rsidP="0001482F">
            <w:pPr>
              <w:spacing w:before="40" w:after="40" w:line="240" w:lineRule="auto"/>
              <w:rPr>
                <w:rFonts w:ascii="Arial" w:hAnsi="Arial"/>
                <w:color w:val="000000"/>
              </w:rPr>
            </w:pPr>
            <w:r>
              <w:rPr>
                <w:rFonts w:ascii="Arial" w:hAnsi="Arial"/>
                <w:color w:val="000000"/>
              </w:rPr>
              <w:t>Active</w:t>
            </w:r>
          </w:p>
        </w:tc>
        <w:tc>
          <w:tcPr>
            <w:tcW w:w="1418" w:type="dxa"/>
            <w:noWrap/>
            <w:vAlign w:val="center"/>
          </w:tcPr>
          <w:p w14:paraId="4D1A7185" w14:textId="30C40A59" w:rsidR="00BF25F0" w:rsidRDefault="00BF25F0" w:rsidP="0001482F">
            <w:pPr>
              <w:spacing w:before="40" w:after="40" w:line="240" w:lineRule="auto"/>
              <w:rPr>
                <w:rFonts w:ascii="Arial" w:hAnsi="Arial"/>
                <w:color w:val="000000"/>
              </w:rPr>
            </w:pPr>
            <w:r>
              <w:rPr>
                <w:rFonts w:ascii="Arial" w:hAnsi="Arial"/>
                <w:color w:val="000000"/>
              </w:rPr>
              <w:t>Moyenne</w:t>
            </w:r>
          </w:p>
        </w:tc>
        <w:tc>
          <w:tcPr>
            <w:tcW w:w="1417" w:type="dxa"/>
            <w:vAlign w:val="center"/>
          </w:tcPr>
          <w:p w14:paraId="0A81D216" w14:textId="6BCDB59F" w:rsidR="00BF25F0" w:rsidRDefault="00BF25F0" w:rsidP="0001482F">
            <w:pPr>
              <w:spacing w:before="40" w:after="40" w:line="240" w:lineRule="auto"/>
              <w:rPr>
                <w:rFonts w:ascii="Arial" w:hAnsi="Arial"/>
              </w:rPr>
            </w:pPr>
            <w:r>
              <w:rPr>
                <w:rFonts w:ascii="Arial" w:hAnsi="Arial"/>
                <w:color w:val="000000"/>
              </w:rPr>
              <w:t>Importante</w:t>
            </w:r>
          </w:p>
        </w:tc>
      </w:tr>
      <w:tr w:rsidR="00BF25F0" w:rsidRPr="002B3F16" w14:paraId="70E60E51" w14:textId="77777777" w:rsidTr="003F23BB">
        <w:trPr>
          <w:trHeight w:val="144"/>
        </w:trPr>
        <w:tc>
          <w:tcPr>
            <w:tcW w:w="988" w:type="dxa"/>
            <w:noWrap/>
            <w:vAlign w:val="center"/>
          </w:tcPr>
          <w:p w14:paraId="414DC823" w14:textId="28011CF4" w:rsidR="00BF25F0" w:rsidRDefault="00BF25F0" w:rsidP="0001482F">
            <w:pPr>
              <w:spacing w:before="40" w:after="40" w:line="240" w:lineRule="auto"/>
              <w:rPr>
                <w:rFonts w:ascii="Arial" w:hAnsi="Arial"/>
                <w:color w:val="000000"/>
              </w:rPr>
            </w:pPr>
            <w:r>
              <w:rPr>
                <w:rFonts w:ascii="Arial" w:hAnsi="Arial"/>
                <w:color w:val="000000"/>
              </w:rPr>
              <w:t>50</w:t>
            </w:r>
          </w:p>
        </w:tc>
        <w:tc>
          <w:tcPr>
            <w:tcW w:w="4110" w:type="dxa"/>
            <w:noWrap/>
            <w:vAlign w:val="center"/>
          </w:tcPr>
          <w:p w14:paraId="6003C14D" w14:textId="4DC0731D" w:rsidR="00BF25F0" w:rsidRDefault="00BF25F0" w:rsidP="0001482F">
            <w:pPr>
              <w:spacing w:before="40" w:after="40" w:line="240" w:lineRule="auto"/>
              <w:rPr>
                <w:rFonts w:ascii="Arial" w:hAnsi="Arial"/>
                <w:color w:val="000000"/>
              </w:rPr>
            </w:pPr>
            <w:r>
              <w:rPr>
                <w:rFonts w:ascii="Arial" w:hAnsi="Arial"/>
                <w:color w:val="000000"/>
              </w:rPr>
              <w:t>Assurer la tenue et la mise à jour nécessaires des enquêtes publiées dans la septième partie du Manuel de l’OMPI sur l’information et la documentation en matière de propriété intellectuelle.</w:t>
            </w:r>
          </w:p>
        </w:tc>
        <w:tc>
          <w:tcPr>
            <w:tcW w:w="1701" w:type="dxa"/>
            <w:noWrap/>
            <w:vAlign w:val="center"/>
          </w:tcPr>
          <w:p w14:paraId="0B1B97F8" w14:textId="6B0CFB65" w:rsidR="00BF25F0" w:rsidRDefault="00BF25F0" w:rsidP="0001482F">
            <w:pPr>
              <w:spacing w:before="40" w:after="40" w:line="240" w:lineRule="auto"/>
              <w:rPr>
                <w:rFonts w:ascii="Arial" w:hAnsi="Arial"/>
                <w:color w:val="000000"/>
              </w:rPr>
            </w:pPr>
            <w:r>
              <w:rPr>
                <w:rFonts w:ascii="Arial" w:hAnsi="Arial"/>
                <w:color w:val="000000"/>
              </w:rPr>
              <w:t>Active</w:t>
            </w:r>
          </w:p>
        </w:tc>
        <w:tc>
          <w:tcPr>
            <w:tcW w:w="1418" w:type="dxa"/>
            <w:noWrap/>
            <w:vAlign w:val="center"/>
          </w:tcPr>
          <w:p w14:paraId="3CA1B546" w14:textId="6C15460D" w:rsidR="00BF25F0" w:rsidRDefault="00BF25F0" w:rsidP="0001482F">
            <w:pPr>
              <w:spacing w:before="40" w:after="40" w:line="240" w:lineRule="auto"/>
              <w:rPr>
                <w:rFonts w:ascii="Arial" w:hAnsi="Arial"/>
                <w:color w:val="000000"/>
              </w:rPr>
            </w:pPr>
            <w:r>
              <w:rPr>
                <w:rFonts w:ascii="Arial" w:hAnsi="Arial"/>
                <w:color w:val="000000"/>
              </w:rPr>
              <w:t>Moyenne</w:t>
            </w:r>
          </w:p>
        </w:tc>
        <w:tc>
          <w:tcPr>
            <w:tcW w:w="1417" w:type="dxa"/>
            <w:vAlign w:val="center"/>
          </w:tcPr>
          <w:p w14:paraId="22B41067" w14:textId="072D6460" w:rsidR="00BF25F0" w:rsidRDefault="00BF25F0" w:rsidP="0001482F">
            <w:pPr>
              <w:spacing w:before="40" w:after="40" w:line="240" w:lineRule="auto"/>
              <w:rPr>
                <w:rFonts w:ascii="Arial" w:hAnsi="Arial"/>
              </w:rPr>
            </w:pPr>
            <w:r>
              <w:rPr>
                <w:rFonts w:ascii="Arial" w:hAnsi="Arial"/>
                <w:color w:val="000000"/>
              </w:rPr>
              <w:t>Importante</w:t>
            </w:r>
          </w:p>
        </w:tc>
      </w:tr>
      <w:tr w:rsidR="00BF25F0" w:rsidRPr="002B3F16" w14:paraId="2C458924" w14:textId="77777777" w:rsidTr="003F23BB">
        <w:trPr>
          <w:trHeight w:val="144"/>
        </w:trPr>
        <w:tc>
          <w:tcPr>
            <w:tcW w:w="988" w:type="dxa"/>
            <w:noWrap/>
            <w:vAlign w:val="center"/>
          </w:tcPr>
          <w:p w14:paraId="44C01D88" w14:textId="73706FE5" w:rsidR="00BF25F0" w:rsidRDefault="00BF25F0" w:rsidP="0001482F">
            <w:pPr>
              <w:spacing w:before="40" w:after="40" w:line="240" w:lineRule="auto"/>
              <w:rPr>
                <w:rFonts w:ascii="Arial" w:hAnsi="Arial"/>
                <w:color w:val="000000"/>
              </w:rPr>
            </w:pPr>
            <w:r>
              <w:rPr>
                <w:rFonts w:ascii="Arial" w:hAnsi="Arial"/>
                <w:color w:val="000000"/>
              </w:rPr>
              <w:t>52</w:t>
            </w:r>
          </w:p>
        </w:tc>
        <w:tc>
          <w:tcPr>
            <w:tcW w:w="4110" w:type="dxa"/>
            <w:noWrap/>
            <w:vAlign w:val="center"/>
          </w:tcPr>
          <w:p w14:paraId="1939B7A9" w14:textId="3B8186CC" w:rsidR="00BF25F0" w:rsidRDefault="00BF25F0" w:rsidP="0001482F">
            <w:pPr>
              <w:spacing w:before="40" w:after="40" w:line="240" w:lineRule="auto"/>
              <w:rPr>
                <w:rFonts w:ascii="Arial" w:hAnsi="Arial"/>
                <w:color w:val="000000"/>
              </w:rPr>
            </w:pPr>
            <w:r>
              <w:rPr>
                <w:rFonts w:ascii="Arial" w:hAnsi="Arial"/>
                <w:color w:val="000000"/>
              </w:rPr>
              <w:t>Établir une proposition pour la mise à jour de la partie 6.1 du Manuel de l’OMPI : “Contenu minimum recommandé pour les sites Web des offices de propriété intellectuelle”.</w:t>
            </w:r>
          </w:p>
        </w:tc>
        <w:tc>
          <w:tcPr>
            <w:tcW w:w="1701" w:type="dxa"/>
            <w:noWrap/>
            <w:vAlign w:val="center"/>
          </w:tcPr>
          <w:p w14:paraId="56478C49" w14:textId="731D1B72" w:rsidR="00BF25F0" w:rsidRDefault="00BF25F0" w:rsidP="0001482F">
            <w:pPr>
              <w:spacing w:before="40" w:after="40" w:line="240" w:lineRule="auto"/>
              <w:rPr>
                <w:rFonts w:ascii="Arial" w:hAnsi="Arial"/>
                <w:color w:val="000000"/>
              </w:rPr>
            </w:pPr>
            <w:proofErr w:type="spellStart"/>
            <w:r>
              <w:rPr>
                <w:rFonts w:ascii="Arial" w:hAnsi="Arial"/>
                <w:color w:val="000000"/>
              </w:rPr>
              <w:t>Ad-hoc</w:t>
            </w:r>
            <w:proofErr w:type="spellEnd"/>
          </w:p>
        </w:tc>
        <w:tc>
          <w:tcPr>
            <w:tcW w:w="1418" w:type="dxa"/>
            <w:noWrap/>
            <w:vAlign w:val="center"/>
          </w:tcPr>
          <w:p w14:paraId="11DDA7B6" w14:textId="3EB2CE5D" w:rsidR="00BF25F0" w:rsidRDefault="00BF25F0" w:rsidP="0001482F">
            <w:pPr>
              <w:spacing w:before="40" w:after="40" w:line="240" w:lineRule="auto"/>
              <w:rPr>
                <w:rFonts w:ascii="Arial" w:hAnsi="Arial"/>
                <w:color w:val="000000"/>
              </w:rPr>
            </w:pPr>
            <w:r>
              <w:rPr>
                <w:rFonts w:ascii="Arial" w:hAnsi="Arial"/>
                <w:color w:val="000000"/>
              </w:rPr>
              <w:t>Faible</w:t>
            </w:r>
          </w:p>
        </w:tc>
        <w:tc>
          <w:tcPr>
            <w:tcW w:w="1417" w:type="dxa"/>
            <w:vAlign w:val="center"/>
          </w:tcPr>
          <w:p w14:paraId="7F77A6C3" w14:textId="77777777" w:rsidR="00BF25F0" w:rsidRDefault="00BF25F0" w:rsidP="0001482F">
            <w:pPr>
              <w:spacing w:before="40" w:after="40" w:line="240" w:lineRule="auto"/>
              <w:rPr>
                <w:rFonts w:ascii="Arial" w:hAnsi="Arial"/>
              </w:rPr>
            </w:pPr>
          </w:p>
        </w:tc>
      </w:tr>
      <w:tr w:rsidR="00BF25F0" w:rsidRPr="002B3F16" w14:paraId="579EED97" w14:textId="77777777" w:rsidTr="003F23BB">
        <w:trPr>
          <w:trHeight w:val="144"/>
        </w:trPr>
        <w:tc>
          <w:tcPr>
            <w:tcW w:w="988" w:type="dxa"/>
            <w:noWrap/>
            <w:vAlign w:val="center"/>
          </w:tcPr>
          <w:p w14:paraId="66296BFC" w14:textId="6CA399A1" w:rsidR="00BF25F0" w:rsidRDefault="00BF25F0" w:rsidP="0001482F">
            <w:pPr>
              <w:spacing w:before="40" w:after="40" w:line="240" w:lineRule="auto"/>
              <w:rPr>
                <w:rFonts w:ascii="Arial" w:hAnsi="Arial"/>
                <w:color w:val="000000"/>
              </w:rPr>
            </w:pPr>
            <w:r>
              <w:rPr>
                <w:rFonts w:ascii="Arial" w:hAnsi="Arial"/>
                <w:color w:val="000000"/>
              </w:rPr>
              <w:t>55</w:t>
            </w:r>
          </w:p>
        </w:tc>
        <w:tc>
          <w:tcPr>
            <w:tcW w:w="4110" w:type="dxa"/>
            <w:noWrap/>
            <w:vAlign w:val="center"/>
          </w:tcPr>
          <w:p w14:paraId="5E207EA2" w14:textId="5B499924" w:rsidR="00BF25F0" w:rsidRDefault="00BF25F0" w:rsidP="0001482F">
            <w:pPr>
              <w:spacing w:before="40" w:after="40" w:line="240" w:lineRule="auto"/>
              <w:rPr>
                <w:rFonts w:ascii="Arial" w:hAnsi="Arial"/>
                <w:color w:val="000000"/>
              </w:rPr>
            </w:pPr>
            <w:r>
              <w:rPr>
                <w:rFonts w:ascii="Arial" w:hAnsi="Arial"/>
                <w:color w:val="000000"/>
              </w:rPr>
              <w:t>Établir une proposition visant la poursuite des travaux relatifs à la normalisation des noms dans les documents de propriété intellectuelle, en vue de l’élaboration d’une norme de l’OMPI visant à aider les offices de propriété intellectuelle à améliorer la “qualité à la source” des noms.</w:t>
            </w:r>
          </w:p>
        </w:tc>
        <w:tc>
          <w:tcPr>
            <w:tcW w:w="1701" w:type="dxa"/>
            <w:noWrap/>
            <w:vAlign w:val="center"/>
          </w:tcPr>
          <w:p w14:paraId="1FA6EFC2" w14:textId="3184EA66" w:rsidR="00BF25F0" w:rsidRDefault="00BF25F0" w:rsidP="0001482F">
            <w:pPr>
              <w:spacing w:before="40" w:after="40" w:line="240" w:lineRule="auto"/>
              <w:rPr>
                <w:rFonts w:ascii="Arial" w:hAnsi="Arial"/>
                <w:color w:val="000000"/>
              </w:rPr>
            </w:pPr>
            <w:r>
              <w:rPr>
                <w:rFonts w:ascii="Arial" w:hAnsi="Arial"/>
                <w:color w:val="000000"/>
              </w:rPr>
              <w:t>Occasionnelle</w:t>
            </w:r>
          </w:p>
        </w:tc>
        <w:tc>
          <w:tcPr>
            <w:tcW w:w="1418" w:type="dxa"/>
            <w:noWrap/>
            <w:vAlign w:val="center"/>
          </w:tcPr>
          <w:p w14:paraId="6248B653" w14:textId="5321093F" w:rsidR="00BF25F0" w:rsidRDefault="00BF25F0" w:rsidP="0001482F">
            <w:pPr>
              <w:spacing w:before="40" w:after="40" w:line="240" w:lineRule="auto"/>
              <w:rPr>
                <w:rFonts w:ascii="Arial" w:hAnsi="Arial"/>
                <w:color w:val="000000"/>
              </w:rPr>
            </w:pPr>
            <w:r>
              <w:rPr>
                <w:rFonts w:ascii="Arial" w:hAnsi="Arial"/>
                <w:color w:val="000000"/>
              </w:rPr>
              <w:t>Moyenne</w:t>
            </w:r>
          </w:p>
        </w:tc>
        <w:tc>
          <w:tcPr>
            <w:tcW w:w="1417" w:type="dxa"/>
            <w:vAlign w:val="center"/>
          </w:tcPr>
          <w:p w14:paraId="1A87679F" w14:textId="77777777" w:rsidR="00BF25F0" w:rsidRDefault="00BF25F0" w:rsidP="0001482F">
            <w:pPr>
              <w:spacing w:before="40" w:after="40" w:line="240" w:lineRule="auto"/>
              <w:rPr>
                <w:rFonts w:ascii="Arial" w:hAnsi="Arial"/>
              </w:rPr>
            </w:pPr>
          </w:p>
        </w:tc>
      </w:tr>
      <w:tr w:rsidR="00BF25F0" w:rsidRPr="002B3F16" w14:paraId="05D79680" w14:textId="77777777" w:rsidTr="003F23BB">
        <w:trPr>
          <w:trHeight w:val="144"/>
        </w:trPr>
        <w:tc>
          <w:tcPr>
            <w:tcW w:w="988" w:type="dxa"/>
            <w:noWrap/>
            <w:vAlign w:val="center"/>
          </w:tcPr>
          <w:p w14:paraId="070DA7DB" w14:textId="356C8696" w:rsidR="00BF25F0" w:rsidRDefault="00BF25F0" w:rsidP="0001482F">
            <w:pPr>
              <w:spacing w:before="40" w:after="40" w:line="240" w:lineRule="auto"/>
              <w:rPr>
                <w:rFonts w:ascii="Arial" w:hAnsi="Arial"/>
                <w:color w:val="000000"/>
              </w:rPr>
            </w:pPr>
            <w:r>
              <w:rPr>
                <w:rFonts w:ascii="Arial" w:hAnsi="Arial"/>
                <w:color w:val="000000"/>
              </w:rPr>
              <w:t>56</w:t>
            </w:r>
          </w:p>
        </w:tc>
        <w:tc>
          <w:tcPr>
            <w:tcW w:w="4110" w:type="dxa"/>
            <w:noWrap/>
            <w:vAlign w:val="center"/>
          </w:tcPr>
          <w:p w14:paraId="31ED228C" w14:textId="1F73F406" w:rsidR="00BF25F0" w:rsidRDefault="00BF25F0" w:rsidP="0001482F">
            <w:pPr>
              <w:spacing w:before="40" w:after="40" w:line="240" w:lineRule="auto"/>
              <w:rPr>
                <w:rFonts w:ascii="Arial" w:hAnsi="Arial"/>
                <w:color w:val="000000"/>
              </w:rPr>
            </w:pPr>
            <w:r>
              <w:rPr>
                <w:rFonts w:ascii="Arial" w:hAnsi="Arial"/>
                <w:color w:val="000000"/>
              </w:rPr>
              <w:t>Procéder aux révisions et mises à jour nécessaires de la norme ST.90 de l’OMPI;  aider le Bureau international à promouvoir et à mettre en œuvre la norme ST.90 de l’OMPI;  et promouvoir le Catalogue des API en matière de propriété intellectuelle.</w:t>
            </w:r>
          </w:p>
        </w:tc>
        <w:tc>
          <w:tcPr>
            <w:tcW w:w="1701" w:type="dxa"/>
            <w:noWrap/>
            <w:vAlign w:val="center"/>
          </w:tcPr>
          <w:p w14:paraId="71533238" w14:textId="3E654141" w:rsidR="00BF25F0" w:rsidRDefault="00BF25F0" w:rsidP="0001482F">
            <w:pPr>
              <w:spacing w:before="40" w:after="40" w:line="240" w:lineRule="auto"/>
              <w:rPr>
                <w:rFonts w:ascii="Arial" w:hAnsi="Arial"/>
                <w:color w:val="000000"/>
              </w:rPr>
            </w:pPr>
            <w:r>
              <w:rPr>
                <w:rFonts w:ascii="Arial" w:hAnsi="Arial"/>
                <w:color w:val="000000"/>
              </w:rPr>
              <w:t>Très active</w:t>
            </w:r>
          </w:p>
        </w:tc>
        <w:tc>
          <w:tcPr>
            <w:tcW w:w="1418" w:type="dxa"/>
            <w:noWrap/>
            <w:vAlign w:val="center"/>
          </w:tcPr>
          <w:p w14:paraId="1FBA74A0" w14:textId="4D85217F" w:rsidR="00BF25F0" w:rsidRDefault="00BF25F0" w:rsidP="0001482F">
            <w:pPr>
              <w:spacing w:before="40" w:after="40" w:line="240" w:lineRule="auto"/>
              <w:rPr>
                <w:rFonts w:ascii="Arial" w:hAnsi="Arial"/>
                <w:color w:val="000000"/>
              </w:rPr>
            </w:pPr>
            <w:r>
              <w:rPr>
                <w:rFonts w:ascii="Arial" w:hAnsi="Arial"/>
                <w:color w:val="000000"/>
              </w:rPr>
              <w:t>Élevée</w:t>
            </w:r>
          </w:p>
        </w:tc>
        <w:tc>
          <w:tcPr>
            <w:tcW w:w="1417" w:type="dxa"/>
            <w:vAlign w:val="center"/>
          </w:tcPr>
          <w:p w14:paraId="4F18CF5A" w14:textId="0762D889" w:rsidR="00BF25F0" w:rsidRDefault="00BF25F0" w:rsidP="0001482F">
            <w:pPr>
              <w:spacing w:before="40" w:after="40" w:line="240" w:lineRule="auto"/>
              <w:rPr>
                <w:rFonts w:ascii="Arial" w:hAnsi="Arial"/>
              </w:rPr>
            </w:pPr>
            <w:r>
              <w:rPr>
                <w:rFonts w:ascii="Arial" w:hAnsi="Arial"/>
                <w:color w:val="000000"/>
              </w:rPr>
              <w:t>Importante</w:t>
            </w:r>
          </w:p>
        </w:tc>
      </w:tr>
      <w:tr w:rsidR="00BF25F0" w:rsidRPr="002B3F16" w14:paraId="2AD1A159" w14:textId="77777777" w:rsidTr="003F23BB">
        <w:trPr>
          <w:trHeight w:val="144"/>
        </w:trPr>
        <w:tc>
          <w:tcPr>
            <w:tcW w:w="988" w:type="dxa"/>
            <w:noWrap/>
            <w:vAlign w:val="center"/>
          </w:tcPr>
          <w:p w14:paraId="3AB56812" w14:textId="7619B99C" w:rsidR="00BF25F0" w:rsidRDefault="00BF25F0" w:rsidP="0001482F">
            <w:pPr>
              <w:spacing w:before="40" w:after="40" w:line="240" w:lineRule="auto"/>
              <w:rPr>
                <w:rFonts w:ascii="Arial" w:hAnsi="Arial"/>
                <w:color w:val="000000"/>
              </w:rPr>
            </w:pPr>
            <w:r>
              <w:rPr>
                <w:rFonts w:ascii="Arial" w:hAnsi="Arial"/>
                <w:color w:val="000000"/>
              </w:rPr>
              <w:t>58</w:t>
            </w:r>
          </w:p>
        </w:tc>
        <w:tc>
          <w:tcPr>
            <w:tcW w:w="4110" w:type="dxa"/>
            <w:noWrap/>
            <w:vAlign w:val="center"/>
          </w:tcPr>
          <w:p w14:paraId="5C663D86" w14:textId="53F29E91" w:rsidR="00BF25F0" w:rsidRDefault="00BF25F0" w:rsidP="0001482F">
            <w:pPr>
              <w:spacing w:before="40" w:after="40" w:line="240" w:lineRule="auto"/>
              <w:rPr>
                <w:rFonts w:ascii="Arial" w:hAnsi="Arial"/>
                <w:color w:val="000000"/>
              </w:rPr>
            </w:pPr>
            <w:r>
              <w:rPr>
                <w:rFonts w:ascii="Arial" w:hAnsi="Arial"/>
                <w:color w:val="000000"/>
              </w:rPr>
              <w:t>Faciliter la mise en œuvre des recommandations relatives aux TIC par les offices de propriété intellectuelle et le Bureau international;  évaluer et actualiser ces recommandations en tant que de besoin pour qu’elles demeurent pertinentes.</w:t>
            </w:r>
          </w:p>
        </w:tc>
        <w:tc>
          <w:tcPr>
            <w:tcW w:w="1701" w:type="dxa"/>
            <w:noWrap/>
            <w:vAlign w:val="center"/>
          </w:tcPr>
          <w:p w14:paraId="5953265A" w14:textId="1DB9F51F" w:rsidR="00BF25F0" w:rsidRDefault="00BF25F0" w:rsidP="0001482F">
            <w:pPr>
              <w:spacing w:before="40" w:after="40" w:line="240" w:lineRule="auto"/>
              <w:rPr>
                <w:rFonts w:ascii="Arial" w:hAnsi="Arial"/>
                <w:color w:val="000000"/>
              </w:rPr>
            </w:pPr>
            <w:r>
              <w:rPr>
                <w:rFonts w:ascii="Arial" w:hAnsi="Arial"/>
                <w:color w:val="000000"/>
              </w:rPr>
              <w:t>Active</w:t>
            </w:r>
          </w:p>
        </w:tc>
        <w:tc>
          <w:tcPr>
            <w:tcW w:w="1418" w:type="dxa"/>
            <w:noWrap/>
            <w:vAlign w:val="center"/>
          </w:tcPr>
          <w:p w14:paraId="65F34161" w14:textId="01FD74F1" w:rsidR="00BF25F0" w:rsidRDefault="00BF25F0" w:rsidP="0001482F">
            <w:pPr>
              <w:spacing w:before="40" w:after="40" w:line="240" w:lineRule="auto"/>
              <w:rPr>
                <w:rFonts w:ascii="Arial" w:hAnsi="Arial"/>
                <w:color w:val="000000"/>
              </w:rPr>
            </w:pPr>
            <w:r>
              <w:rPr>
                <w:rFonts w:ascii="Arial" w:hAnsi="Arial"/>
                <w:color w:val="000000"/>
              </w:rPr>
              <w:t>Élevée</w:t>
            </w:r>
          </w:p>
        </w:tc>
        <w:tc>
          <w:tcPr>
            <w:tcW w:w="1417" w:type="dxa"/>
            <w:vAlign w:val="center"/>
          </w:tcPr>
          <w:p w14:paraId="40201BA7" w14:textId="737BEA62" w:rsidR="00BF25F0" w:rsidRDefault="00BF25F0" w:rsidP="0001482F">
            <w:pPr>
              <w:spacing w:before="40" w:after="40" w:line="240" w:lineRule="auto"/>
              <w:rPr>
                <w:rFonts w:ascii="Arial" w:hAnsi="Arial"/>
              </w:rPr>
            </w:pPr>
            <w:r>
              <w:rPr>
                <w:rFonts w:ascii="Arial" w:hAnsi="Arial"/>
              </w:rPr>
              <w:t>Essentielle</w:t>
            </w:r>
          </w:p>
        </w:tc>
      </w:tr>
      <w:tr w:rsidR="00BF25F0" w:rsidRPr="002B3F16" w14:paraId="070A9F8A" w14:textId="77777777" w:rsidTr="003F23BB">
        <w:trPr>
          <w:trHeight w:val="144"/>
        </w:trPr>
        <w:tc>
          <w:tcPr>
            <w:tcW w:w="988" w:type="dxa"/>
            <w:noWrap/>
            <w:vAlign w:val="center"/>
          </w:tcPr>
          <w:p w14:paraId="41F37DDA" w14:textId="011E0891" w:rsidR="00BF25F0" w:rsidRDefault="00BF25F0" w:rsidP="0001482F">
            <w:pPr>
              <w:spacing w:before="40" w:after="40" w:line="240" w:lineRule="auto"/>
              <w:rPr>
                <w:rFonts w:ascii="Arial" w:hAnsi="Arial"/>
                <w:color w:val="000000"/>
              </w:rPr>
            </w:pPr>
            <w:r>
              <w:rPr>
                <w:rFonts w:ascii="Arial" w:hAnsi="Arial"/>
                <w:color w:val="000000"/>
              </w:rPr>
              <w:t>59</w:t>
            </w:r>
          </w:p>
        </w:tc>
        <w:tc>
          <w:tcPr>
            <w:tcW w:w="4110" w:type="dxa"/>
            <w:noWrap/>
            <w:vAlign w:val="center"/>
          </w:tcPr>
          <w:p w14:paraId="352FDB74" w14:textId="783B5E17" w:rsidR="00BF25F0" w:rsidRDefault="00BF25F0" w:rsidP="0001482F">
            <w:pPr>
              <w:spacing w:before="40" w:after="40" w:line="240" w:lineRule="auto"/>
              <w:rPr>
                <w:rFonts w:ascii="Arial" w:hAnsi="Arial"/>
                <w:color w:val="000000"/>
              </w:rPr>
            </w:pPr>
            <w:r>
              <w:rPr>
                <w:rFonts w:ascii="Arial" w:hAnsi="Arial"/>
                <w:color w:val="000000"/>
              </w:rPr>
              <w:t>Étudier la possibilité d’utiliser la technologie de la chaîne de blocs dans les procédures d’octroi de la protection des droits de propriété intellectuelle et de traitement des informations concernant les objets de propriété intellectuelle et leur utilisation;  recueillir des informations sur les progrès accomplis par les offices de propriété intellectuelle dans l’utilisation de la chaîne de blocs et l’expérience acquise en la matière, évaluer les normes applicables à la chaîne de blocs en vigueur dans le secteur privé et examiner le bien-fondé et l’applicabilité aux offices de propriété intellectuelle;  élaborer un modèle permettant de normaliser l’utilisation de la chaîne de blocs dans le domaine de la propriété intellectuelle, y compris des principes directeurs, des pratiques communes et l’utilisation de la terminologie à l’appui de la collaboration, des projets conjoints et de la validation;  et établir une proposition de norme de l’OMPI visant à appuyer l’application potentielle de la chaîne de blocs dans l’écosystème de la propriété intellectuelle.</w:t>
            </w:r>
          </w:p>
        </w:tc>
        <w:tc>
          <w:tcPr>
            <w:tcW w:w="1701" w:type="dxa"/>
            <w:noWrap/>
            <w:vAlign w:val="center"/>
          </w:tcPr>
          <w:p w14:paraId="0802C105" w14:textId="18959A23" w:rsidR="00BF25F0" w:rsidRDefault="00BF25F0" w:rsidP="0001482F">
            <w:pPr>
              <w:spacing w:before="40" w:after="40" w:line="240" w:lineRule="auto"/>
              <w:rPr>
                <w:rFonts w:ascii="Arial" w:hAnsi="Arial"/>
                <w:color w:val="000000"/>
              </w:rPr>
            </w:pPr>
            <w:r>
              <w:rPr>
                <w:rFonts w:ascii="Arial" w:hAnsi="Arial"/>
                <w:color w:val="000000"/>
              </w:rPr>
              <w:t>Occasionnelle</w:t>
            </w:r>
          </w:p>
        </w:tc>
        <w:tc>
          <w:tcPr>
            <w:tcW w:w="1418" w:type="dxa"/>
            <w:noWrap/>
            <w:vAlign w:val="center"/>
          </w:tcPr>
          <w:p w14:paraId="6CB3820E" w14:textId="3E46E072" w:rsidR="00BF25F0" w:rsidRDefault="00BF25F0" w:rsidP="0001482F">
            <w:pPr>
              <w:spacing w:before="40" w:after="40" w:line="240" w:lineRule="auto"/>
              <w:rPr>
                <w:rFonts w:ascii="Arial" w:hAnsi="Arial"/>
                <w:color w:val="000000"/>
              </w:rPr>
            </w:pPr>
            <w:r>
              <w:rPr>
                <w:rFonts w:ascii="Arial" w:hAnsi="Arial"/>
                <w:color w:val="000000"/>
              </w:rPr>
              <w:t>Moyenne</w:t>
            </w:r>
          </w:p>
        </w:tc>
        <w:tc>
          <w:tcPr>
            <w:tcW w:w="1417" w:type="dxa"/>
            <w:vAlign w:val="center"/>
          </w:tcPr>
          <w:p w14:paraId="3D91377E" w14:textId="77777777" w:rsidR="00BF25F0" w:rsidRDefault="00BF25F0" w:rsidP="0001482F">
            <w:pPr>
              <w:spacing w:before="40" w:after="40" w:line="240" w:lineRule="auto"/>
              <w:rPr>
                <w:rFonts w:ascii="Arial" w:hAnsi="Arial"/>
              </w:rPr>
            </w:pPr>
          </w:p>
        </w:tc>
      </w:tr>
      <w:tr w:rsidR="00BF25F0" w:rsidRPr="002B3F16" w14:paraId="76D83E00" w14:textId="77777777" w:rsidTr="003F23BB">
        <w:trPr>
          <w:trHeight w:val="144"/>
        </w:trPr>
        <w:tc>
          <w:tcPr>
            <w:tcW w:w="988" w:type="dxa"/>
            <w:noWrap/>
            <w:vAlign w:val="center"/>
          </w:tcPr>
          <w:p w14:paraId="3D971E8A" w14:textId="401D43F0" w:rsidR="00BF25F0" w:rsidRDefault="00BF25F0" w:rsidP="0001482F">
            <w:pPr>
              <w:spacing w:before="40" w:after="40" w:line="240" w:lineRule="auto"/>
              <w:rPr>
                <w:rFonts w:ascii="Arial" w:hAnsi="Arial"/>
                <w:color w:val="000000"/>
              </w:rPr>
            </w:pPr>
            <w:r>
              <w:rPr>
                <w:rFonts w:ascii="Arial" w:hAnsi="Arial"/>
                <w:color w:val="000000"/>
              </w:rPr>
              <w:t>60</w:t>
            </w:r>
          </w:p>
        </w:tc>
        <w:tc>
          <w:tcPr>
            <w:tcW w:w="4110" w:type="dxa"/>
            <w:noWrap/>
            <w:vAlign w:val="center"/>
          </w:tcPr>
          <w:p w14:paraId="697B70D1" w14:textId="3DC435D0" w:rsidR="00BF25F0" w:rsidRDefault="00BF25F0" w:rsidP="003F23BB">
            <w:pPr>
              <w:keepLines/>
              <w:spacing w:before="40" w:after="40" w:line="240" w:lineRule="auto"/>
              <w:rPr>
                <w:rFonts w:ascii="Arial" w:hAnsi="Arial"/>
                <w:color w:val="000000"/>
              </w:rPr>
            </w:pPr>
            <w:r>
              <w:rPr>
                <w:rFonts w:ascii="Arial" w:hAnsi="Arial"/>
                <w:color w:val="000000"/>
              </w:rPr>
              <w:t>Établir une proposition relative à la numérotation des codes INID concernant les marques verbales et les marques figuratives; sur la division du code INID (551) et l’éventuelle création d’un code INID pour les marques combinées.</w:t>
            </w:r>
          </w:p>
        </w:tc>
        <w:tc>
          <w:tcPr>
            <w:tcW w:w="1701" w:type="dxa"/>
            <w:noWrap/>
            <w:vAlign w:val="center"/>
          </w:tcPr>
          <w:p w14:paraId="3FA3F637" w14:textId="2B514E6C" w:rsidR="00BF25F0" w:rsidRDefault="00BF25F0" w:rsidP="0001482F">
            <w:pPr>
              <w:spacing w:before="40" w:after="40" w:line="240" w:lineRule="auto"/>
              <w:rPr>
                <w:rFonts w:ascii="Arial" w:hAnsi="Arial"/>
                <w:color w:val="000000"/>
              </w:rPr>
            </w:pPr>
            <w:r>
              <w:rPr>
                <w:rFonts w:ascii="Arial" w:hAnsi="Arial"/>
                <w:color w:val="000000"/>
              </w:rPr>
              <w:t>En suspens</w:t>
            </w:r>
          </w:p>
        </w:tc>
        <w:tc>
          <w:tcPr>
            <w:tcW w:w="1418" w:type="dxa"/>
            <w:noWrap/>
            <w:vAlign w:val="center"/>
          </w:tcPr>
          <w:p w14:paraId="1029723A" w14:textId="693A4140" w:rsidR="00BF25F0" w:rsidRDefault="00BF25F0" w:rsidP="0001482F">
            <w:pPr>
              <w:spacing w:before="40" w:after="40" w:line="240" w:lineRule="auto"/>
              <w:rPr>
                <w:rFonts w:ascii="Arial" w:hAnsi="Arial"/>
                <w:color w:val="000000"/>
              </w:rPr>
            </w:pPr>
            <w:r>
              <w:rPr>
                <w:rFonts w:ascii="Arial" w:hAnsi="Arial"/>
                <w:color w:val="000000"/>
              </w:rPr>
              <w:t>Sans objet</w:t>
            </w:r>
          </w:p>
        </w:tc>
        <w:tc>
          <w:tcPr>
            <w:tcW w:w="1417" w:type="dxa"/>
            <w:vAlign w:val="center"/>
          </w:tcPr>
          <w:p w14:paraId="210FD12C" w14:textId="77777777" w:rsidR="00BF25F0" w:rsidRDefault="00BF25F0" w:rsidP="0001482F">
            <w:pPr>
              <w:spacing w:before="40" w:after="40" w:line="240" w:lineRule="auto"/>
              <w:rPr>
                <w:rFonts w:ascii="Arial" w:hAnsi="Arial"/>
              </w:rPr>
            </w:pPr>
          </w:p>
        </w:tc>
      </w:tr>
      <w:tr w:rsidR="00BF25F0" w:rsidRPr="002B3F16" w14:paraId="5A1D3740" w14:textId="77777777" w:rsidTr="003F23BB">
        <w:trPr>
          <w:trHeight w:val="144"/>
        </w:trPr>
        <w:tc>
          <w:tcPr>
            <w:tcW w:w="988" w:type="dxa"/>
            <w:noWrap/>
            <w:vAlign w:val="center"/>
          </w:tcPr>
          <w:p w14:paraId="661DF732" w14:textId="7AE6210B" w:rsidR="00BF25F0" w:rsidRDefault="00BF25F0" w:rsidP="0001482F">
            <w:pPr>
              <w:spacing w:before="40" w:after="40" w:line="240" w:lineRule="auto"/>
              <w:rPr>
                <w:rFonts w:ascii="Arial" w:hAnsi="Arial"/>
                <w:color w:val="000000"/>
              </w:rPr>
            </w:pPr>
            <w:r>
              <w:rPr>
                <w:rFonts w:ascii="Arial" w:hAnsi="Arial"/>
                <w:color w:val="000000"/>
              </w:rPr>
              <w:t>61</w:t>
            </w:r>
          </w:p>
        </w:tc>
        <w:tc>
          <w:tcPr>
            <w:tcW w:w="4110" w:type="dxa"/>
            <w:noWrap/>
            <w:vAlign w:val="center"/>
          </w:tcPr>
          <w:p w14:paraId="26A13579" w14:textId="698E994E" w:rsidR="00BF25F0" w:rsidRDefault="00BF25F0" w:rsidP="0001482F">
            <w:pPr>
              <w:spacing w:before="40" w:after="40" w:line="240" w:lineRule="auto"/>
              <w:rPr>
                <w:rFonts w:ascii="Arial" w:hAnsi="Arial"/>
                <w:color w:val="000000"/>
              </w:rPr>
            </w:pPr>
            <w:r>
              <w:rPr>
                <w:rFonts w:ascii="Arial" w:hAnsi="Arial"/>
                <w:color w:val="000000"/>
              </w:rPr>
              <w:t>Procéder aux révisions et mises à jour nécessaires de la norme ST.91 de l’OMPI, y compris les méthodes de recherche de modèles et d’images tridimensionnels.</w:t>
            </w:r>
          </w:p>
        </w:tc>
        <w:tc>
          <w:tcPr>
            <w:tcW w:w="1701" w:type="dxa"/>
            <w:noWrap/>
            <w:vAlign w:val="center"/>
          </w:tcPr>
          <w:p w14:paraId="118D238C" w14:textId="1E9C3E59" w:rsidR="00BF25F0" w:rsidRDefault="00BF25F0" w:rsidP="0001482F">
            <w:pPr>
              <w:spacing w:before="40" w:after="40" w:line="240" w:lineRule="auto"/>
              <w:rPr>
                <w:rFonts w:ascii="Arial" w:hAnsi="Arial"/>
                <w:color w:val="000000"/>
              </w:rPr>
            </w:pPr>
            <w:r>
              <w:rPr>
                <w:rFonts w:ascii="Arial" w:hAnsi="Arial"/>
                <w:color w:val="000000"/>
              </w:rPr>
              <w:t>Active</w:t>
            </w:r>
          </w:p>
        </w:tc>
        <w:tc>
          <w:tcPr>
            <w:tcW w:w="1418" w:type="dxa"/>
            <w:noWrap/>
            <w:vAlign w:val="center"/>
          </w:tcPr>
          <w:p w14:paraId="6E997B5D" w14:textId="6B109D38" w:rsidR="00BF25F0" w:rsidRDefault="00BF25F0" w:rsidP="0001482F">
            <w:pPr>
              <w:spacing w:before="40" w:after="40" w:line="240" w:lineRule="auto"/>
              <w:rPr>
                <w:rFonts w:ascii="Arial" w:hAnsi="Arial"/>
                <w:color w:val="000000"/>
              </w:rPr>
            </w:pPr>
            <w:r>
              <w:rPr>
                <w:rFonts w:ascii="Arial" w:hAnsi="Arial"/>
                <w:color w:val="000000"/>
              </w:rPr>
              <w:t>Moyenne</w:t>
            </w:r>
          </w:p>
        </w:tc>
        <w:tc>
          <w:tcPr>
            <w:tcW w:w="1417" w:type="dxa"/>
            <w:vAlign w:val="center"/>
          </w:tcPr>
          <w:p w14:paraId="111E7FE5" w14:textId="77777777" w:rsidR="00BF25F0" w:rsidRDefault="00BF25F0" w:rsidP="0001482F">
            <w:pPr>
              <w:spacing w:before="40" w:after="40" w:line="240" w:lineRule="auto"/>
              <w:rPr>
                <w:rFonts w:ascii="Arial" w:hAnsi="Arial"/>
              </w:rPr>
            </w:pPr>
          </w:p>
        </w:tc>
      </w:tr>
      <w:tr w:rsidR="00BF25F0" w:rsidRPr="002B3F16" w14:paraId="0999F813" w14:textId="77777777" w:rsidTr="003F23BB">
        <w:trPr>
          <w:trHeight w:val="144"/>
        </w:trPr>
        <w:tc>
          <w:tcPr>
            <w:tcW w:w="988" w:type="dxa"/>
            <w:noWrap/>
            <w:vAlign w:val="center"/>
          </w:tcPr>
          <w:p w14:paraId="2DDD81E5" w14:textId="776C52B8" w:rsidR="00BF25F0" w:rsidRDefault="00BF25F0" w:rsidP="0001482F">
            <w:pPr>
              <w:spacing w:before="40" w:after="40" w:line="240" w:lineRule="auto"/>
              <w:rPr>
                <w:rFonts w:ascii="Arial" w:hAnsi="Arial"/>
                <w:color w:val="000000"/>
              </w:rPr>
            </w:pPr>
            <w:r>
              <w:rPr>
                <w:rFonts w:ascii="Arial" w:hAnsi="Arial"/>
                <w:color w:val="000000"/>
              </w:rPr>
              <w:t>62</w:t>
            </w:r>
          </w:p>
        </w:tc>
        <w:tc>
          <w:tcPr>
            <w:tcW w:w="4110" w:type="dxa"/>
            <w:noWrap/>
            <w:vAlign w:val="center"/>
          </w:tcPr>
          <w:p w14:paraId="25CCFA65" w14:textId="11AE53E8" w:rsidR="00BF25F0" w:rsidRDefault="00BF25F0" w:rsidP="0001482F">
            <w:pPr>
              <w:keepLines/>
              <w:spacing w:before="40" w:after="40" w:line="240" w:lineRule="auto"/>
              <w:rPr>
                <w:rFonts w:ascii="Arial" w:hAnsi="Arial"/>
                <w:color w:val="000000"/>
              </w:rPr>
            </w:pPr>
            <w:r>
              <w:rPr>
                <w:rFonts w:ascii="Arial" w:hAnsi="Arial"/>
                <w:color w:val="000000"/>
              </w:rPr>
              <w:t>Examiner les normes de l’OMPI établies pour la communication fondée sur le papier ou l’image, au regard du dépôt, de la publication et de l’échange par voie électronique des documents relatifs à la propriété intellectuelle, et proposer des révisions de ces normes ou de nouvelles recommandations le cas échéant;  et établir une proposition de recommandation relative à une spécification d’exigences communes pour un convertisseur DOCX vers XML (DOCX2XML).</w:t>
            </w:r>
          </w:p>
        </w:tc>
        <w:tc>
          <w:tcPr>
            <w:tcW w:w="1701" w:type="dxa"/>
            <w:noWrap/>
            <w:vAlign w:val="center"/>
          </w:tcPr>
          <w:p w14:paraId="43AEC41E" w14:textId="67D5B6E2" w:rsidR="00BF25F0" w:rsidRDefault="00BF25F0" w:rsidP="0001482F">
            <w:pPr>
              <w:spacing w:before="40" w:after="40" w:line="240" w:lineRule="auto"/>
              <w:rPr>
                <w:rFonts w:ascii="Arial" w:hAnsi="Arial"/>
                <w:color w:val="000000"/>
              </w:rPr>
            </w:pPr>
            <w:r>
              <w:rPr>
                <w:rFonts w:ascii="Arial" w:hAnsi="Arial"/>
                <w:color w:val="000000"/>
              </w:rPr>
              <w:t>Active</w:t>
            </w:r>
          </w:p>
        </w:tc>
        <w:tc>
          <w:tcPr>
            <w:tcW w:w="1418" w:type="dxa"/>
            <w:noWrap/>
            <w:vAlign w:val="center"/>
          </w:tcPr>
          <w:p w14:paraId="22A67B0E" w14:textId="0CD5E082" w:rsidR="00BF25F0" w:rsidRDefault="00BF25F0" w:rsidP="0001482F">
            <w:pPr>
              <w:spacing w:before="40" w:after="40" w:line="240" w:lineRule="auto"/>
              <w:rPr>
                <w:rFonts w:ascii="Arial" w:hAnsi="Arial"/>
                <w:color w:val="000000"/>
              </w:rPr>
            </w:pPr>
            <w:r>
              <w:rPr>
                <w:rFonts w:ascii="Arial" w:hAnsi="Arial"/>
                <w:color w:val="000000"/>
              </w:rPr>
              <w:t>Moyenne</w:t>
            </w:r>
          </w:p>
        </w:tc>
        <w:tc>
          <w:tcPr>
            <w:tcW w:w="1417" w:type="dxa"/>
            <w:vAlign w:val="center"/>
          </w:tcPr>
          <w:p w14:paraId="67CB9EDA" w14:textId="77777777" w:rsidR="00BF25F0" w:rsidRDefault="00BF25F0" w:rsidP="0001482F">
            <w:pPr>
              <w:spacing w:before="40" w:after="40" w:line="240" w:lineRule="auto"/>
              <w:rPr>
                <w:rFonts w:ascii="Arial" w:hAnsi="Arial"/>
              </w:rPr>
            </w:pPr>
          </w:p>
        </w:tc>
      </w:tr>
      <w:tr w:rsidR="00BF25F0" w:rsidRPr="002B3F16" w14:paraId="0C2CA119" w14:textId="77777777" w:rsidTr="003F23BB">
        <w:trPr>
          <w:trHeight w:val="144"/>
        </w:trPr>
        <w:tc>
          <w:tcPr>
            <w:tcW w:w="988" w:type="dxa"/>
            <w:noWrap/>
            <w:vAlign w:val="center"/>
          </w:tcPr>
          <w:p w14:paraId="72CEB370" w14:textId="04129DFE" w:rsidR="00BF25F0" w:rsidRDefault="00BF25F0" w:rsidP="0001482F">
            <w:pPr>
              <w:spacing w:before="40" w:after="40" w:line="240" w:lineRule="auto"/>
              <w:rPr>
                <w:rFonts w:ascii="Arial" w:hAnsi="Arial"/>
                <w:color w:val="000000"/>
              </w:rPr>
            </w:pPr>
            <w:r>
              <w:rPr>
                <w:rFonts w:ascii="Arial" w:hAnsi="Arial"/>
                <w:color w:val="000000"/>
              </w:rPr>
              <w:t>63</w:t>
            </w:r>
          </w:p>
        </w:tc>
        <w:tc>
          <w:tcPr>
            <w:tcW w:w="4110" w:type="dxa"/>
            <w:noWrap/>
            <w:vAlign w:val="center"/>
          </w:tcPr>
          <w:p w14:paraId="7EC6B4EA" w14:textId="5943C6AE" w:rsidR="00BF25F0" w:rsidRDefault="00BF25F0" w:rsidP="0001482F">
            <w:pPr>
              <w:spacing w:before="40" w:after="40" w:line="240" w:lineRule="auto"/>
              <w:rPr>
                <w:rFonts w:ascii="Arial" w:hAnsi="Arial"/>
                <w:color w:val="000000"/>
              </w:rPr>
            </w:pPr>
            <w:r>
              <w:rPr>
                <w:rFonts w:ascii="Arial" w:hAnsi="Arial"/>
                <w:color w:val="000000"/>
              </w:rPr>
              <w:t>Élaborer une ou des représentations visuelles des données XML de l’OMPI aux fins de la publication électronique.</w:t>
            </w:r>
          </w:p>
        </w:tc>
        <w:tc>
          <w:tcPr>
            <w:tcW w:w="1701" w:type="dxa"/>
            <w:noWrap/>
            <w:vAlign w:val="center"/>
          </w:tcPr>
          <w:p w14:paraId="28175E22" w14:textId="1829DDE6" w:rsidR="00BF25F0" w:rsidRDefault="00BF25F0" w:rsidP="0001482F">
            <w:pPr>
              <w:spacing w:before="40" w:after="40" w:line="240" w:lineRule="auto"/>
              <w:rPr>
                <w:rFonts w:ascii="Arial" w:hAnsi="Arial"/>
                <w:color w:val="000000"/>
              </w:rPr>
            </w:pPr>
            <w:r>
              <w:rPr>
                <w:rFonts w:ascii="Arial" w:hAnsi="Arial"/>
                <w:color w:val="000000"/>
              </w:rPr>
              <w:t>Occasionnelle</w:t>
            </w:r>
          </w:p>
        </w:tc>
        <w:tc>
          <w:tcPr>
            <w:tcW w:w="1418" w:type="dxa"/>
            <w:noWrap/>
            <w:vAlign w:val="center"/>
          </w:tcPr>
          <w:p w14:paraId="23831233" w14:textId="19328E7C" w:rsidR="00BF25F0" w:rsidRDefault="00BF25F0" w:rsidP="0001482F">
            <w:pPr>
              <w:spacing w:before="40" w:after="40" w:line="240" w:lineRule="auto"/>
              <w:rPr>
                <w:rFonts w:ascii="Arial" w:hAnsi="Arial"/>
                <w:color w:val="000000"/>
              </w:rPr>
            </w:pPr>
            <w:r>
              <w:rPr>
                <w:rFonts w:ascii="Arial" w:hAnsi="Arial"/>
                <w:color w:val="000000"/>
              </w:rPr>
              <w:t>Moyenne</w:t>
            </w:r>
          </w:p>
        </w:tc>
        <w:tc>
          <w:tcPr>
            <w:tcW w:w="1417" w:type="dxa"/>
            <w:vAlign w:val="center"/>
          </w:tcPr>
          <w:p w14:paraId="765DEBD1" w14:textId="77777777" w:rsidR="00BF25F0" w:rsidRDefault="00BF25F0" w:rsidP="0001482F">
            <w:pPr>
              <w:spacing w:before="40" w:after="40" w:line="240" w:lineRule="auto"/>
              <w:rPr>
                <w:rFonts w:ascii="Arial" w:hAnsi="Arial"/>
              </w:rPr>
            </w:pPr>
          </w:p>
        </w:tc>
      </w:tr>
      <w:tr w:rsidR="00BF25F0" w:rsidRPr="002B3F16" w14:paraId="0E160866" w14:textId="77777777" w:rsidTr="003F23BB">
        <w:trPr>
          <w:trHeight w:val="144"/>
        </w:trPr>
        <w:tc>
          <w:tcPr>
            <w:tcW w:w="988" w:type="dxa"/>
            <w:noWrap/>
            <w:vAlign w:val="center"/>
          </w:tcPr>
          <w:p w14:paraId="65070281" w14:textId="4390DAED" w:rsidR="00BF25F0" w:rsidRDefault="00BF25F0" w:rsidP="0001482F">
            <w:pPr>
              <w:spacing w:before="40" w:after="40" w:line="240" w:lineRule="auto"/>
              <w:rPr>
                <w:rFonts w:ascii="Arial" w:hAnsi="Arial"/>
                <w:color w:val="000000"/>
              </w:rPr>
            </w:pPr>
            <w:r>
              <w:rPr>
                <w:rFonts w:ascii="Arial" w:hAnsi="Arial"/>
                <w:color w:val="000000"/>
              </w:rPr>
              <w:t>64</w:t>
            </w:r>
          </w:p>
        </w:tc>
        <w:tc>
          <w:tcPr>
            <w:tcW w:w="4110" w:type="dxa"/>
            <w:noWrap/>
            <w:vAlign w:val="center"/>
          </w:tcPr>
          <w:p w14:paraId="58F804E0" w14:textId="272B9290" w:rsidR="00BF25F0" w:rsidRDefault="00BF25F0" w:rsidP="0001482F">
            <w:pPr>
              <w:spacing w:before="40" w:after="40" w:line="240" w:lineRule="auto"/>
              <w:rPr>
                <w:rFonts w:ascii="Arial" w:hAnsi="Arial"/>
                <w:color w:val="000000"/>
              </w:rPr>
            </w:pPr>
            <w:r>
              <w:rPr>
                <w:rFonts w:ascii="Arial" w:hAnsi="Arial"/>
                <w:color w:val="000000"/>
              </w:rPr>
              <w:t>Procéder aux révisions et mises à jour nécessaires de la norme ST.97 de l’OMPI.</w:t>
            </w:r>
          </w:p>
        </w:tc>
        <w:tc>
          <w:tcPr>
            <w:tcW w:w="1701" w:type="dxa"/>
            <w:noWrap/>
            <w:vAlign w:val="center"/>
          </w:tcPr>
          <w:p w14:paraId="3DDFE270" w14:textId="4DA25755" w:rsidR="00BF25F0" w:rsidRDefault="00BF25F0" w:rsidP="0001482F">
            <w:pPr>
              <w:spacing w:before="40" w:after="40" w:line="240" w:lineRule="auto"/>
              <w:rPr>
                <w:rFonts w:ascii="Arial" w:hAnsi="Arial"/>
                <w:color w:val="000000"/>
              </w:rPr>
            </w:pPr>
            <w:r>
              <w:rPr>
                <w:rFonts w:ascii="Arial" w:hAnsi="Arial"/>
                <w:color w:val="000000"/>
              </w:rPr>
              <w:t>Très active</w:t>
            </w:r>
          </w:p>
        </w:tc>
        <w:tc>
          <w:tcPr>
            <w:tcW w:w="1418" w:type="dxa"/>
            <w:noWrap/>
            <w:vAlign w:val="center"/>
          </w:tcPr>
          <w:p w14:paraId="50FEAD17" w14:textId="67FD3A7C" w:rsidR="00BF25F0" w:rsidRDefault="00BF25F0" w:rsidP="0001482F">
            <w:pPr>
              <w:spacing w:before="40" w:after="40" w:line="240" w:lineRule="auto"/>
              <w:rPr>
                <w:rFonts w:ascii="Arial" w:hAnsi="Arial"/>
                <w:color w:val="000000"/>
              </w:rPr>
            </w:pPr>
            <w:r>
              <w:rPr>
                <w:rFonts w:ascii="Arial" w:hAnsi="Arial"/>
                <w:color w:val="000000"/>
              </w:rPr>
              <w:t>Élevée</w:t>
            </w:r>
          </w:p>
        </w:tc>
        <w:tc>
          <w:tcPr>
            <w:tcW w:w="1417" w:type="dxa"/>
            <w:vAlign w:val="center"/>
          </w:tcPr>
          <w:p w14:paraId="5543335B" w14:textId="78B98262" w:rsidR="00BF25F0" w:rsidRDefault="00BF25F0" w:rsidP="0001482F">
            <w:pPr>
              <w:spacing w:before="40" w:after="40" w:line="240" w:lineRule="auto"/>
              <w:rPr>
                <w:rFonts w:ascii="Arial" w:hAnsi="Arial"/>
              </w:rPr>
            </w:pPr>
            <w:r>
              <w:rPr>
                <w:rFonts w:ascii="Arial" w:hAnsi="Arial"/>
                <w:color w:val="000000"/>
              </w:rPr>
              <w:t>Importante</w:t>
            </w:r>
          </w:p>
        </w:tc>
      </w:tr>
      <w:tr w:rsidR="00BF25F0" w:rsidRPr="002B3F16" w14:paraId="5006F641" w14:textId="77777777" w:rsidTr="003F23BB">
        <w:trPr>
          <w:trHeight w:val="144"/>
        </w:trPr>
        <w:tc>
          <w:tcPr>
            <w:tcW w:w="988" w:type="dxa"/>
            <w:noWrap/>
            <w:vAlign w:val="center"/>
          </w:tcPr>
          <w:p w14:paraId="36C51072" w14:textId="3621EF62" w:rsidR="00BF25F0" w:rsidRDefault="00BF25F0" w:rsidP="0001482F">
            <w:pPr>
              <w:spacing w:before="40" w:after="40" w:line="240" w:lineRule="auto"/>
              <w:rPr>
                <w:rFonts w:ascii="Arial" w:hAnsi="Arial"/>
                <w:color w:val="000000"/>
              </w:rPr>
            </w:pPr>
            <w:r>
              <w:rPr>
                <w:rFonts w:ascii="Arial" w:hAnsi="Arial"/>
              </w:rPr>
              <w:t>65</w:t>
            </w:r>
          </w:p>
        </w:tc>
        <w:tc>
          <w:tcPr>
            <w:tcW w:w="4110" w:type="dxa"/>
            <w:noWrap/>
            <w:vAlign w:val="center"/>
          </w:tcPr>
          <w:p w14:paraId="4114ACAC" w14:textId="250C8EC4" w:rsidR="00BF25F0" w:rsidRDefault="00BF25F0" w:rsidP="0001482F">
            <w:pPr>
              <w:spacing w:before="40" w:after="40" w:line="240" w:lineRule="auto"/>
              <w:rPr>
                <w:rFonts w:ascii="Arial" w:hAnsi="Arial"/>
                <w:color w:val="000000"/>
              </w:rPr>
            </w:pPr>
            <w:r>
              <w:rPr>
                <w:rStyle w:val="normaltextrun"/>
                <w:rFonts w:ascii="Arial" w:hAnsi="Arial"/>
                <w:bdr w:val="none" w:sz="0" w:space="0" w:color="auto" w:frame="1"/>
              </w:rPr>
              <w:t>Procéder aux révisions et aux mises à jour nécessaires de la norme ST.92 de l’OMPI et soutenir les offices de propriété intellectuelle dans la mise en</w:t>
            </w:r>
            <w:r w:rsidR="003F23BB">
              <w:rPr>
                <w:rStyle w:val="normaltextrun"/>
                <w:rFonts w:ascii="Arial" w:hAnsi="Arial"/>
                <w:bdr w:val="none" w:sz="0" w:space="0" w:color="auto" w:frame="1"/>
              </w:rPr>
              <w:t> </w:t>
            </w:r>
            <w:r>
              <w:rPr>
                <w:rStyle w:val="normaltextrun"/>
                <w:rFonts w:ascii="Arial" w:hAnsi="Arial"/>
                <w:bdr w:val="none" w:sz="0" w:space="0" w:color="auto" w:frame="1"/>
              </w:rPr>
              <w:t>œuvre de la norme avant le</w:t>
            </w:r>
            <w:r w:rsidR="003F23BB">
              <w:rPr>
                <w:rStyle w:val="normaltextrun"/>
                <w:rFonts w:ascii="Arial" w:hAnsi="Arial"/>
                <w:bdr w:val="none" w:sz="0" w:space="0" w:color="auto" w:frame="1"/>
              </w:rPr>
              <w:t> </w:t>
            </w:r>
            <w:r>
              <w:rPr>
                <w:rStyle w:val="normaltextrun"/>
                <w:rFonts w:ascii="Arial" w:hAnsi="Arial"/>
                <w:bdr w:val="none" w:sz="0" w:space="0" w:color="auto" w:frame="1"/>
              </w:rPr>
              <w:t>1</w:t>
            </w:r>
            <w:r>
              <w:rPr>
                <w:rStyle w:val="normaltextrun"/>
                <w:rFonts w:ascii="Arial" w:hAnsi="Arial"/>
                <w:bdr w:val="none" w:sz="0" w:space="0" w:color="auto" w:frame="1"/>
                <w:vertAlign w:val="superscript"/>
              </w:rPr>
              <w:t>er</w:t>
            </w:r>
            <w:r>
              <w:rPr>
                <w:rStyle w:val="normaltextrun"/>
                <w:rFonts w:ascii="Arial" w:hAnsi="Arial"/>
                <w:bdr w:val="none" w:sz="0" w:space="0" w:color="auto" w:frame="1"/>
              </w:rPr>
              <w:t> juillet 2027.</w:t>
            </w:r>
          </w:p>
        </w:tc>
        <w:tc>
          <w:tcPr>
            <w:tcW w:w="1701" w:type="dxa"/>
            <w:noWrap/>
            <w:vAlign w:val="center"/>
          </w:tcPr>
          <w:p w14:paraId="5131125B" w14:textId="69F967CE" w:rsidR="00BF25F0" w:rsidRDefault="00BF25F0" w:rsidP="0001482F">
            <w:pPr>
              <w:spacing w:before="40" w:after="40" w:line="240" w:lineRule="auto"/>
              <w:rPr>
                <w:rFonts w:ascii="Arial" w:hAnsi="Arial"/>
                <w:color w:val="000000"/>
              </w:rPr>
            </w:pPr>
            <w:r>
              <w:rPr>
                <w:rFonts w:ascii="Arial" w:hAnsi="Arial"/>
                <w:color w:val="000000"/>
              </w:rPr>
              <w:t>Très active</w:t>
            </w:r>
          </w:p>
        </w:tc>
        <w:tc>
          <w:tcPr>
            <w:tcW w:w="1418" w:type="dxa"/>
            <w:noWrap/>
            <w:vAlign w:val="center"/>
          </w:tcPr>
          <w:p w14:paraId="629A1F06" w14:textId="20104672" w:rsidR="00BF25F0" w:rsidRDefault="00BF25F0" w:rsidP="0001482F">
            <w:pPr>
              <w:spacing w:before="40" w:after="40" w:line="240" w:lineRule="auto"/>
              <w:rPr>
                <w:rFonts w:ascii="Arial" w:hAnsi="Arial"/>
                <w:color w:val="000000"/>
              </w:rPr>
            </w:pPr>
            <w:r>
              <w:rPr>
                <w:rFonts w:ascii="Arial" w:hAnsi="Arial"/>
                <w:color w:val="000000"/>
              </w:rPr>
              <w:t>Élevée</w:t>
            </w:r>
          </w:p>
        </w:tc>
        <w:tc>
          <w:tcPr>
            <w:tcW w:w="1417" w:type="dxa"/>
            <w:vAlign w:val="center"/>
          </w:tcPr>
          <w:p w14:paraId="4DA50D95" w14:textId="2B6B3984" w:rsidR="00BF25F0" w:rsidRDefault="00BF25F0" w:rsidP="0001482F">
            <w:pPr>
              <w:spacing w:before="40" w:after="40" w:line="240" w:lineRule="auto"/>
              <w:rPr>
                <w:rFonts w:ascii="Arial" w:hAnsi="Arial"/>
                <w:color w:val="000000"/>
              </w:rPr>
            </w:pPr>
            <w:r>
              <w:rPr>
                <w:rFonts w:ascii="Arial" w:hAnsi="Arial"/>
              </w:rPr>
              <w:t>Essentielle</w:t>
            </w:r>
          </w:p>
        </w:tc>
      </w:tr>
      <w:tr w:rsidR="00102BB9" w:rsidRPr="002B3F16" w14:paraId="27E784CF" w14:textId="5C29C1B2" w:rsidTr="003F23BB">
        <w:trPr>
          <w:trHeight w:val="144"/>
        </w:trPr>
        <w:tc>
          <w:tcPr>
            <w:tcW w:w="988" w:type="dxa"/>
            <w:noWrap/>
            <w:vAlign w:val="center"/>
            <w:hideMark/>
          </w:tcPr>
          <w:p w14:paraId="7A3F2A5E" w14:textId="09C40716" w:rsidR="00102BB9" w:rsidRPr="00BF25F0" w:rsidRDefault="00102BB9" w:rsidP="0001482F">
            <w:pPr>
              <w:spacing w:before="40" w:after="40" w:line="240" w:lineRule="auto"/>
              <w:rPr>
                <w:rFonts w:ascii="Arial" w:hAnsi="Arial"/>
              </w:rPr>
            </w:pPr>
            <w:r w:rsidRPr="00BF25F0">
              <w:rPr>
                <w:rFonts w:ascii="Arial" w:hAnsi="Arial"/>
              </w:rPr>
              <w:t>66</w:t>
            </w:r>
          </w:p>
        </w:tc>
        <w:tc>
          <w:tcPr>
            <w:tcW w:w="4110" w:type="dxa"/>
            <w:noWrap/>
            <w:vAlign w:val="center"/>
            <w:hideMark/>
          </w:tcPr>
          <w:p w14:paraId="64493F19" w14:textId="4A120157" w:rsidR="00102BB9" w:rsidRPr="00BF25F0" w:rsidRDefault="00102BB9" w:rsidP="0001482F">
            <w:pPr>
              <w:spacing w:before="40" w:after="40" w:line="240" w:lineRule="auto"/>
              <w:rPr>
                <w:rFonts w:ascii="Arial" w:hAnsi="Arial"/>
              </w:rPr>
            </w:pPr>
            <w:r w:rsidRPr="00BF25F0">
              <w:rPr>
                <w:rFonts w:ascii="Arial" w:hAnsi="Arial"/>
              </w:rPr>
              <w:t>Encourager les offices de propriété intellectuelle à fournir leur fichier d’autorité en matière de brevets conforme à la norme ST.37 de l’OMPI en fournissant tout appui technique ou toute formation nécessaire, en fonction des ressources disponibles.</w:t>
            </w:r>
          </w:p>
        </w:tc>
        <w:tc>
          <w:tcPr>
            <w:tcW w:w="1701" w:type="dxa"/>
            <w:noWrap/>
            <w:vAlign w:val="center"/>
            <w:hideMark/>
          </w:tcPr>
          <w:p w14:paraId="69069219" w14:textId="3C15C1CF" w:rsidR="00102BB9" w:rsidRPr="00BF25F0" w:rsidRDefault="00102BB9" w:rsidP="0001482F">
            <w:pPr>
              <w:spacing w:before="40" w:after="40" w:line="240" w:lineRule="auto"/>
              <w:rPr>
                <w:rFonts w:ascii="Arial" w:hAnsi="Arial"/>
              </w:rPr>
            </w:pPr>
            <w:r w:rsidRPr="00BF25F0">
              <w:rPr>
                <w:rFonts w:ascii="Arial" w:hAnsi="Arial"/>
              </w:rPr>
              <w:t>Active</w:t>
            </w:r>
          </w:p>
        </w:tc>
        <w:tc>
          <w:tcPr>
            <w:tcW w:w="1418" w:type="dxa"/>
            <w:noWrap/>
            <w:vAlign w:val="center"/>
            <w:hideMark/>
          </w:tcPr>
          <w:p w14:paraId="3C1FB820" w14:textId="44B0AFB0" w:rsidR="00102BB9" w:rsidRPr="00BF25F0" w:rsidRDefault="00102BB9" w:rsidP="0001482F">
            <w:pPr>
              <w:spacing w:before="40" w:after="40" w:line="240" w:lineRule="auto"/>
              <w:rPr>
                <w:rFonts w:ascii="Arial" w:hAnsi="Arial"/>
              </w:rPr>
            </w:pPr>
            <w:r w:rsidRPr="00BF25F0">
              <w:rPr>
                <w:rFonts w:ascii="Arial" w:hAnsi="Arial"/>
              </w:rPr>
              <w:t>Moyenne</w:t>
            </w:r>
          </w:p>
        </w:tc>
        <w:tc>
          <w:tcPr>
            <w:tcW w:w="1417" w:type="dxa"/>
            <w:vAlign w:val="center"/>
          </w:tcPr>
          <w:p w14:paraId="48F8B051" w14:textId="29B8F7B2" w:rsidR="00102BB9" w:rsidRPr="00BF25F0" w:rsidDel="00674183" w:rsidRDefault="00102BB9" w:rsidP="0001482F">
            <w:pPr>
              <w:spacing w:before="40" w:after="40" w:line="240" w:lineRule="auto"/>
              <w:rPr>
                <w:rFonts w:ascii="Arial" w:hAnsi="Arial"/>
              </w:rPr>
            </w:pPr>
            <w:r>
              <w:rPr>
                <w:rFonts w:ascii="Arial" w:hAnsi="Arial"/>
              </w:rPr>
              <w:t>Essentielle</w:t>
            </w:r>
          </w:p>
        </w:tc>
      </w:tr>
      <w:tr w:rsidR="00102BB9" w:rsidRPr="002B3F16" w14:paraId="13D0A02D" w14:textId="77777777" w:rsidTr="003F23BB">
        <w:trPr>
          <w:trHeight w:val="144"/>
        </w:trPr>
        <w:tc>
          <w:tcPr>
            <w:tcW w:w="988" w:type="dxa"/>
            <w:noWrap/>
            <w:vAlign w:val="center"/>
          </w:tcPr>
          <w:p w14:paraId="5DA3A7DA" w14:textId="2E3F51E1" w:rsidR="00102BB9" w:rsidRPr="00BF25F0" w:rsidRDefault="00102BB9" w:rsidP="0001482F">
            <w:pPr>
              <w:spacing w:before="40" w:after="40" w:line="240" w:lineRule="auto"/>
              <w:rPr>
                <w:rFonts w:ascii="Arial" w:hAnsi="Arial"/>
              </w:rPr>
            </w:pPr>
            <w:r w:rsidRPr="00BF25F0">
              <w:rPr>
                <w:rFonts w:ascii="Arial" w:hAnsi="Arial"/>
              </w:rPr>
              <w:t>67</w:t>
            </w:r>
          </w:p>
        </w:tc>
        <w:tc>
          <w:tcPr>
            <w:tcW w:w="4110" w:type="dxa"/>
            <w:noWrap/>
            <w:vAlign w:val="center"/>
          </w:tcPr>
          <w:p w14:paraId="6A6B4769" w14:textId="25062A68" w:rsidR="00102BB9" w:rsidRPr="00BF25F0" w:rsidRDefault="00102BB9" w:rsidP="0001482F">
            <w:pPr>
              <w:spacing w:before="40" w:after="40" w:line="240" w:lineRule="auto"/>
              <w:rPr>
                <w:rFonts w:ascii="Arial" w:hAnsi="Arial"/>
              </w:rPr>
            </w:pPr>
            <w:r w:rsidRPr="00BF25F0">
              <w:rPr>
                <w:rFonts w:ascii="Arial" w:hAnsi="Arial"/>
              </w:rPr>
              <w:t>Analyser les pratiques existantes et les difficultés rencontrées par les offices de propriété intellectuelle, en vue d’explorer des solutions et d’améliorer l’accès à l’échange de données mondiales relatives à la propriété intellectuelle.</w:t>
            </w:r>
          </w:p>
        </w:tc>
        <w:tc>
          <w:tcPr>
            <w:tcW w:w="1701" w:type="dxa"/>
            <w:noWrap/>
            <w:vAlign w:val="center"/>
          </w:tcPr>
          <w:p w14:paraId="309F7298" w14:textId="380324CE" w:rsidR="00102BB9" w:rsidRPr="00BF25F0" w:rsidRDefault="00102BB9" w:rsidP="0001482F">
            <w:pPr>
              <w:spacing w:before="40" w:after="40" w:line="240" w:lineRule="auto"/>
              <w:rPr>
                <w:rFonts w:ascii="Arial" w:hAnsi="Arial"/>
              </w:rPr>
            </w:pPr>
            <w:r w:rsidRPr="00BF25F0">
              <w:rPr>
                <w:rFonts w:ascii="Arial" w:hAnsi="Arial"/>
              </w:rPr>
              <w:t>Très active</w:t>
            </w:r>
          </w:p>
        </w:tc>
        <w:tc>
          <w:tcPr>
            <w:tcW w:w="1418" w:type="dxa"/>
            <w:noWrap/>
            <w:vAlign w:val="center"/>
          </w:tcPr>
          <w:p w14:paraId="6FFBF6D3" w14:textId="3F17FABA" w:rsidR="00102BB9" w:rsidRPr="00BF25F0" w:rsidDel="00674183" w:rsidRDefault="00102BB9" w:rsidP="0001482F">
            <w:pPr>
              <w:spacing w:before="40" w:after="40" w:line="240" w:lineRule="auto"/>
              <w:rPr>
                <w:rFonts w:ascii="Arial" w:hAnsi="Arial"/>
              </w:rPr>
            </w:pPr>
            <w:r w:rsidRPr="00BF25F0">
              <w:rPr>
                <w:rFonts w:ascii="Arial" w:hAnsi="Arial"/>
              </w:rPr>
              <w:t>Élevée</w:t>
            </w:r>
          </w:p>
        </w:tc>
        <w:tc>
          <w:tcPr>
            <w:tcW w:w="1417" w:type="dxa"/>
            <w:vAlign w:val="center"/>
          </w:tcPr>
          <w:p w14:paraId="3038F30A" w14:textId="6BA7D511" w:rsidR="00102BB9" w:rsidRPr="00BF25F0" w:rsidRDefault="00102BB9" w:rsidP="0001482F">
            <w:pPr>
              <w:spacing w:before="40" w:after="40" w:line="240" w:lineRule="auto"/>
              <w:rPr>
                <w:rFonts w:ascii="Arial" w:hAnsi="Arial"/>
              </w:rPr>
            </w:pPr>
            <w:r w:rsidRPr="00BF25F0">
              <w:rPr>
                <w:rFonts w:ascii="Arial" w:hAnsi="Arial"/>
              </w:rPr>
              <w:t>Importante</w:t>
            </w:r>
          </w:p>
        </w:tc>
      </w:tr>
    </w:tbl>
    <w:p w14:paraId="75F4FF16" w14:textId="1E115CFC" w:rsidR="00727CB3" w:rsidRPr="00B744CD" w:rsidRDefault="00727CB3" w:rsidP="00BF25F0">
      <w:pPr>
        <w:pStyle w:val="Endofdocument-Annex"/>
        <w:spacing w:before="720"/>
      </w:pPr>
      <w:r>
        <w:t>[Fin de l’annexe II et du document]</w:t>
      </w:r>
    </w:p>
    <w:sectPr w:rsidR="00727CB3" w:rsidRPr="00B744CD" w:rsidSect="00BF25F0">
      <w:headerReference w:type="default" r:id="rId13"/>
      <w:headerReference w:type="first" r:id="rId14"/>
      <w:pgSz w:w="12240" w:h="15840"/>
      <w:pgMar w:top="567" w:right="1134"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1FB71" w14:textId="77777777" w:rsidR="00F05737" w:rsidRDefault="00F05737" w:rsidP="002506EC">
      <w:pPr>
        <w:spacing w:after="0" w:line="240" w:lineRule="auto"/>
      </w:pPr>
      <w:r>
        <w:separator/>
      </w:r>
    </w:p>
  </w:endnote>
  <w:endnote w:type="continuationSeparator" w:id="0">
    <w:p w14:paraId="587EDBC4" w14:textId="77777777" w:rsidR="00F05737" w:rsidRDefault="00F05737" w:rsidP="00250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D2A79" w14:textId="77777777" w:rsidR="00F05737" w:rsidRDefault="00F05737" w:rsidP="002506EC">
      <w:pPr>
        <w:spacing w:after="0" w:line="240" w:lineRule="auto"/>
      </w:pPr>
      <w:r>
        <w:separator/>
      </w:r>
    </w:p>
  </w:footnote>
  <w:footnote w:type="continuationSeparator" w:id="0">
    <w:p w14:paraId="0CE258E3" w14:textId="77777777" w:rsidR="00F05737" w:rsidRDefault="00F05737" w:rsidP="00250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903F7" w14:textId="5E9ADD8D" w:rsidR="002B3F16" w:rsidRPr="00BF25F0" w:rsidRDefault="002B3F16" w:rsidP="002B3F16">
    <w:pPr>
      <w:pStyle w:val="Header"/>
      <w:jc w:val="right"/>
      <w:rPr>
        <w:rFonts w:ascii="Arial" w:hAnsi="Arial" w:cs="Arial"/>
      </w:rPr>
    </w:pPr>
    <w:r w:rsidRPr="00BF25F0">
      <w:rPr>
        <w:rFonts w:ascii="Arial" w:hAnsi="Arial" w:cs="Arial"/>
      </w:rPr>
      <w:t>CWS/13/31</w:t>
    </w:r>
    <w:r w:rsidR="00BB29BC">
      <w:rPr>
        <w:rFonts w:ascii="Arial" w:hAnsi="Arial" w:cs="Arial"/>
      </w:rPr>
      <w:t> Rev.</w:t>
    </w:r>
    <w:r w:rsidR="0001482F">
      <w:rPr>
        <w:rFonts w:ascii="Arial" w:hAnsi="Arial" w:cs="Arial"/>
      </w:rPr>
      <w:t>2</w:t>
    </w:r>
  </w:p>
  <w:p w14:paraId="131D9010" w14:textId="5A41DDCE" w:rsidR="00532691" w:rsidRPr="00BF25F0" w:rsidRDefault="00532691" w:rsidP="00BF25F0">
    <w:pPr>
      <w:pStyle w:val="Header"/>
      <w:spacing w:after="480"/>
      <w:jc w:val="right"/>
      <w:rPr>
        <w:rFonts w:ascii="Arial" w:hAnsi="Arial" w:cs="Arial"/>
      </w:rPr>
    </w:pPr>
    <w:r w:rsidRPr="00BF25F0">
      <w:rPr>
        <w:rFonts w:ascii="Arial" w:hAnsi="Arial" w:cs="Arial"/>
      </w:rPr>
      <w:t>Annexe II, page </w:t>
    </w:r>
    <w:r w:rsidRPr="00BF25F0">
      <w:rPr>
        <w:rFonts w:ascii="Arial" w:hAnsi="Arial" w:cs="Arial"/>
      </w:rPr>
      <w:fldChar w:fldCharType="begin"/>
    </w:r>
    <w:r w:rsidRPr="00BF25F0">
      <w:rPr>
        <w:rFonts w:ascii="Arial" w:hAnsi="Arial" w:cs="Arial"/>
      </w:rPr>
      <w:instrText xml:space="preserve"> PAGE   \* MERGEFORMAT </w:instrText>
    </w:r>
    <w:r w:rsidRPr="00BF25F0">
      <w:rPr>
        <w:rFonts w:ascii="Arial" w:hAnsi="Arial" w:cs="Arial"/>
      </w:rPr>
      <w:fldChar w:fldCharType="separate"/>
    </w:r>
    <w:r w:rsidRPr="00BF25F0">
      <w:rPr>
        <w:rFonts w:ascii="Arial" w:hAnsi="Arial" w:cs="Arial"/>
      </w:rPr>
      <w:t>1</w:t>
    </w:r>
    <w:r w:rsidRPr="00BF25F0">
      <w:rPr>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2DA3" w14:textId="372697D0" w:rsidR="00532691" w:rsidRPr="00532691" w:rsidRDefault="00532691" w:rsidP="00532691">
    <w:pPr>
      <w:pStyle w:val="Header"/>
      <w:jc w:val="right"/>
      <w:rPr>
        <w:rFonts w:asciiTheme="minorBidi" w:hAnsiTheme="minorBidi"/>
      </w:rPr>
    </w:pPr>
    <w:r>
      <w:rPr>
        <w:rFonts w:asciiTheme="minorBidi" w:hAnsiTheme="minorBidi"/>
      </w:rPr>
      <w:t>CWS/13/31</w:t>
    </w:r>
    <w:r w:rsidR="00BB29BC">
      <w:rPr>
        <w:rFonts w:asciiTheme="minorBidi" w:hAnsiTheme="minorBidi"/>
      </w:rPr>
      <w:t> Rev.</w:t>
    </w:r>
    <w:r w:rsidR="0001482F">
      <w:rPr>
        <w:rFonts w:asciiTheme="minorBidi" w:hAnsiTheme="minorBidi"/>
      </w:rPr>
      <w:t>2</w:t>
    </w:r>
  </w:p>
  <w:p w14:paraId="4F428B86" w14:textId="649C3175" w:rsidR="00532691" w:rsidRPr="00532691" w:rsidRDefault="00532691" w:rsidP="00BF25F0">
    <w:pPr>
      <w:pStyle w:val="Header"/>
      <w:spacing w:after="480"/>
      <w:jc w:val="right"/>
      <w:rPr>
        <w:rFonts w:asciiTheme="minorBidi" w:hAnsiTheme="minorBidi"/>
      </w:rPr>
    </w:pPr>
    <w:r>
      <w:rPr>
        <w:rFonts w:asciiTheme="minorBidi" w:hAnsiTheme="minorBidi"/>
      </w:rPr>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E75"/>
    <w:multiLevelType w:val="hybridMultilevel"/>
    <w:tmpl w:val="355A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0E54ED"/>
    <w:multiLevelType w:val="hybridMultilevel"/>
    <w:tmpl w:val="8D7A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C548CF"/>
    <w:multiLevelType w:val="hybridMultilevel"/>
    <w:tmpl w:val="F3B656AA"/>
    <w:lvl w:ilvl="0" w:tplc="602630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524EA1"/>
    <w:multiLevelType w:val="hybridMultilevel"/>
    <w:tmpl w:val="6CF8E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6954037">
    <w:abstractNumId w:val="0"/>
  </w:num>
  <w:num w:numId="2" w16cid:durableId="196816423">
    <w:abstractNumId w:val="1"/>
  </w:num>
  <w:num w:numId="3" w16cid:durableId="129902249">
    <w:abstractNumId w:val="3"/>
  </w:num>
  <w:num w:numId="4" w16cid:durableId="677662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EC"/>
    <w:rsid w:val="00010BCB"/>
    <w:rsid w:val="0001482F"/>
    <w:rsid w:val="00014E31"/>
    <w:rsid w:val="000361B8"/>
    <w:rsid w:val="00036854"/>
    <w:rsid w:val="0004451B"/>
    <w:rsid w:val="00061692"/>
    <w:rsid w:val="000702B9"/>
    <w:rsid w:val="00071CFB"/>
    <w:rsid w:val="0007341E"/>
    <w:rsid w:val="000879A0"/>
    <w:rsid w:val="000A7F1E"/>
    <w:rsid w:val="000B3291"/>
    <w:rsid w:val="000C0B01"/>
    <w:rsid w:val="000D3A20"/>
    <w:rsid w:val="00102BB9"/>
    <w:rsid w:val="00103EDE"/>
    <w:rsid w:val="0010477A"/>
    <w:rsid w:val="001164F7"/>
    <w:rsid w:val="001269C7"/>
    <w:rsid w:val="00126CCA"/>
    <w:rsid w:val="00127818"/>
    <w:rsid w:val="001319A1"/>
    <w:rsid w:val="0013313A"/>
    <w:rsid w:val="00136BEC"/>
    <w:rsid w:val="00145AF6"/>
    <w:rsid w:val="00150DA6"/>
    <w:rsid w:val="00151276"/>
    <w:rsid w:val="00173676"/>
    <w:rsid w:val="00175D3E"/>
    <w:rsid w:val="00182A89"/>
    <w:rsid w:val="00183AD8"/>
    <w:rsid w:val="001A1B7C"/>
    <w:rsid w:val="001C6F82"/>
    <w:rsid w:val="001D1AF2"/>
    <w:rsid w:val="001F58DB"/>
    <w:rsid w:val="001F7CE5"/>
    <w:rsid w:val="00213A00"/>
    <w:rsid w:val="00222215"/>
    <w:rsid w:val="002506EC"/>
    <w:rsid w:val="002647A4"/>
    <w:rsid w:val="00265489"/>
    <w:rsid w:val="002679D8"/>
    <w:rsid w:val="00267C13"/>
    <w:rsid w:val="002712AC"/>
    <w:rsid w:val="00290941"/>
    <w:rsid w:val="00290F5E"/>
    <w:rsid w:val="002B3F16"/>
    <w:rsid w:val="002C03D7"/>
    <w:rsid w:val="002D2661"/>
    <w:rsid w:val="002E64B8"/>
    <w:rsid w:val="002E6B75"/>
    <w:rsid w:val="002F10A5"/>
    <w:rsid w:val="002F16DE"/>
    <w:rsid w:val="003007BF"/>
    <w:rsid w:val="00305BFF"/>
    <w:rsid w:val="00306079"/>
    <w:rsid w:val="00313858"/>
    <w:rsid w:val="00315B11"/>
    <w:rsid w:val="003216FA"/>
    <w:rsid w:val="00322CAF"/>
    <w:rsid w:val="0032641E"/>
    <w:rsid w:val="00327B6B"/>
    <w:rsid w:val="00327EDE"/>
    <w:rsid w:val="003361D3"/>
    <w:rsid w:val="00347199"/>
    <w:rsid w:val="003716AF"/>
    <w:rsid w:val="0037258A"/>
    <w:rsid w:val="00396263"/>
    <w:rsid w:val="003A6804"/>
    <w:rsid w:val="003B0276"/>
    <w:rsid w:val="003D041D"/>
    <w:rsid w:val="003F23BB"/>
    <w:rsid w:val="004074E9"/>
    <w:rsid w:val="00421060"/>
    <w:rsid w:val="00426A4D"/>
    <w:rsid w:val="00434951"/>
    <w:rsid w:val="00470F6F"/>
    <w:rsid w:val="00472D4F"/>
    <w:rsid w:val="00472DD9"/>
    <w:rsid w:val="004739AB"/>
    <w:rsid w:val="00493285"/>
    <w:rsid w:val="004A0F34"/>
    <w:rsid w:val="004A539C"/>
    <w:rsid w:val="004A62CB"/>
    <w:rsid w:val="004A73B6"/>
    <w:rsid w:val="004C2591"/>
    <w:rsid w:val="004C50E8"/>
    <w:rsid w:val="004C5BC9"/>
    <w:rsid w:val="004E07D8"/>
    <w:rsid w:val="004E0CAF"/>
    <w:rsid w:val="00504BB3"/>
    <w:rsid w:val="005129A8"/>
    <w:rsid w:val="00522E4A"/>
    <w:rsid w:val="005247C5"/>
    <w:rsid w:val="00524E7E"/>
    <w:rsid w:val="00525C74"/>
    <w:rsid w:val="00527E61"/>
    <w:rsid w:val="00530CCB"/>
    <w:rsid w:val="00531E4F"/>
    <w:rsid w:val="00532691"/>
    <w:rsid w:val="0054282C"/>
    <w:rsid w:val="00567F95"/>
    <w:rsid w:val="00580AC0"/>
    <w:rsid w:val="00583D45"/>
    <w:rsid w:val="00585F19"/>
    <w:rsid w:val="00586AFA"/>
    <w:rsid w:val="005A3588"/>
    <w:rsid w:val="005A43F5"/>
    <w:rsid w:val="005A552E"/>
    <w:rsid w:val="005A59F8"/>
    <w:rsid w:val="005D5BCB"/>
    <w:rsid w:val="005E33A7"/>
    <w:rsid w:val="005F0504"/>
    <w:rsid w:val="00600784"/>
    <w:rsid w:val="006046F9"/>
    <w:rsid w:val="0060477B"/>
    <w:rsid w:val="00607F30"/>
    <w:rsid w:val="00610694"/>
    <w:rsid w:val="006662B9"/>
    <w:rsid w:val="00671E66"/>
    <w:rsid w:val="00674183"/>
    <w:rsid w:val="00684385"/>
    <w:rsid w:val="00687739"/>
    <w:rsid w:val="006908A8"/>
    <w:rsid w:val="00694445"/>
    <w:rsid w:val="006A550E"/>
    <w:rsid w:val="006A6D3C"/>
    <w:rsid w:val="006B4DFA"/>
    <w:rsid w:val="006C015D"/>
    <w:rsid w:val="006C24C5"/>
    <w:rsid w:val="006D6BE2"/>
    <w:rsid w:val="006D7349"/>
    <w:rsid w:val="006F23B2"/>
    <w:rsid w:val="00701833"/>
    <w:rsid w:val="00701926"/>
    <w:rsid w:val="00702D3A"/>
    <w:rsid w:val="00727CB3"/>
    <w:rsid w:val="00741F97"/>
    <w:rsid w:val="0075511A"/>
    <w:rsid w:val="00761CA8"/>
    <w:rsid w:val="007743B8"/>
    <w:rsid w:val="0079347E"/>
    <w:rsid w:val="007A63A9"/>
    <w:rsid w:val="007C198E"/>
    <w:rsid w:val="007D0010"/>
    <w:rsid w:val="007D228A"/>
    <w:rsid w:val="007E5C22"/>
    <w:rsid w:val="0080650E"/>
    <w:rsid w:val="00815118"/>
    <w:rsid w:val="00815837"/>
    <w:rsid w:val="00821AE1"/>
    <w:rsid w:val="008326B5"/>
    <w:rsid w:val="00833CB3"/>
    <w:rsid w:val="008342D1"/>
    <w:rsid w:val="00844DC9"/>
    <w:rsid w:val="00855D85"/>
    <w:rsid w:val="008663AD"/>
    <w:rsid w:val="00873E96"/>
    <w:rsid w:val="008828A1"/>
    <w:rsid w:val="00884845"/>
    <w:rsid w:val="008930F2"/>
    <w:rsid w:val="008948DA"/>
    <w:rsid w:val="008A190B"/>
    <w:rsid w:val="008A6642"/>
    <w:rsid w:val="008C2946"/>
    <w:rsid w:val="008C7818"/>
    <w:rsid w:val="008D3155"/>
    <w:rsid w:val="008D543D"/>
    <w:rsid w:val="008F7158"/>
    <w:rsid w:val="00907C17"/>
    <w:rsid w:val="00915A8B"/>
    <w:rsid w:val="00916659"/>
    <w:rsid w:val="00923802"/>
    <w:rsid w:val="00936103"/>
    <w:rsid w:val="00954EA8"/>
    <w:rsid w:val="00961EB9"/>
    <w:rsid w:val="00975FC0"/>
    <w:rsid w:val="0098606B"/>
    <w:rsid w:val="00992009"/>
    <w:rsid w:val="00992A75"/>
    <w:rsid w:val="00994AC0"/>
    <w:rsid w:val="009A1078"/>
    <w:rsid w:val="009A2F2F"/>
    <w:rsid w:val="009A3D85"/>
    <w:rsid w:val="009B651D"/>
    <w:rsid w:val="009B6F12"/>
    <w:rsid w:val="009C0217"/>
    <w:rsid w:val="009C2D97"/>
    <w:rsid w:val="009C3717"/>
    <w:rsid w:val="009C5D18"/>
    <w:rsid w:val="009C6244"/>
    <w:rsid w:val="009C6FEC"/>
    <w:rsid w:val="009D4C49"/>
    <w:rsid w:val="009D56AC"/>
    <w:rsid w:val="009F2150"/>
    <w:rsid w:val="009F4DD9"/>
    <w:rsid w:val="00A21372"/>
    <w:rsid w:val="00A352DD"/>
    <w:rsid w:val="00A371DF"/>
    <w:rsid w:val="00A47E45"/>
    <w:rsid w:val="00A60ED9"/>
    <w:rsid w:val="00A61192"/>
    <w:rsid w:val="00A63182"/>
    <w:rsid w:val="00A72B34"/>
    <w:rsid w:val="00A7451E"/>
    <w:rsid w:val="00A83443"/>
    <w:rsid w:val="00A94559"/>
    <w:rsid w:val="00A95ED5"/>
    <w:rsid w:val="00AA0094"/>
    <w:rsid w:val="00AA21A3"/>
    <w:rsid w:val="00AA634D"/>
    <w:rsid w:val="00AB43B6"/>
    <w:rsid w:val="00AB5EE4"/>
    <w:rsid w:val="00AB7BDC"/>
    <w:rsid w:val="00AC2684"/>
    <w:rsid w:val="00B1264A"/>
    <w:rsid w:val="00B31211"/>
    <w:rsid w:val="00B3708D"/>
    <w:rsid w:val="00B563B1"/>
    <w:rsid w:val="00B60749"/>
    <w:rsid w:val="00B6743D"/>
    <w:rsid w:val="00B72CF3"/>
    <w:rsid w:val="00B744CD"/>
    <w:rsid w:val="00B91C8D"/>
    <w:rsid w:val="00B95E2F"/>
    <w:rsid w:val="00BA1997"/>
    <w:rsid w:val="00BA1E4F"/>
    <w:rsid w:val="00BA3845"/>
    <w:rsid w:val="00BB29BC"/>
    <w:rsid w:val="00BB32B1"/>
    <w:rsid w:val="00BB3A57"/>
    <w:rsid w:val="00BB5584"/>
    <w:rsid w:val="00BC3B18"/>
    <w:rsid w:val="00BC6617"/>
    <w:rsid w:val="00BD4920"/>
    <w:rsid w:val="00BE044E"/>
    <w:rsid w:val="00BE259B"/>
    <w:rsid w:val="00BE6AE5"/>
    <w:rsid w:val="00BF25F0"/>
    <w:rsid w:val="00BF2E59"/>
    <w:rsid w:val="00BF4FCE"/>
    <w:rsid w:val="00C05F3D"/>
    <w:rsid w:val="00C078DE"/>
    <w:rsid w:val="00C11C9E"/>
    <w:rsid w:val="00C27494"/>
    <w:rsid w:val="00C27A3A"/>
    <w:rsid w:val="00C52075"/>
    <w:rsid w:val="00C672BD"/>
    <w:rsid w:val="00C67461"/>
    <w:rsid w:val="00C677C4"/>
    <w:rsid w:val="00C75EA5"/>
    <w:rsid w:val="00C974AA"/>
    <w:rsid w:val="00CA09C0"/>
    <w:rsid w:val="00CB2A2E"/>
    <w:rsid w:val="00CB4F84"/>
    <w:rsid w:val="00CD229C"/>
    <w:rsid w:val="00CE31A5"/>
    <w:rsid w:val="00CE3B75"/>
    <w:rsid w:val="00CE4A48"/>
    <w:rsid w:val="00CE4AED"/>
    <w:rsid w:val="00CE6289"/>
    <w:rsid w:val="00CF0462"/>
    <w:rsid w:val="00CF363E"/>
    <w:rsid w:val="00CF416A"/>
    <w:rsid w:val="00CF669F"/>
    <w:rsid w:val="00D06412"/>
    <w:rsid w:val="00D14142"/>
    <w:rsid w:val="00D34929"/>
    <w:rsid w:val="00D45694"/>
    <w:rsid w:val="00D508A0"/>
    <w:rsid w:val="00D5486C"/>
    <w:rsid w:val="00D55C85"/>
    <w:rsid w:val="00D615E3"/>
    <w:rsid w:val="00D72572"/>
    <w:rsid w:val="00D8505B"/>
    <w:rsid w:val="00D93F6C"/>
    <w:rsid w:val="00DA77C7"/>
    <w:rsid w:val="00DB136F"/>
    <w:rsid w:val="00DB16C9"/>
    <w:rsid w:val="00DB3546"/>
    <w:rsid w:val="00DD6E8B"/>
    <w:rsid w:val="00DE6376"/>
    <w:rsid w:val="00E029BE"/>
    <w:rsid w:val="00E059A1"/>
    <w:rsid w:val="00E10512"/>
    <w:rsid w:val="00E226E5"/>
    <w:rsid w:val="00E24B48"/>
    <w:rsid w:val="00E30D1E"/>
    <w:rsid w:val="00E30D26"/>
    <w:rsid w:val="00E5210A"/>
    <w:rsid w:val="00E56EBF"/>
    <w:rsid w:val="00E7280F"/>
    <w:rsid w:val="00E77E88"/>
    <w:rsid w:val="00E96B99"/>
    <w:rsid w:val="00EA2FCA"/>
    <w:rsid w:val="00F05737"/>
    <w:rsid w:val="00F11FEB"/>
    <w:rsid w:val="00F20F12"/>
    <w:rsid w:val="00F521DA"/>
    <w:rsid w:val="00F60F08"/>
    <w:rsid w:val="00F66132"/>
    <w:rsid w:val="00F66AC8"/>
    <w:rsid w:val="00F738FE"/>
    <w:rsid w:val="00F77239"/>
    <w:rsid w:val="00F823BB"/>
    <w:rsid w:val="00F91800"/>
    <w:rsid w:val="00F93495"/>
    <w:rsid w:val="00F94832"/>
    <w:rsid w:val="00FB39A0"/>
    <w:rsid w:val="00FB5110"/>
    <w:rsid w:val="00FF31BA"/>
    <w:rsid w:val="018FE636"/>
    <w:rsid w:val="09693ABE"/>
    <w:rsid w:val="09A68F86"/>
    <w:rsid w:val="177C34A2"/>
    <w:rsid w:val="1891F3A4"/>
    <w:rsid w:val="1B1B6305"/>
    <w:rsid w:val="1C934FBD"/>
    <w:rsid w:val="1F0C6972"/>
    <w:rsid w:val="1FEA6FD4"/>
    <w:rsid w:val="2789D2C6"/>
    <w:rsid w:val="2D6E6F3F"/>
    <w:rsid w:val="461D2177"/>
    <w:rsid w:val="536D712D"/>
    <w:rsid w:val="5E55F26F"/>
    <w:rsid w:val="600ECF19"/>
    <w:rsid w:val="61732803"/>
    <w:rsid w:val="64E59D84"/>
    <w:rsid w:val="729A9E17"/>
    <w:rsid w:val="7408AF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3C4AF"/>
  <w15:chartTrackingRefBased/>
  <w15:docId w15:val="{B5A83246-6F53-499D-A9DC-E10ADD15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25F0"/>
    <w:pPr>
      <w:spacing w:after="360"/>
      <w:outlineLvl w:val="0"/>
    </w:pPr>
    <w:rPr>
      <w:rFonts w:ascii="Arial Bold" w:hAnsi="Arial Bold"/>
      <w:b/>
      <w:caps/>
    </w:rPr>
  </w:style>
  <w:style w:type="paragraph" w:styleId="Heading2">
    <w:name w:val="heading 2"/>
    <w:basedOn w:val="Normal"/>
    <w:next w:val="Normal"/>
    <w:link w:val="Heading2Char"/>
    <w:uiPriority w:val="9"/>
    <w:semiHidden/>
    <w:unhideWhenUsed/>
    <w:qFormat/>
    <w:rsid w:val="00250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6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6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6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6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6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6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6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5F0"/>
    <w:rPr>
      <w:rFonts w:ascii="Arial Bold" w:hAnsi="Arial Bold"/>
      <w:b/>
      <w:caps/>
    </w:rPr>
  </w:style>
  <w:style w:type="character" w:customStyle="1" w:styleId="Heading2Char">
    <w:name w:val="Heading 2 Char"/>
    <w:basedOn w:val="DefaultParagraphFont"/>
    <w:link w:val="Heading2"/>
    <w:uiPriority w:val="9"/>
    <w:semiHidden/>
    <w:rsid w:val="00250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6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6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6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6EC"/>
    <w:rPr>
      <w:rFonts w:eastAsiaTheme="majorEastAsia" w:cstheme="majorBidi"/>
      <w:color w:val="272727" w:themeColor="text1" w:themeTint="D8"/>
    </w:rPr>
  </w:style>
  <w:style w:type="paragraph" w:styleId="Title">
    <w:name w:val="Title"/>
    <w:basedOn w:val="Normal"/>
    <w:next w:val="Normal"/>
    <w:link w:val="TitleChar"/>
    <w:uiPriority w:val="10"/>
    <w:qFormat/>
    <w:rsid w:val="00250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6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6EC"/>
    <w:pPr>
      <w:spacing w:before="160"/>
      <w:jc w:val="center"/>
    </w:pPr>
    <w:rPr>
      <w:i/>
      <w:iCs/>
      <w:color w:val="404040" w:themeColor="text1" w:themeTint="BF"/>
    </w:rPr>
  </w:style>
  <w:style w:type="character" w:customStyle="1" w:styleId="QuoteChar">
    <w:name w:val="Quote Char"/>
    <w:basedOn w:val="DefaultParagraphFont"/>
    <w:link w:val="Quote"/>
    <w:uiPriority w:val="29"/>
    <w:rsid w:val="002506EC"/>
    <w:rPr>
      <w:i/>
      <w:iCs/>
      <w:color w:val="404040" w:themeColor="text1" w:themeTint="BF"/>
    </w:rPr>
  </w:style>
  <w:style w:type="paragraph" w:styleId="ListParagraph">
    <w:name w:val="List Paragraph"/>
    <w:basedOn w:val="Normal"/>
    <w:uiPriority w:val="34"/>
    <w:qFormat/>
    <w:rsid w:val="002506EC"/>
    <w:pPr>
      <w:ind w:left="720"/>
      <w:contextualSpacing/>
    </w:pPr>
  </w:style>
  <w:style w:type="character" w:styleId="IntenseEmphasis">
    <w:name w:val="Intense Emphasis"/>
    <w:basedOn w:val="DefaultParagraphFont"/>
    <w:uiPriority w:val="21"/>
    <w:qFormat/>
    <w:rsid w:val="002506EC"/>
    <w:rPr>
      <w:i/>
      <w:iCs/>
      <w:color w:val="0F4761" w:themeColor="accent1" w:themeShade="BF"/>
    </w:rPr>
  </w:style>
  <w:style w:type="paragraph" w:styleId="IntenseQuote">
    <w:name w:val="Intense Quote"/>
    <w:basedOn w:val="Normal"/>
    <w:next w:val="Normal"/>
    <w:link w:val="IntenseQuoteChar"/>
    <w:uiPriority w:val="30"/>
    <w:qFormat/>
    <w:rsid w:val="00250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6EC"/>
    <w:rPr>
      <w:i/>
      <w:iCs/>
      <w:color w:val="0F4761" w:themeColor="accent1" w:themeShade="BF"/>
    </w:rPr>
  </w:style>
  <w:style w:type="character" w:styleId="IntenseReference">
    <w:name w:val="Intense Reference"/>
    <w:basedOn w:val="DefaultParagraphFont"/>
    <w:uiPriority w:val="32"/>
    <w:qFormat/>
    <w:rsid w:val="002506EC"/>
    <w:rPr>
      <w:b/>
      <w:bCs/>
      <w:smallCaps/>
      <w:color w:val="0F4761" w:themeColor="accent1" w:themeShade="BF"/>
      <w:spacing w:val="5"/>
    </w:rPr>
  </w:style>
  <w:style w:type="paragraph" w:styleId="Footer">
    <w:name w:val="footer"/>
    <w:basedOn w:val="Normal"/>
    <w:link w:val="FooterChar"/>
    <w:uiPriority w:val="99"/>
    <w:unhideWhenUsed/>
    <w:rsid w:val="00250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6EC"/>
  </w:style>
  <w:style w:type="paragraph" w:styleId="Header">
    <w:name w:val="header"/>
    <w:basedOn w:val="Normal"/>
    <w:link w:val="HeaderChar"/>
    <w:uiPriority w:val="99"/>
    <w:unhideWhenUsed/>
    <w:rsid w:val="002B3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F16"/>
  </w:style>
  <w:style w:type="paragraph" w:styleId="Revision">
    <w:name w:val="Revision"/>
    <w:hidden/>
    <w:uiPriority w:val="99"/>
    <w:semiHidden/>
    <w:rsid w:val="00961EB9"/>
    <w:pPr>
      <w:spacing w:after="0" w:line="240" w:lineRule="auto"/>
    </w:pPr>
  </w:style>
  <w:style w:type="character" w:styleId="CommentReference">
    <w:name w:val="annotation reference"/>
    <w:basedOn w:val="DefaultParagraphFont"/>
    <w:semiHidden/>
    <w:unhideWhenUsed/>
    <w:rsid w:val="00A72B34"/>
    <w:rPr>
      <w:sz w:val="16"/>
      <w:szCs w:val="16"/>
    </w:rPr>
  </w:style>
  <w:style w:type="paragraph" w:styleId="CommentText">
    <w:name w:val="annotation text"/>
    <w:basedOn w:val="Normal"/>
    <w:link w:val="CommentTextChar"/>
    <w:unhideWhenUsed/>
    <w:rsid w:val="00A72B34"/>
    <w:pPr>
      <w:spacing w:line="240" w:lineRule="auto"/>
    </w:pPr>
    <w:rPr>
      <w:sz w:val="20"/>
      <w:szCs w:val="20"/>
    </w:rPr>
  </w:style>
  <w:style w:type="character" w:customStyle="1" w:styleId="CommentTextChar">
    <w:name w:val="Comment Text Char"/>
    <w:basedOn w:val="DefaultParagraphFont"/>
    <w:link w:val="CommentText"/>
    <w:rsid w:val="00A72B34"/>
    <w:rPr>
      <w:sz w:val="20"/>
      <w:szCs w:val="20"/>
    </w:rPr>
  </w:style>
  <w:style w:type="paragraph" w:styleId="CommentSubject">
    <w:name w:val="annotation subject"/>
    <w:basedOn w:val="CommentText"/>
    <w:next w:val="CommentText"/>
    <w:link w:val="CommentSubjectChar"/>
    <w:uiPriority w:val="99"/>
    <w:semiHidden/>
    <w:unhideWhenUsed/>
    <w:rsid w:val="00A72B34"/>
    <w:rPr>
      <w:b/>
      <w:bCs/>
    </w:rPr>
  </w:style>
  <w:style w:type="character" w:customStyle="1" w:styleId="CommentSubjectChar">
    <w:name w:val="Comment Subject Char"/>
    <w:basedOn w:val="CommentTextChar"/>
    <w:link w:val="CommentSubject"/>
    <w:uiPriority w:val="99"/>
    <w:semiHidden/>
    <w:rsid w:val="00A72B34"/>
    <w:rPr>
      <w:b/>
      <w:bCs/>
      <w:sz w:val="20"/>
      <w:szCs w:val="20"/>
    </w:rPr>
  </w:style>
  <w:style w:type="character" w:customStyle="1" w:styleId="normaltextrun">
    <w:name w:val="normaltextrun"/>
    <w:basedOn w:val="DefaultParagraphFont"/>
    <w:rsid w:val="001269C7"/>
  </w:style>
  <w:style w:type="character" w:styleId="Hyperlink">
    <w:name w:val="Hyperlink"/>
    <w:unhideWhenUsed/>
    <w:rsid w:val="00873E96"/>
    <w:rPr>
      <w:color w:val="0000FF"/>
      <w:u w:val="single"/>
    </w:rPr>
  </w:style>
  <w:style w:type="paragraph" w:customStyle="1" w:styleId="Endofdocument">
    <w:name w:val="End of document"/>
    <w:basedOn w:val="Normal"/>
    <w:rsid w:val="00727CB3"/>
    <w:pPr>
      <w:spacing w:after="0" w:line="240" w:lineRule="auto"/>
      <w:ind w:left="5534"/>
    </w:pPr>
    <w:rPr>
      <w:rFonts w:ascii="Arial" w:eastAsia="SimSun" w:hAnsi="Arial" w:cs="Arial"/>
      <w:kern w:val="0"/>
      <w:szCs w:val="20"/>
      <w:lang w:eastAsia="zh-CN"/>
      <w14:ligatures w14:val="none"/>
    </w:rPr>
  </w:style>
  <w:style w:type="paragraph" w:customStyle="1" w:styleId="Endofdocument-Annex">
    <w:name w:val="[End of document - Annex]"/>
    <w:basedOn w:val="Normal"/>
    <w:rsid w:val="00BF25F0"/>
    <w:pPr>
      <w:spacing w:after="0" w:line="240" w:lineRule="auto"/>
      <w:ind w:left="5534"/>
    </w:pPr>
    <w:rPr>
      <w:rFonts w:ascii="Arial" w:eastAsia="SimSun" w:hAnsi="Arial" w:cs="Arial"/>
      <w:kern w:val="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02329">
      <w:bodyDiv w:val="1"/>
      <w:marLeft w:val="0"/>
      <w:marRight w:val="0"/>
      <w:marTop w:val="0"/>
      <w:marBottom w:val="0"/>
      <w:divBdr>
        <w:top w:val="none" w:sz="0" w:space="0" w:color="auto"/>
        <w:left w:val="none" w:sz="0" w:space="0" w:color="auto"/>
        <w:bottom w:val="none" w:sz="0" w:space="0" w:color="auto"/>
        <w:right w:val="none" w:sz="0" w:space="0" w:color="auto"/>
      </w:divBdr>
    </w:div>
    <w:div w:id="661323978">
      <w:bodyDiv w:val="1"/>
      <w:marLeft w:val="0"/>
      <w:marRight w:val="0"/>
      <w:marTop w:val="0"/>
      <w:marBottom w:val="0"/>
      <w:divBdr>
        <w:top w:val="none" w:sz="0" w:space="0" w:color="auto"/>
        <w:left w:val="none" w:sz="0" w:space="0" w:color="auto"/>
        <w:bottom w:val="none" w:sz="0" w:space="0" w:color="auto"/>
        <w:right w:val="none" w:sz="0" w:space="0" w:color="auto"/>
      </w:divBdr>
    </w:div>
    <w:div w:id="1314680733">
      <w:bodyDiv w:val="1"/>
      <w:marLeft w:val="0"/>
      <w:marRight w:val="0"/>
      <w:marTop w:val="0"/>
      <w:marBottom w:val="0"/>
      <w:divBdr>
        <w:top w:val="none" w:sz="0" w:space="0" w:color="auto"/>
        <w:left w:val="none" w:sz="0" w:space="0" w:color="auto"/>
        <w:bottom w:val="none" w:sz="0" w:space="0" w:color="auto"/>
        <w:right w:val="none" w:sz="0" w:space="0" w:color="auto"/>
      </w:divBdr>
    </w:div>
    <w:div w:id="1540126232">
      <w:bodyDiv w:val="1"/>
      <w:marLeft w:val="0"/>
      <w:marRight w:val="0"/>
      <w:marTop w:val="0"/>
      <w:marBottom w:val="0"/>
      <w:divBdr>
        <w:top w:val="none" w:sz="0" w:space="0" w:color="auto"/>
        <w:left w:val="none" w:sz="0" w:space="0" w:color="auto"/>
        <w:bottom w:val="none" w:sz="0" w:space="0" w:color="auto"/>
        <w:right w:val="none" w:sz="0" w:space="0" w:color="auto"/>
      </w:divBdr>
    </w:div>
    <w:div w:id="1650472904">
      <w:bodyDiv w:val="1"/>
      <w:marLeft w:val="0"/>
      <w:marRight w:val="0"/>
      <w:marTop w:val="0"/>
      <w:marBottom w:val="0"/>
      <w:divBdr>
        <w:top w:val="none" w:sz="0" w:space="0" w:color="auto"/>
        <w:left w:val="none" w:sz="0" w:space="0" w:color="auto"/>
        <w:bottom w:val="none" w:sz="0" w:space="0" w:color="auto"/>
        <w:right w:val="none" w:sz="0" w:space="0" w:color="auto"/>
      </w:divBdr>
      <w:divsChild>
        <w:div w:id="1009261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ICSDBFP-360348501-19454</_dlc_DocId>
    <_dlc_DocIdUrl xmlns="ec94eb93-2160-433d-bc9d-10bdc50beb83">
      <Url>https://wipoprod.sharepoint.com/sites/SPS-INT-BFP-ICSD-CWS/_layouts/15/DocIdRedir.aspx?ID=ICSDBFP-360348501-19454</Url>
      <Description>ICSDBFP-360348501-19454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292" ma:contentTypeDescription="" ma:contentTypeScope="" ma:versionID="f49e8a31b226cdb9cbf7fa670ccf81b3">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48F357-5492-4AFA-BDA6-AE8238B801FC}">
  <ds:schemaRefs>
    <ds:schemaRef ds:uri="Microsoft.SharePoint.Taxonomy.ContentTypeSync"/>
  </ds:schemaRefs>
</ds:datastoreItem>
</file>

<file path=customXml/itemProps2.xml><?xml version="1.0" encoding="utf-8"?>
<ds:datastoreItem xmlns:ds="http://schemas.openxmlformats.org/officeDocument/2006/customXml" ds:itemID="{DF7FD8FD-2BD2-4A7A-A8C0-79250C8D73AD}">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3.xml><?xml version="1.0" encoding="utf-8"?>
<ds:datastoreItem xmlns:ds="http://schemas.openxmlformats.org/officeDocument/2006/customXml" ds:itemID="{56CCD4E3-1D53-4753-A56D-8F5C2BBD9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B278F4-B804-4520-AB9F-6A98BEA611A6}">
  <ds:schemaRefs>
    <ds:schemaRef ds:uri="http://schemas.openxmlformats.org/officeDocument/2006/bibliography"/>
  </ds:schemaRefs>
</ds:datastoreItem>
</file>

<file path=customXml/itemProps5.xml><?xml version="1.0" encoding="utf-8"?>
<ds:datastoreItem xmlns:ds="http://schemas.openxmlformats.org/officeDocument/2006/customXml" ds:itemID="{38840729-AC05-4E73-9077-E94EC335992F}">
  <ds:schemaRefs>
    <ds:schemaRef ds:uri="http://schemas.microsoft.com/sharepoint/events"/>
  </ds:schemaRefs>
</ds:datastoreItem>
</file>

<file path=customXml/itemProps6.xml><?xml version="1.0" encoding="utf-8"?>
<ds:datastoreItem xmlns:ds="http://schemas.openxmlformats.org/officeDocument/2006/customXml" ds:itemID="{83D04241-6BE4-4F8E-806E-027D5148E8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CWS/13/31 Rev.2 Annex II (French)</vt:lpstr>
    </vt:vector>
  </TitlesOfParts>
  <Company>WIPO</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CWS/13/31 Rev.2 Annex II (French)</dc:title>
  <dc:subject>Programme de travail du CWS </dc:subject>
  <dc:creator>WIPO</dc:creator>
  <cp:keywords>WIPO CWS treizième session, Programme de travail du CWS, Annexe</cp:keywords>
  <dc:description/>
  <cp:lastModifiedBy>EMMETT Claudia</cp:lastModifiedBy>
  <cp:revision>115</cp:revision>
  <cp:lastPrinted>2025-10-31T16:11:00Z</cp:lastPrinted>
  <dcterms:created xsi:type="dcterms:W3CDTF">2024-09-16T07:07:00Z</dcterms:created>
  <dcterms:modified xsi:type="dcterms:W3CDTF">2025-10-31T16:11:00Z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2024-09-16T15:50:05Z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cee3da37-1b7d-4ce0-8882-0d79036de2b1</vt:lpwstr>
  </property>
  <property fmtid="{D5CDD505-2E9C-101B-9397-08002B2CF9AE}" pid="8" name="MSIP_Label_20773ee6-353b-4fb9-a59d-0b94c8c67bea_ContentBits">
    <vt:lpwstr>0</vt:lpwstr>
  </property>
  <property fmtid="{D5CDD505-2E9C-101B-9397-08002B2CF9AE}" pid="9" name="ContentTypeId">
    <vt:lpwstr>0x01010043A0F979BE30A3469F998CB749C11FBD00E3EF1C0FCFA26B4087379DC2A12DE885</vt:lpwstr>
  </property>
  <property fmtid="{D5CDD505-2E9C-101B-9397-08002B2CF9AE}" pid="10" name="BusinessUnit">
    <vt:lpwstr>4;#International Classifications and Standards Division|1bda9d19-f2c0-4f24-b9f1-c91ec6b8f041</vt:lpwstr>
  </property>
  <property fmtid="{D5CDD505-2E9C-101B-9397-08002B2CF9AE}" pid="11" name="MediaServiceImageTags">
    <vt:lpwstr/>
  </property>
  <property fmtid="{D5CDD505-2E9C-101B-9397-08002B2CF9AE}" pid="12" name="m4535404f5974080b635c68c1acaf1ab">
    <vt:lpwstr/>
  </property>
  <property fmtid="{D5CDD505-2E9C-101B-9397-08002B2CF9AE}" pid="13" name="RMClassification">
    <vt:lpwstr>5;#05 Committee Files|55687a62-9585-44b6-9628-3304e4ff88e9</vt:lpwstr>
  </property>
  <property fmtid="{D5CDD505-2E9C-101B-9397-08002B2CF9AE}" pid="14" name="lcf76f155ced4ddcb4097134ff3c332f">
    <vt:lpwstr/>
  </property>
  <property fmtid="{D5CDD505-2E9C-101B-9397-08002B2CF9AE}" pid="15" name="Body1">
    <vt:lpwstr>3;#Committee on WIPO Standards|505ec630-c8e5-4e30-8a4a-e8d9be6ccbb1</vt:lpwstr>
  </property>
  <property fmtid="{D5CDD505-2E9C-101B-9397-08002B2CF9AE}" pid="16" name="ECCM_Year">
    <vt:lpwstr/>
  </property>
  <property fmtid="{D5CDD505-2E9C-101B-9397-08002B2CF9AE}" pid="17" name="k5f91d7f67f54ee29b509143279df90f">
    <vt:lpwstr/>
  </property>
  <property fmtid="{D5CDD505-2E9C-101B-9397-08002B2CF9AE}" pid="18" name="IPTopics">
    <vt:lpwstr/>
  </property>
  <property fmtid="{D5CDD505-2E9C-101B-9397-08002B2CF9AE}" pid="19" name="Languages">
    <vt:lpwstr>1;#English|950e6fa2-2df0-4983-a604-54e57c7a6d93</vt:lpwstr>
  </property>
  <property fmtid="{D5CDD505-2E9C-101B-9397-08002B2CF9AE}" pid="20" name="gbd88f87496145e58da10973a57b07b8">
    <vt:lpwstr>Committee on WIPO Standards|505ec630-c8e5-4e30-8a4a-e8d9be6ccbb1</vt:lpwstr>
  </property>
  <property fmtid="{D5CDD505-2E9C-101B-9397-08002B2CF9AE}" pid="21" name="_dlc_DocIdItemGuid">
    <vt:lpwstr>48dc141b-a8c5-4ce6-81ab-f9870b272d87</vt:lpwstr>
  </property>
  <property fmtid="{D5CDD505-2E9C-101B-9397-08002B2CF9AE}" pid="22" name="docLang">
    <vt:lpwstr>en</vt:lpwstr>
  </property>
</Properties>
</file>