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4535" w14:textId="74596F6E" w:rsidR="00416338" w:rsidRPr="00471919" w:rsidRDefault="002F2FE1" w:rsidP="004314FA">
      <w:pPr>
        <w:pStyle w:val="Heading1"/>
      </w:pPr>
      <w:bookmarkStart w:id="0" w:name="_Toc99677711"/>
      <w:bookmarkStart w:id="1" w:name="_Toc371330382"/>
      <w:bookmarkStart w:id="2" w:name="_Toc383437131"/>
      <w:bookmarkStart w:id="3" w:name="_Toc383437608"/>
      <w:bookmarkStart w:id="4" w:name="_Toc383509991"/>
      <w:bookmarkStart w:id="5" w:name="_Toc463272176"/>
      <w:r w:rsidRPr="00471919">
        <w:t>Recommandations relatives à l</w:t>
      </w:r>
      <w:r w:rsidR="00416338" w:rsidRPr="00471919">
        <w:t>’</w:t>
      </w:r>
      <w:r w:rsidRPr="00471919">
        <w:t>échange et à l</w:t>
      </w:r>
      <w:r w:rsidR="00416338" w:rsidRPr="00471919">
        <w:t>’</w:t>
      </w:r>
      <w:r w:rsidRPr="00471919">
        <w:t>utilisation de données de propriété intellectuelle</w:t>
      </w:r>
    </w:p>
    <w:p w14:paraId="1E900CE6" w14:textId="12F69F48" w:rsidR="002F2FE1" w:rsidRPr="00471919" w:rsidRDefault="00950837" w:rsidP="00D813C0">
      <w:pPr>
        <w:widowControl w:val="0"/>
        <w:kinsoku w:val="0"/>
        <w:spacing w:before="0" w:after="960"/>
        <w:jc w:val="center"/>
        <w:rPr>
          <w:rFonts w:eastAsia="Times New Roman" w:cs="Times New Roman"/>
          <w:i/>
          <w:kern w:val="0"/>
          <w:sz w:val="17"/>
          <w:szCs w:val="17"/>
          <w:highlight w:val="magenta"/>
          <w14:ligatures w14:val="none"/>
        </w:rPr>
      </w:pPr>
      <w:r w:rsidRPr="00471919">
        <w:rPr>
          <w:i/>
          <w:sz w:val="17"/>
        </w:rPr>
        <w:t>Projet de document de travail pour consultation</w:t>
      </w:r>
    </w:p>
    <w:p w14:paraId="0758429F" w14:textId="1FD7AD54" w:rsidR="00535AD3" w:rsidRPr="00471919" w:rsidRDefault="00C73200" w:rsidP="00C73200">
      <w:pPr>
        <w:pStyle w:val="Heading2"/>
      </w:pPr>
      <w:bookmarkStart w:id="6" w:name="_Toc209011734"/>
      <w:r>
        <w:t>I</w:t>
      </w:r>
      <w:r w:rsidRPr="00471919">
        <w:t>ntroduction</w:t>
      </w:r>
      <w:bookmarkEnd w:id="0"/>
      <w:bookmarkEnd w:id="6"/>
    </w:p>
    <w:bookmarkEnd w:id="1"/>
    <w:bookmarkEnd w:id="2"/>
    <w:bookmarkEnd w:id="3"/>
    <w:bookmarkEnd w:id="4"/>
    <w:bookmarkEnd w:id="5"/>
    <w:p w14:paraId="600082BC" w14:textId="5F8036EE" w:rsidR="00535AD3" w:rsidRPr="00471919" w:rsidRDefault="00885F25" w:rsidP="00FB7E20">
      <w:pPr>
        <w:tabs>
          <w:tab w:val="left" w:pos="567"/>
        </w:tabs>
        <w:spacing w:before="0" w:after="170"/>
        <w:rPr>
          <w:rFonts w:eastAsia="Times New Roman" w:cs="Times New Roman"/>
          <w:kern w:val="0"/>
          <w:sz w:val="17"/>
          <w:szCs w:val="20"/>
          <w14:ligatures w14:val="none"/>
        </w:rPr>
      </w:pPr>
      <w:r w:rsidRPr="00471919">
        <w:rPr>
          <w:rFonts w:eastAsia="Times New Roman" w:cs="Times New Roman"/>
          <w:sz w:val="17"/>
        </w:rPr>
        <w:fldChar w:fldCharType="begin"/>
      </w:r>
      <w:r w:rsidRPr="00471919">
        <w:rPr>
          <w:rFonts w:eastAsia="Times New Roman" w:cs="Times New Roman"/>
          <w:sz w:val="17"/>
        </w:rPr>
        <w:instrText xml:space="preserve"> AUTONUM  </w:instrText>
      </w:r>
      <w:r w:rsidRPr="00471919">
        <w:rPr>
          <w:rFonts w:eastAsia="Times New Roman" w:cs="Times New Roman"/>
          <w:sz w:val="17"/>
        </w:rPr>
        <w:fldChar w:fldCharType="end"/>
      </w:r>
      <w:r w:rsidRPr="00471919">
        <w:rPr>
          <w:sz w:val="17"/>
        </w:rPr>
        <w:tab/>
        <w:t>La présente norme contient des recommandations relatives à la fois à l</w:t>
      </w:r>
      <w:r w:rsidR="00416338" w:rsidRPr="00471919">
        <w:rPr>
          <w:sz w:val="17"/>
        </w:rPr>
        <w:t>’</w:t>
      </w:r>
      <w:r w:rsidRPr="00471919">
        <w:rPr>
          <w:sz w:val="17"/>
        </w:rPr>
        <w:t>échange de données de propriété intellectuelle sous forme électronique fournies par les offices de propriété intellectuelle, et à l</w:t>
      </w:r>
      <w:r w:rsidR="00416338" w:rsidRPr="00471919">
        <w:rPr>
          <w:sz w:val="17"/>
        </w:rPr>
        <w:t>’</w:t>
      </w:r>
      <w:r w:rsidRPr="00471919">
        <w:rPr>
          <w:sz w:val="17"/>
        </w:rPr>
        <w:t>utilisation des données échangées entre ces offices.</w:t>
      </w:r>
    </w:p>
    <w:p w14:paraId="7BC0A79A" w14:textId="7F8B1A84" w:rsidR="00D241FC" w:rsidRPr="00471919" w:rsidRDefault="00885F25" w:rsidP="00FB7E20">
      <w:pPr>
        <w:tabs>
          <w:tab w:val="left" w:pos="567"/>
        </w:tabs>
        <w:spacing w:before="0" w:after="170"/>
        <w:rPr>
          <w:rFonts w:cs="Times New Roman"/>
          <w:kern w:val="0"/>
          <w:sz w:val="17"/>
          <w:szCs w:val="20"/>
          <w14:ligatures w14:val="none"/>
        </w:rPr>
      </w:pPr>
      <w:r w:rsidRPr="00471919">
        <w:rPr>
          <w:rFonts w:eastAsia="Times New Roman" w:cs="Times New Roman"/>
          <w:sz w:val="17"/>
        </w:rPr>
        <w:fldChar w:fldCharType="begin"/>
      </w:r>
      <w:r w:rsidRPr="00471919">
        <w:rPr>
          <w:rFonts w:eastAsia="Times New Roman" w:cs="Times New Roman"/>
          <w:sz w:val="17"/>
        </w:rPr>
        <w:instrText xml:space="preserve"> AUTONUM  </w:instrText>
      </w:r>
      <w:r w:rsidRPr="00471919">
        <w:rPr>
          <w:rFonts w:eastAsia="Times New Roman" w:cs="Times New Roman"/>
          <w:sz w:val="17"/>
        </w:rPr>
        <w:fldChar w:fldCharType="end"/>
      </w:r>
      <w:r w:rsidRPr="00471919">
        <w:rPr>
          <w:sz w:val="17"/>
        </w:rPr>
        <w:tab/>
        <w:t>Ces dernières années, des organismes publics de nombreux États membres de l</w:t>
      </w:r>
      <w:r w:rsidR="00416338" w:rsidRPr="00471919">
        <w:rPr>
          <w:sz w:val="17"/>
        </w:rPr>
        <w:t>’</w:t>
      </w:r>
      <w:r w:rsidRPr="00471919">
        <w:rPr>
          <w:sz w:val="17"/>
        </w:rPr>
        <w:t>OMPI ont adhéré à la tendance mondiale en faveur des données ouvertes en mettant leurs données à disposition en lig</w:t>
      </w:r>
      <w:r w:rsidR="00471919" w:rsidRPr="00471919">
        <w:rPr>
          <w:sz w:val="17"/>
        </w:rPr>
        <w:t>ne.  To</w:t>
      </w:r>
      <w:r w:rsidRPr="00471919">
        <w:rPr>
          <w:sz w:val="17"/>
        </w:rPr>
        <w:t>utefois, comme bon nombre d</w:t>
      </w:r>
      <w:r w:rsidR="00416338" w:rsidRPr="00471919">
        <w:rPr>
          <w:sz w:val="17"/>
        </w:rPr>
        <w:t>’</w:t>
      </w:r>
      <w:r w:rsidRPr="00471919">
        <w:rPr>
          <w:sz w:val="17"/>
        </w:rPr>
        <w:t>entre eux ne mettent pas encore à la disposition du public des données de propriété intellectuelle en masse et, compte tenu de l</w:t>
      </w:r>
      <w:r w:rsidR="00416338" w:rsidRPr="00471919">
        <w:rPr>
          <w:sz w:val="17"/>
        </w:rPr>
        <w:t>’</w:t>
      </w:r>
      <w:r w:rsidRPr="00471919">
        <w:rPr>
          <w:sz w:val="17"/>
        </w:rPr>
        <w:t>intérêt croissant que suscitent ces données, il convient de rationaliser ces données et de les rendre plus accessibles afin</w:t>
      </w:r>
      <w:r w:rsidR="00416338" w:rsidRPr="00471919">
        <w:rPr>
          <w:sz w:val="17"/>
        </w:rPr>
        <w:t> :</w:t>
      </w:r>
    </w:p>
    <w:p w14:paraId="28EAAC0B" w14:textId="007DBD97" w:rsidR="00D241FC" w:rsidRPr="00471919" w:rsidRDefault="00D241FC" w:rsidP="00C73200">
      <w:pPr>
        <w:pStyle w:val="ListParagraph"/>
        <w:numPr>
          <w:ilvl w:val="0"/>
          <w:numId w:val="3"/>
        </w:numPr>
        <w:tabs>
          <w:tab w:val="left" w:pos="1134"/>
        </w:tabs>
        <w:spacing w:before="0" w:after="170"/>
        <w:ind w:left="567" w:firstLine="0"/>
        <w:contextualSpacing w:val="0"/>
        <w:rPr>
          <w:rFonts w:eastAsia="Times New Roman" w:cs="Times New Roman"/>
          <w:kern w:val="0"/>
          <w:sz w:val="17"/>
          <w:szCs w:val="20"/>
          <w14:ligatures w14:val="none"/>
        </w:rPr>
      </w:pPr>
      <w:proofErr w:type="gramStart"/>
      <w:r w:rsidRPr="00471919">
        <w:rPr>
          <w:sz w:val="17"/>
        </w:rPr>
        <w:t>d</w:t>
      </w:r>
      <w:r w:rsidR="00416338" w:rsidRPr="00471919">
        <w:rPr>
          <w:sz w:val="17"/>
        </w:rPr>
        <w:t>’</w:t>
      </w:r>
      <w:r w:rsidRPr="00471919">
        <w:rPr>
          <w:sz w:val="17"/>
        </w:rPr>
        <w:t>améliorer</w:t>
      </w:r>
      <w:proofErr w:type="gramEnd"/>
      <w:r w:rsidRPr="00471919">
        <w:rPr>
          <w:sz w:val="17"/>
        </w:rPr>
        <w:t xml:space="preserve"> la qualité des services d</w:t>
      </w:r>
      <w:r w:rsidR="00416338" w:rsidRPr="00471919">
        <w:rPr>
          <w:sz w:val="17"/>
        </w:rPr>
        <w:t>’</w:t>
      </w:r>
      <w:r w:rsidRPr="00471919">
        <w:rPr>
          <w:sz w:val="17"/>
        </w:rPr>
        <w:t>administration des offices de propriété intellectuelle, tels que l</w:t>
      </w:r>
      <w:r w:rsidR="00416338" w:rsidRPr="00471919">
        <w:rPr>
          <w:sz w:val="17"/>
        </w:rPr>
        <w:t>’</w:t>
      </w:r>
      <w:r w:rsidRPr="00471919">
        <w:rPr>
          <w:sz w:val="17"/>
        </w:rPr>
        <w:t>examen, et</w:t>
      </w:r>
    </w:p>
    <w:p w14:paraId="3947AA6D" w14:textId="4FFC8E08" w:rsidR="007E6701" w:rsidRPr="00471919" w:rsidRDefault="00D241FC" w:rsidP="00C73200">
      <w:pPr>
        <w:pStyle w:val="ListParagraph"/>
        <w:numPr>
          <w:ilvl w:val="0"/>
          <w:numId w:val="3"/>
        </w:numPr>
        <w:tabs>
          <w:tab w:val="left" w:pos="1134"/>
        </w:tabs>
        <w:spacing w:before="0" w:after="170"/>
        <w:ind w:left="567" w:firstLine="0"/>
        <w:contextualSpacing w:val="0"/>
        <w:rPr>
          <w:rFonts w:eastAsia="Times New Roman" w:cs="Times New Roman"/>
          <w:kern w:val="0"/>
          <w:sz w:val="17"/>
          <w:szCs w:val="20"/>
          <w14:ligatures w14:val="none"/>
        </w:rPr>
      </w:pPr>
      <w:proofErr w:type="gramStart"/>
      <w:r w:rsidRPr="00471919">
        <w:rPr>
          <w:sz w:val="17"/>
        </w:rPr>
        <w:t>de</w:t>
      </w:r>
      <w:proofErr w:type="gramEnd"/>
      <w:r w:rsidRPr="00471919">
        <w:rPr>
          <w:sz w:val="17"/>
        </w:rPr>
        <w:t xml:space="preserve"> permettre aux utilisateurs de chaque pays d</w:t>
      </w:r>
      <w:r w:rsidR="00416338" w:rsidRPr="00471919">
        <w:rPr>
          <w:sz w:val="17"/>
        </w:rPr>
        <w:t>’</w:t>
      </w:r>
      <w:r w:rsidRPr="00471919">
        <w:rPr>
          <w:sz w:val="17"/>
        </w:rPr>
        <w:t>effectuer des recherches techniques plus ciblées, ce qui stimulera l</w:t>
      </w:r>
      <w:r w:rsidR="00416338" w:rsidRPr="00471919">
        <w:rPr>
          <w:sz w:val="17"/>
        </w:rPr>
        <w:t>’</w:t>
      </w:r>
      <w:r w:rsidRPr="00471919">
        <w:rPr>
          <w:sz w:val="17"/>
        </w:rPr>
        <w:t>innovation.</w:t>
      </w:r>
    </w:p>
    <w:p w14:paraId="6947DE79" w14:textId="03A12C6E" w:rsidR="00CE230E" w:rsidRPr="00471919" w:rsidRDefault="00C73200" w:rsidP="00C73200">
      <w:pPr>
        <w:pStyle w:val="Heading2"/>
      </w:pPr>
      <w:bookmarkStart w:id="7" w:name="_Toc209011735"/>
      <w:r>
        <w:t>P</w:t>
      </w:r>
      <w:r w:rsidRPr="00471919">
        <w:t>ortée de la norme</w:t>
      </w:r>
      <w:bookmarkEnd w:id="7"/>
    </w:p>
    <w:p w14:paraId="1324C6A1" w14:textId="39B464FB" w:rsidR="0097443D" w:rsidRPr="00471919" w:rsidRDefault="00CE230E" w:rsidP="00FB7E20">
      <w:pPr>
        <w:tabs>
          <w:tab w:val="left" w:pos="567"/>
        </w:tabs>
        <w:spacing w:before="0" w:after="170"/>
        <w:rPr>
          <w:rFonts w:cs="Times New Roman"/>
          <w:kern w:val="0"/>
          <w:sz w:val="17"/>
          <w:szCs w:val="20"/>
          <w14:ligatures w14:val="none"/>
        </w:rPr>
      </w:pPr>
      <w:r w:rsidRPr="00471919">
        <w:rPr>
          <w:rFonts w:eastAsia="Times New Roman" w:cs="Times New Roman"/>
          <w:sz w:val="17"/>
        </w:rPr>
        <w:fldChar w:fldCharType="begin"/>
      </w:r>
      <w:r w:rsidRPr="00471919">
        <w:rPr>
          <w:rFonts w:eastAsia="Times New Roman" w:cs="Times New Roman"/>
          <w:sz w:val="17"/>
        </w:rPr>
        <w:instrText xml:space="preserve"> AUTONUM  </w:instrText>
      </w:r>
      <w:r w:rsidRPr="00471919">
        <w:rPr>
          <w:rFonts w:eastAsia="Times New Roman" w:cs="Times New Roman"/>
          <w:sz w:val="17"/>
        </w:rPr>
        <w:fldChar w:fldCharType="end"/>
      </w:r>
      <w:r w:rsidRPr="00471919">
        <w:rPr>
          <w:sz w:val="17"/>
        </w:rPr>
        <w:tab/>
        <w:t>La présente norme établit un cadre pour l</w:t>
      </w:r>
      <w:r w:rsidR="00416338" w:rsidRPr="00471919">
        <w:rPr>
          <w:sz w:val="17"/>
        </w:rPr>
        <w:t>’</w:t>
      </w:r>
      <w:r w:rsidRPr="00471919">
        <w:rPr>
          <w:sz w:val="17"/>
        </w:rPr>
        <w:t>échange de données de propriété intellectuelle entre les offices de propriété intellectuelle et la communication de ces données au public.</w:t>
      </w:r>
    </w:p>
    <w:p w14:paraId="79B5C391" w14:textId="24C89E2D" w:rsidR="006009B6" w:rsidRPr="00471919" w:rsidRDefault="00D21C0A" w:rsidP="00FB7E20">
      <w:pPr>
        <w:tabs>
          <w:tab w:val="left" w:pos="567"/>
        </w:tabs>
        <w:spacing w:before="0" w:after="170"/>
        <w:rPr>
          <w:rFonts w:cs="Times New Roman"/>
          <w:kern w:val="0"/>
          <w:sz w:val="17"/>
          <w:szCs w:val="20"/>
          <w14:ligatures w14:val="none"/>
        </w:rPr>
      </w:pPr>
      <w:r w:rsidRPr="00471919">
        <w:rPr>
          <w:rFonts w:eastAsia="Times New Roman" w:cs="Times New Roman"/>
          <w:sz w:val="17"/>
        </w:rPr>
        <w:fldChar w:fldCharType="begin"/>
      </w:r>
      <w:r w:rsidRPr="00471919">
        <w:rPr>
          <w:rFonts w:eastAsia="Times New Roman" w:cs="Times New Roman"/>
          <w:sz w:val="17"/>
        </w:rPr>
        <w:instrText xml:space="preserve"> AUTONUM  </w:instrText>
      </w:r>
      <w:r w:rsidRPr="00471919">
        <w:rPr>
          <w:rFonts w:eastAsia="Times New Roman" w:cs="Times New Roman"/>
          <w:sz w:val="17"/>
        </w:rPr>
        <w:fldChar w:fldCharType="end"/>
      </w:r>
      <w:r w:rsidRPr="00471919">
        <w:rPr>
          <w:sz w:val="17"/>
        </w:rPr>
        <w:tab/>
        <w:t>Elle fournit le contenu recommandé des données de propriété intellectuelle devant être échangées, comme indiqué dans la section “TYPES DE DONNÉES DE PROPRIÉTÉ INTELLECTUELLE ÉCHANGÉES” ci</w:t>
      </w:r>
      <w:r w:rsidR="00D71B1E">
        <w:rPr>
          <w:sz w:val="17"/>
        </w:rPr>
        <w:noBreakHyphen/>
      </w:r>
      <w:r w:rsidRPr="00471919">
        <w:rPr>
          <w:sz w:val="17"/>
        </w:rPr>
        <w:t>dessous, mais elle ne définit pas en détail la structure des données pour chaque conte</w:t>
      </w:r>
      <w:r w:rsidR="00471919" w:rsidRPr="00471919">
        <w:rPr>
          <w:sz w:val="17"/>
        </w:rPr>
        <w:t>nu.  De</w:t>
      </w:r>
      <w:r w:rsidRPr="00471919">
        <w:rPr>
          <w:sz w:val="17"/>
        </w:rPr>
        <w:t>s recommandations exhaustives sur la structure des données figurent dans d</w:t>
      </w:r>
      <w:r w:rsidR="00416338" w:rsidRPr="00471919">
        <w:rPr>
          <w:sz w:val="17"/>
        </w:rPr>
        <w:t>’</w:t>
      </w:r>
      <w:r w:rsidRPr="00471919">
        <w:rPr>
          <w:sz w:val="17"/>
        </w:rPr>
        <w:t>autres normes de l</w:t>
      </w:r>
      <w:r w:rsidR="00416338" w:rsidRPr="00471919">
        <w:rPr>
          <w:sz w:val="17"/>
        </w:rPr>
        <w:t>’</w:t>
      </w:r>
      <w:r w:rsidRPr="00471919">
        <w:rPr>
          <w:sz w:val="17"/>
        </w:rPr>
        <w:t>OMPI, en particulier celles énumérées dans la section “Références” ci</w:t>
      </w:r>
      <w:r w:rsidR="00D71B1E">
        <w:rPr>
          <w:sz w:val="17"/>
        </w:rPr>
        <w:noBreakHyphen/>
      </w:r>
      <w:r w:rsidRPr="00471919">
        <w:rPr>
          <w:sz w:val="17"/>
        </w:rPr>
        <w:t>dessous.</w:t>
      </w:r>
    </w:p>
    <w:p w14:paraId="3E64ADD9" w14:textId="7548F2E4" w:rsidR="00535AD3" w:rsidRPr="00471919" w:rsidRDefault="00C73200" w:rsidP="00C73200">
      <w:pPr>
        <w:pStyle w:val="Heading2"/>
        <w:rPr>
          <w:i/>
          <w:iCs/>
        </w:rPr>
      </w:pPr>
      <w:bookmarkStart w:id="8" w:name="_Toc209011736"/>
      <w:r>
        <w:t>D</w:t>
      </w:r>
      <w:r w:rsidRPr="00471919">
        <w:t>éfinitions</w:t>
      </w:r>
      <w:bookmarkEnd w:id="8"/>
    </w:p>
    <w:p w14:paraId="7CA5B04E" w14:textId="6A0F1767" w:rsidR="00D9276C" w:rsidRPr="00471919" w:rsidRDefault="00D9276C" w:rsidP="00FB7E20">
      <w:pPr>
        <w:tabs>
          <w:tab w:val="left" w:pos="567"/>
        </w:tabs>
        <w:spacing w:before="0" w:after="170"/>
        <w:rPr>
          <w:rFonts w:eastAsia="Times New Roman" w:cs="Times New Roman"/>
          <w:kern w:val="0"/>
          <w:sz w:val="17"/>
          <w:szCs w:val="20"/>
          <w14:ligatures w14:val="none"/>
        </w:rPr>
      </w:pPr>
      <w:r w:rsidRPr="00471919">
        <w:rPr>
          <w:rFonts w:eastAsia="Times New Roman" w:cs="Times New Roman"/>
          <w:sz w:val="17"/>
        </w:rPr>
        <w:fldChar w:fldCharType="begin"/>
      </w:r>
      <w:r w:rsidRPr="00471919">
        <w:rPr>
          <w:rFonts w:eastAsia="Times New Roman" w:cs="Times New Roman"/>
          <w:sz w:val="17"/>
        </w:rPr>
        <w:instrText xml:space="preserve"> AUTONUM  </w:instrText>
      </w:r>
      <w:r w:rsidRPr="00471919">
        <w:rPr>
          <w:rFonts w:eastAsia="Times New Roman" w:cs="Times New Roman"/>
          <w:sz w:val="17"/>
        </w:rPr>
        <w:fldChar w:fldCharType="end"/>
      </w:r>
      <w:r w:rsidRPr="00471919">
        <w:tab/>
      </w:r>
      <w:r w:rsidRPr="00471919">
        <w:rPr>
          <w:sz w:val="17"/>
        </w:rPr>
        <w:t>Aux fins de la présente norme, l</w:t>
      </w:r>
      <w:r w:rsidR="00416338" w:rsidRPr="00471919">
        <w:rPr>
          <w:sz w:val="17"/>
        </w:rPr>
        <w:t>’</w:t>
      </w:r>
      <w:r w:rsidRPr="00471919">
        <w:rPr>
          <w:sz w:val="17"/>
        </w:rPr>
        <w:t>expression</w:t>
      </w:r>
      <w:r w:rsidR="00416338" w:rsidRPr="00471919">
        <w:rPr>
          <w:sz w:val="17"/>
        </w:rPr>
        <w:t> :</w:t>
      </w:r>
    </w:p>
    <w:p w14:paraId="109AEFD2" w14:textId="0640C61F" w:rsidR="009A5312" w:rsidRPr="00471919" w:rsidRDefault="000E04BA"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“données de propriété intellectuelle” désigne les données relatives aux brevets, aux dessins et modèles industriels et aux marques.</w:t>
      </w:r>
    </w:p>
    <w:p w14:paraId="2919DBFA" w14:textId="3E4E7860" w:rsidR="00416338" w:rsidRPr="00471919" w:rsidRDefault="00E2386C" w:rsidP="00FB7E20">
      <w:pPr>
        <w:pStyle w:val="ListParagraph"/>
        <w:numPr>
          <w:ilvl w:val="0"/>
          <w:numId w:val="6"/>
        </w:numPr>
        <w:tabs>
          <w:tab w:val="left" w:pos="1134"/>
        </w:tabs>
        <w:spacing w:before="0" w:after="170"/>
        <w:ind w:left="567" w:firstLine="0"/>
        <w:contextualSpacing w:val="0"/>
        <w:rPr>
          <w:sz w:val="17"/>
        </w:rPr>
      </w:pPr>
      <w:r w:rsidRPr="00471919">
        <w:rPr>
          <w:sz w:val="17"/>
        </w:rPr>
        <w:t>“office d</w:t>
      </w:r>
      <w:r w:rsidR="00416338" w:rsidRPr="00471919">
        <w:rPr>
          <w:sz w:val="17"/>
        </w:rPr>
        <w:t>’</w:t>
      </w:r>
      <w:r w:rsidRPr="00471919">
        <w:rPr>
          <w:sz w:val="17"/>
        </w:rPr>
        <w:t>origine” désigne un office de propriété intellectuelle qui publie ses propres données de propriété intellectuelle.</w:t>
      </w:r>
    </w:p>
    <w:p w14:paraId="616FD8CD" w14:textId="2BE77428" w:rsidR="00E2386C" w:rsidRPr="00471919" w:rsidRDefault="00E2386C"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“office fournisseur” désigne un office de propriété intellectuelle qui fournit des données de propriété intellectuelle à un autre office de propriété intellectuelle.  Lorsqu</w:t>
      </w:r>
      <w:r w:rsidR="00416338" w:rsidRPr="00471919">
        <w:rPr>
          <w:sz w:val="17"/>
        </w:rPr>
        <w:t>’</w:t>
      </w:r>
      <w:r w:rsidRPr="00471919">
        <w:rPr>
          <w:sz w:val="17"/>
        </w:rPr>
        <w:t>un office d</w:t>
      </w:r>
      <w:r w:rsidR="00416338" w:rsidRPr="00471919">
        <w:rPr>
          <w:sz w:val="17"/>
        </w:rPr>
        <w:t>’</w:t>
      </w:r>
      <w:r w:rsidRPr="00471919">
        <w:rPr>
          <w:sz w:val="17"/>
        </w:rPr>
        <w:t>origine fournit directement des données de propriété intellectuelle à un office récepteur, l</w:t>
      </w:r>
      <w:r w:rsidR="00416338" w:rsidRPr="00471919">
        <w:rPr>
          <w:sz w:val="17"/>
        </w:rPr>
        <w:t>’</w:t>
      </w:r>
      <w:r w:rsidRPr="00471919">
        <w:rPr>
          <w:sz w:val="17"/>
        </w:rPr>
        <w:t>office fournisseur désigne l</w:t>
      </w:r>
      <w:r w:rsidR="00416338" w:rsidRPr="00471919">
        <w:rPr>
          <w:sz w:val="17"/>
        </w:rPr>
        <w:t>’</w:t>
      </w:r>
      <w:r w:rsidRPr="00471919">
        <w:rPr>
          <w:sz w:val="17"/>
        </w:rPr>
        <w:t>office d</w:t>
      </w:r>
      <w:r w:rsidR="00416338" w:rsidRPr="00471919">
        <w:rPr>
          <w:sz w:val="17"/>
        </w:rPr>
        <w:t>’</w:t>
      </w:r>
      <w:r w:rsidRPr="00471919">
        <w:rPr>
          <w:sz w:val="17"/>
        </w:rPr>
        <w:t>origine.</w:t>
      </w:r>
    </w:p>
    <w:p w14:paraId="38DC5892" w14:textId="7D2C928A" w:rsidR="00E2386C" w:rsidRPr="00471919" w:rsidRDefault="00E2386C"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“office récepteur” désigne un office de propriété intellectuelle qui reçoit directement des données de propriété intellectuelle d</w:t>
      </w:r>
      <w:r w:rsidR="00416338" w:rsidRPr="00471919">
        <w:rPr>
          <w:sz w:val="17"/>
        </w:rPr>
        <w:t>’</w:t>
      </w:r>
      <w:r w:rsidRPr="00471919">
        <w:rPr>
          <w:sz w:val="17"/>
        </w:rPr>
        <w:t>un office fournisseur.</w:t>
      </w:r>
    </w:p>
    <w:p w14:paraId="55547C6F" w14:textId="344F09C6" w:rsidR="00885F25" w:rsidRPr="00471919" w:rsidRDefault="00885F25"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“bibliothèque” désigne une institution qui est soit directement régie par l</w:t>
      </w:r>
      <w:r w:rsidR="00416338" w:rsidRPr="00471919">
        <w:rPr>
          <w:sz w:val="17"/>
        </w:rPr>
        <w:t>’</w:t>
      </w:r>
      <w:r w:rsidRPr="00471919">
        <w:rPr>
          <w:sz w:val="17"/>
        </w:rPr>
        <w:t>office de propriété intellectuelle, soit gérée comme une entité non commerciale.  Elle a l</w:t>
      </w:r>
      <w:r w:rsidR="00416338" w:rsidRPr="00471919">
        <w:rPr>
          <w:sz w:val="17"/>
        </w:rPr>
        <w:t>’</w:t>
      </w:r>
      <w:r w:rsidRPr="00471919">
        <w:rPr>
          <w:sz w:val="17"/>
        </w:rPr>
        <w:t>autorisation de l</w:t>
      </w:r>
      <w:r w:rsidR="00416338" w:rsidRPr="00471919">
        <w:rPr>
          <w:sz w:val="17"/>
        </w:rPr>
        <w:t>’</w:t>
      </w:r>
      <w:r w:rsidRPr="00471919">
        <w:rPr>
          <w:sz w:val="17"/>
        </w:rPr>
        <w:t>office de propriété intellectuelle de diffuser ses données de propriété intellectuelle.  Ces institutions sont créées ou contrôlées par un organisme public ou semi</w:t>
      </w:r>
      <w:r w:rsidR="00D71B1E">
        <w:rPr>
          <w:sz w:val="17"/>
        </w:rPr>
        <w:noBreakHyphen/>
      </w:r>
      <w:r w:rsidRPr="00471919">
        <w:rPr>
          <w:sz w:val="17"/>
        </w:rPr>
        <w:t>public dans le but de communiquer des informations au public, comme une bibliothèque dépositaire située au sein d</w:t>
      </w:r>
      <w:r w:rsidR="00416338" w:rsidRPr="00471919">
        <w:rPr>
          <w:sz w:val="17"/>
        </w:rPr>
        <w:t>’</w:t>
      </w:r>
      <w:r w:rsidRPr="00471919">
        <w:rPr>
          <w:sz w:val="17"/>
        </w:rPr>
        <w:t>un office de propriété intellectuelle.</w:t>
      </w:r>
    </w:p>
    <w:p w14:paraId="6C23EC34" w14:textId="1BD19B7C" w:rsidR="00885F25" w:rsidRPr="00471919" w:rsidRDefault="00885F25"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“tiers” désigne tout office de propriété intellectuelle, organisation, établissement universitaire, particulier ou entreprise qui n</w:t>
      </w:r>
      <w:r w:rsidR="00416338" w:rsidRPr="00471919">
        <w:rPr>
          <w:sz w:val="17"/>
        </w:rPr>
        <w:t>’</w:t>
      </w:r>
      <w:r w:rsidRPr="00471919">
        <w:rPr>
          <w:sz w:val="17"/>
        </w:rPr>
        <w:t>est ni l</w:t>
      </w:r>
      <w:r w:rsidR="00416338" w:rsidRPr="00471919">
        <w:rPr>
          <w:sz w:val="17"/>
        </w:rPr>
        <w:t>’</w:t>
      </w:r>
      <w:r w:rsidRPr="00471919">
        <w:rPr>
          <w:sz w:val="17"/>
        </w:rPr>
        <w:t>office fournisseur (ou sa bibliothèque) ni l</w:t>
      </w:r>
      <w:r w:rsidR="00416338" w:rsidRPr="00471919">
        <w:rPr>
          <w:sz w:val="17"/>
        </w:rPr>
        <w:t>’</w:t>
      </w:r>
      <w:r w:rsidRPr="00471919">
        <w:rPr>
          <w:sz w:val="17"/>
        </w:rPr>
        <w:t>office récepteur (ou sa bibliothèque).</w:t>
      </w:r>
    </w:p>
    <w:p w14:paraId="5D48D282" w14:textId="3B7966FD" w:rsidR="00A10C1A" w:rsidRPr="00471919" w:rsidRDefault="00A10C1A"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“utilisation externe des données” désigne l</w:t>
      </w:r>
      <w:r w:rsidR="00416338" w:rsidRPr="00471919">
        <w:rPr>
          <w:sz w:val="17"/>
        </w:rPr>
        <w:t>’</w:t>
      </w:r>
      <w:r w:rsidRPr="00471919">
        <w:rPr>
          <w:sz w:val="17"/>
        </w:rPr>
        <w:t>utilisation, le traitement et la fourniture des données échangées à des tiers, à l</w:t>
      </w:r>
      <w:r w:rsidR="00416338" w:rsidRPr="00471919">
        <w:rPr>
          <w:sz w:val="17"/>
        </w:rPr>
        <w:t>’</w:t>
      </w:r>
      <w:r w:rsidRPr="00471919">
        <w:rPr>
          <w:sz w:val="17"/>
        </w:rPr>
        <w:t>exclusion des offices de propriété intellectuelle, à des fins personnelles, professionnelles ou commerciales.</w:t>
      </w:r>
    </w:p>
    <w:p w14:paraId="3A277AA2" w14:textId="7EFEBE33" w:rsidR="00DA36C9" w:rsidRPr="00471919" w:rsidRDefault="00D130EA"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“utilisation officielle” désigne l</w:t>
      </w:r>
      <w:r w:rsidR="00416338" w:rsidRPr="00471919">
        <w:rPr>
          <w:sz w:val="17"/>
        </w:rPr>
        <w:t>’</w:t>
      </w:r>
      <w:r w:rsidRPr="00471919">
        <w:rPr>
          <w:sz w:val="17"/>
        </w:rPr>
        <w:t>utilisation des données par les fonctionnaires d</w:t>
      </w:r>
      <w:r w:rsidR="00416338" w:rsidRPr="00471919">
        <w:rPr>
          <w:sz w:val="17"/>
        </w:rPr>
        <w:t>’</w:t>
      </w:r>
      <w:r w:rsidRPr="00471919">
        <w:rPr>
          <w:sz w:val="17"/>
        </w:rPr>
        <w:t>un office de propriété intellectuelle récepteur ou, le cas échéant, par un fonctionnaire d</w:t>
      </w:r>
      <w:r w:rsidR="00416338" w:rsidRPr="00471919">
        <w:rPr>
          <w:sz w:val="17"/>
        </w:rPr>
        <w:t>’</w:t>
      </w:r>
      <w:r w:rsidRPr="00471919">
        <w:rPr>
          <w:sz w:val="17"/>
        </w:rPr>
        <w:t>une bibliothèque</w:t>
      </w:r>
      <w:r w:rsidR="00416338" w:rsidRPr="00471919">
        <w:rPr>
          <w:sz w:val="17"/>
        </w:rPr>
        <w:t> :</w:t>
      </w:r>
    </w:p>
    <w:p w14:paraId="11C49DEB" w14:textId="1E471369" w:rsidR="00D130EA" w:rsidRPr="00471919" w:rsidRDefault="00D130EA" w:rsidP="00FB7E20">
      <w:pPr>
        <w:pStyle w:val="ListParagraph"/>
        <w:numPr>
          <w:ilvl w:val="0"/>
          <w:numId w:val="4"/>
        </w:numPr>
        <w:spacing w:before="0" w:after="170"/>
        <w:ind w:left="1701" w:hanging="567"/>
        <w:contextualSpacing w:val="0"/>
        <w:rPr>
          <w:rFonts w:eastAsia="SimSun" w:cs="Arial"/>
          <w:kern w:val="0"/>
          <w:sz w:val="17"/>
          <w:szCs w:val="17"/>
          <w14:ligatures w14:val="none"/>
        </w:rPr>
      </w:pPr>
      <w:proofErr w:type="gramStart"/>
      <w:r w:rsidRPr="00471919">
        <w:rPr>
          <w:sz w:val="17"/>
        </w:rPr>
        <w:t>dans</w:t>
      </w:r>
      <w:proofErr w:type="gramEnd"/>
      <w:r w:rsidRPr="00471919">
        <w:rPr>
          <w:sz w:val="17"/>
        </w:rPr>
        <w:t xml:space="preserve"> le cadre des procédures officielles d</w:t>
      </w:r>
      <w:r w:rsidR="00416338" w:rsidRPr="00471919">
        <w:rPr>
          <w:sz w:val="17"/>
        </w:rPr>
        <w:t>’</w:t>
      </w:r>
      <w:r w:rsidRPr="00471919">
        <w:rPr>
          <w:sz w:val="17"/>
        </w:rPr>
        <w:t xml:space="preserve">octroi de titres de propriété intellectuelle, </w:t>
      </w:r>
      <w:r w:rsidR="00416338" w:rsidRPr="00471919">
        <w:rPr>
          <w:sz w:val="17"/>
        </w:rPr>
        <w:t>y compris</w:t>
      </w:r>
      <w:r w:rsidRPr="00471919">
        <w:rPr>
          <w:sz w:val="17"/>
        </w:rPr>
        <w:t xml:space="preserve"> les procédures de recherche, d</w:t>
      </w:r>
      <w:r w:rsidR="00416338" w:rsidRPr="00471919">
        <w:rPr>
          <w:sz w:val="17"/>
        </w:rPr>
        <w:t>’</w:t>
      </w:r>
      <w:r w:rsidRPr="00471919">
        <w:rPr>
          <w:sz w:val="17"/>
        </w:rPr>
        <w:t>examen, de maintien en vigueur et de recours;</w:t>
      </w:r>
    </w:p>
    <w:p w14:paraId="3EEAF39F" w14:textId="716306D3" w:rsidR="00D130EA" w:rsidRPr="00471919" w:rsidRDefault="00D130EA" w:rsidP="00FB7E20">
      <w:pPr>
        <w:pStyle w:val="ListParagraph"/>
        <w:numPr>
          <w:ilvl w:val="0"/>
          <w:numId w:val="4"/>
        </w:numPr>
        <w:spacing w:before="0" w:after="170"/>
        <w:ind w:left="1701" w:hanging="567"/>
        <w:contextualSpacing w:val="0"/>
        <w:rPr>
          <w:rFonts w:eastAsia="SimSun" w:cs="Arial"/>
          <w:kern w:val="0"/>
          <w:sz w:val="17"/>
          <w:szCs w:val="17"/>
          <w14:ligatures w14:val="none"/>
        </w:rPr>
      </w:pPr>
      <w:proofErr w:type="gramStart"/>
      <w:r w:rsidRPr="00471919">
        <w:rPr>
          <w:sz w:val="17"/>
        </w:rPr>
        <w:lastRenderedPageBreak/>
        <w:t>à</w:t>
      </w:r>
      <w:proofErr w:type="gramEnd"/>
      <w:r w:rsidRPr="00471919">
        <w:rPr>
          <w:sz w:val="17"/>
        </w:rPr>
        <w:t xml:space="preserve"> des fins d</w:t>
      </w:r>
      <w:r w:rsidR="00416338" w:rsidRPr="00471919">
        <w:rPr>
          <w:sz w:val="17"/>
        </w:rPr>
        <w:t>’</w:t>
      </w:r>
      <w:r w:rsidRPr="00471919">
        <w:rPr>
          <w:sz w:val="17"/>
        </w:rPr>
        <w:t>analyses statistiques et techniques dans le cadre des activités officielles de l</w:t>
      </w:r>
      <w:r w:rsidR="00416338" w:rsidRPr="00471919">
        <w:rPr>
          <w:sz w:val="17"/>
        </w:rPr>
        <w:t>’</w:t>
      </w:r>
      <w:r w:rsidRPr="00471919">
        <w:rPr>
          <w:sz w:val="17"/>
        </w:rPr>
        <w:t>office de propriété intellectuelle;</w:t>
      </w:r>
    </w:p>
    <w:p w14:paraId="5690FDE4" w14:textId="1F92D522" w:rsidR="00D130EA" w:rsidRPr="00471919" w:rsidRDefault="00D130EA" w:rsidP="00FB7E20">
      <w:pPr>
        <w:pStyle w:val="ListParagraph"/>
        <w:numPr>
          <w:ilvl w:val="0"/>
          <w:numId w:val="4"/>
        </w:numPr>
        <w:spacing w:before="0" w:after="170"/>
        <w:ind w:left="1701" w:hanging="567"/>
        <w:contextualSpacing w:val="0"/>
        <w:rPr>
          <w:rFonts w:eastAsia="SimSun" w:cs="Arial"/>
          <w:kern w:val="0"/>
          <w:sz w:val="17"/>
          <w:szCs w:val="17"/>
          <w14:ligatures w14:val="none"/>
        </w:rPr>
      </w:pPr>
      <w:proofErr w:type="gramStart"/>
      <w:r w:rsidRPr="00471919">
        <w:rPr>
          <w:sz w:val="17"/>
        </w:rPr>
        <w:t>pour</w:t>
      </w:r>
      <w:proofErr w:type="gramEnd"/>
      <w:r w:rsidRPr="00471919">
        <w:rPr>
          <w:sz w:val="17"/>
        </w:rPr>
        <w:t xml:space="preserve"> fournir des services spéciaux au public afin de répondre aux besoins spécifiques des utilisateurs, qu</w:t>
      </w:r>
      <w:r w:rsidR="00416338" w:rsidRPr="00471919">
        <w:rPr>
          <w:sz w:val="17"/>
        </w:rPr>
        <w:t>’</w:t>
      </w:r>
      <w:r w:rsidRPr="00471919">
        <w:rPr>
          <w:sz w:val="17"/>
        </w:rPr>
        <w:t>il s</w:t>
      </w:r>
      <w:r w:rsidR="00416338" w:rsidRPr="00471919">
        <w:rPr>
          <w:sz w:val="17"/>
        </w:rPr>
        <w:t>’</w:t>
      </w:r>
      <w:r w:rsidRPr="00471919">
        <w:rPr>
          <w:sz w:val="17"/>
        </w:rPr>
        <w:t>agisse de particuliers ou d</w:t>
      </w:r>
      <w:r w:rsidR="00416338" w:rsidRPr="00471919">
        <w:rPr>
          <w:sz w:val="17"/>
        </w:rPr>
        <w:t>’</w:t>
      </w:r>
      <w:r w:rsidRPr="00471919">
        <w:rPr>
          <w:sz w:val="17"/>
        </w:rPr>
        <w:t>entreprises, en fonction de leurs besoins;</w:t>
      </w:r>
    </w:p>
    <w:p w14:paraId="3D3B963B" w14:textId="15092D1E" w:rsidR="00D130EA" w:rsidRPr="00471919" w:rsidRDefault="00D130EA" w:rsidP="00FB7E20">
      <w:pPr>
        <w:pStyle w:val="ListParagraph"/>
        <w:numPr>
          <w:ilvl w:val="0"/>
          <w:numId w:val="4"/>
        </w:numPr>
        <w:spacing w:before="0" w:after="170"/>
        <w:ind w:left="1701" w:hanging="567"/>
        <w:contextualSpacing w:val="0"/>
        <w:rPr>
          <w:rFonts w:eastAsia="SimSun" w:cs="Arial"/>
          <w:kern w:val="0"/>
          <w:sz w:val="17"/>
          <w:szCs w:val="17"/>
          <w14:ligatures w14:val="none"/>
        </w:rPr>
      </w:pPr>
      <w:proofErr w:type="gramStart"/>
      <w:r w:rsidRPr="00471919">
        <w:rPr>
          <w:sz w:val="17"/>
        </w:rPr>
        <w:t>dans</w:t>
      </w:r>
      <w:proofErr w:type="gramEnd"/>
      <w:r w:rsidRPr="00471919">
        <w:rPr>
          <w:sz w:val="17"/>
        </w:rPr>
        <w:t xml:space="preserve"> le but d</w:t>
      </w:r>
      <w:r w:rsidR="00416338" w:rsidRPr="00471919">
        <w:rPr>
          <w:sz w:val="17"/>
        </w:rPr>
        <w:t>’</w:t>
      </w:r>
      <w:r w:rsidRPr="00471919">
        <w:rPr>
          <w:sz w:val="17"/>
        </w:rPr>
        <w:t>organiser des activités de formation systématiques, à condition que l</w:t>
      </w:r>
      <w:r w:rsidR="00416338" w:rsidRPr="00471919">
        <w:rPr>
          <w:sz w:val="17"/>
        </w:rPr>
        <w:t>’</w:t>
      </w:r>
      <w:r w:rsidRPr="00471919">
        <w:rPr>
          <w:sz w:val="17"/>
        </w:rPr>
        <w:t>utilisation des données soit conforme aux bons usages et dans la mesure justifiée par le but à atteindre, ou de mettre à disposition des copies des données destinées à être utilisées par l</w:t>
      </w:r>
      <w:r w:rsidR="00416338" w:rsidRPr="00471919">
        <w:rPr>
          <w:sz w:val="17"/>
        </w:rPr>
        <w:t>’</w:t>
      </w:r>
      <w:r w:rsidRPr="00471919">
        <w:rPr>
          <w:sz w:val="17"/>
        </w:rPr>
        <w:t>office récepteur ou la bibliothèque;</w:t>
      </w:r>
    </w:p>
    <w:p w14:paraId="31FF2BC1" w14:textId="17D2E318" w:rsidR="00D130EA" w:rsidRPr="00471919" w:rsidRDefault="00D130EA" w:rsidP="00FB7E20">
      <w:pPr>
        <w:pStyle w:val="ListParagraph"/>
        <w:numPr>
          <w:ilvl w:val="0"/>
          <w:numId w:val="4"/>
        </w:numPr>
        <w:spacing w:before="0" w:after="170"/>
        <w:ind w:left="1701" w:hanging="567"/>
        <w:contextualSpacing w:val="0"/>
        <w:rPr>
          <w:rFonts w:eastAsia="SimSun" w:cs="Arial"/>
          <w:kern w:val="0"/>
          <w:sz w:val="17"/>
          <w:szCs w:val="17"/>
          <w14:ligatures w14:val="none"/>
        </w:rPr>
      </w:pPr>
      <w:proofErr w:type="gramStart"/>
      <w:r w:rsidRPr="00471919">
        <w:rPr>
          <w:sz w:val="17"/>
        </w:rPr>
        <w:t>pour</w:t>
      </w:r>
      <w:proofErr w:type="gramEnd"/>
      <w:r w:rsidRPr="00471919">
        <w:rPr>
          <w:sz w:val="17"/>
        </w:rPr>
        <w:t xml:space="preserve"> l</w:t>
      </w:r>
      <w:r w:rsidR="00416338" w:rsidRPr="00471919">
        <w:rPr>
          <w:sz w:val="17"/>
        </w:rPr>
        <w:t>’</w:t>
      </w:r>
      <w:r w:rsidRPr="00471919">
        <w:rPr>
          <w:sz w:val="17"/>
        </w:rPr>
        <w:t>utilisation dans tout service public existant ou futur de l</w:t>
      </w:r>
      <w:r w:rsidR="00416338" w:rsidRPr="00471919">
        <w:rPr>
          <w:sz w:val="17"/>
        </w:rPr>
        <w:t>’</w:t>
      </w:r>
      <w:r w:rsidRPr="00471919">
        <w:rPr>
          <w:sz w:val="17"/>
        </w:rPr>
        <w:t xml:space="preserve">office de propriété intellectuelle récepteur; </w:t>
      </w:r>
      <w:r w:rsidR="0092219F" w:rsidRPr="00471919">
        <w:rPr>
          <w:sz w:val="17"/>
        </w:rPr>
        <w:t xml:space="preserve"> </w:t>
      </w:r>
      <w:r w:rsidRPr="00471919">
        <w:rPr>
          <w:sz w:val="17"/>
        </w:rPr>
        <w:t>et</w:t>
      </w:r>
    </w:p>
    <w:p w14:paraId="253E482F" w14:textId="40A8D0A4" w:rsidR="00D130EA" w:rsidRPr="00471919" w:rsidRDefault="00D130EA" w:rsidP="00FB7E20">
      <w:pPr>
        <w:pStyle w:val="ListParagraph"/>
        <w:numPr>
          <w:ilvl w:val="0"/>
          <w:numId w:val="4"/>
        </w:numPr>
        <w:spacing w:before="0" w:after="170"/>
        <w:ind w:left="1701" w:hanging="567"/>
        <w:contextualSpacing w:val="0"/>
        <w:rPr>
          <w:rFonts w:eastAsia="SimSun" w:cs="Arial"/>
          <w:kern w:val="0"/>
          <w:sz w:val="17"/>
          <w:szCs w:val="17"/>
          <w14:ligatures w14:val="none"/>
        </w:rPr>
      </w:pPr>
      <w:proofErr w:type="gramStart"/>
      <w:r w:rsidRPr="00471919">
        <w:rPr>
          <w:sz w:val="17"/>
        </w:rPr>
        <w:t>dans</w:t>
      </w:r>
      <w:proofErr w:type="gramEnd"/>
      <w:r w:rsidRPr="00471919">
        <w:rPr>
          <w:sz w:val="17"/>
        </w:rPr>
        <w:t xml:space="preserve"> le cadre de la fourniture d</w:t>
      </w:r>
      <w:r w:rsidR="00416338" w:rsidRPr="00471919">
        <w:rPr>
          <w:sz w:val="17"/>
        </w:rPr>
        <w:t>’</w:t>
      </w:r>
      <w:r w:rsidRPr="00471919">
        <w:rPr>
          <w:sz w:val="17"/>
        </w:rPr>
        <w:t>outils destinés à aider les utilisateurs à utiliser plus efficacement les données de propriété intellectuelle.</w:t>
      </w:r>
    </w:p>
    <w:p w14:paraId="500F80AF" w14:textId="47EDB278" w:rsidR="00157436" w:rsidRPr="00471919" w:rsidRDefault="00D130EA"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“utilisation en bibliothèque” désigne l</w:t>
      </w:r>
      <w:r w:rsidR="00416338" w:rsidRPr="00471919">
        <w:rPr>
          <w:sz w:val="17"/>
        </w:rPr>
        <w:t>’</w:t>
      </w:r>
      <w:r w:rsidRPr="00471919">
        <w:rPr>
          <w:sz w:val="17"/>
        </w:rPr>
        <w:t>utilisation de données par des membres du public lorsqu</w:t>
      </w:r>
      <w:r w:rsidR="00416338" w:rsidRPr="00471919">
        <w:rPr>
          <w:sz w:val="17"/>
        </w:rPr>
        <w:t>’</w:t>
      </w:r>
      <w:r w:rsidRPr="00471919">
        <w:rPr>
          <w:sz w:val="17"/>
        </w:rPr>
        <w:t>ils effectuent des recherches dans des offices de propriété intellectuelle ou dans des bibliothèques.</w:t>
      </w:r>
    </w:p>
    <w:p w14:paraId="0215F5C9" w14:textId="3283070E" w:rsidR="002B0F50" w:rsidRPr="00471919" w:rsidRDefault="000E04BA"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bookmarkStart w:id="9" w:name="_Toc207995207"/>
      <w:bookmarkEnd w:id="9"/>
      <w:r w:rsidRPr="00471919">
        <w:rPr>
          <w:sz w:val="17"/>
        </w:rPr>
        <w:t>“utilisation à des fins d</w:t>
      </w:r>
      <w:r w:rsidR="00416338" w:rsidRPr="00471919">
        <w:rPr>
          <w:sz w:val="17"/>
        </w:rPr>
        <w:t>’</w:t>
      </w:r>
      <w:r w:rsidRPr="00471919">
        <w:rPr>
          <w:sz w:val="17"/>
        </w:rPr>
        <w:t>échange de données” désigne l</w:t>
      </w:r>
      <w:r w:rsidR="00416338" w:rsidRPr="00471919">
        <w:rPr>
          <w:sz w:val="17"/>
        </w:rPr>
        <w:t>’</w:t>
      </w:r>
      <w:r w:rsidRPr="00471919">
        <w:rPr>
          <w:sz w:val="17"/>
        </w:rPr>
        <w:t>utilisation de données échangées pour les fournir à des offices de propriété intellectuelle tiers (sous réserve de l</w:t>
      </w:r>
      <w:r w:rsidR="00416338" w:rsidRPr="00471919">
        <w:rPr>
          <w:sz w:val="17"/>
        </w:rPr>
        <w:t>’</w:t>
      </w:r>
      <w:r w:rsidRPr="00471919">
        <w:rPr>
          <w:sz w:val="17"/>
        </w:rPr>
        <w:t>acceptation mutuelle du principe de réciprocité).</w:t>
      </w:r>
    </w:p>
    <w:p w14:paraId="5529601F" w14:textId="1FA00994" w:rsidR="00B60AB1" w:rsidRPr="00471919" w:rsidRDefault="00D63F50"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“utilisation interne” des données comprend l</w:t>
      </w:r>
      <w:r w:rsidR="00416338" w:rsidRPr="00471919">
        <w:rPr>
          <w:sz w:val="17"/>
        </w:rPr>
        <w:t>’</w:t>
      </w:r>
      <w:r w:rsidRPr="00471919">
        <w:rPr>
          <w:sz w:val="17"/>
        </w:rPr>
        <w:t>“utilisation officielle”, l</w:t>
      </w:r>
      <w:r w:rsidR="00416338" w:rsidRPr="00471919">
        <w:rPr>
          <w:sz w:val="17"/>
        </w:rPr>
        <w:t>’</w:t>
      </w:r>
      <w:r w:rsidRPr="00471919">
        <w:rPr>
          <w:sz w:val="17"/>
        </w:rPr>
        <w:t>“utilisation en bibliothèque” et l</w:t>
      </w:r>
      <w:r w:rsidR="00416338" w:rsidRPr="00471919">
        <w:rPr>
          <w:sz w:val="17"/>
        </w:rPr>
        <w:t>’</w:t>
      </w:r>
      <w:r w:rsidRPr="00471919">
        <w:rPr>
          <w:sz w:val="17"/>
        </w:rPr>
        <w:t>“utilisation à des fins d</w:t>
      </w:r>
      <w:r w:rsidR="00416338" w:rsidRPr="00471919">
        <w:rPr>
          <w:sz w:val="17"/>
        </w:rPr>
        <w:t>’</w:t>
      </w:r>
      <w:r w:rsidRPr="00471919">
        <w:rPr>
          <w:sz w:val="17"/>
        </w:rPr>
        <w:t>échange de données” par l</w:t>
      </w:r>
      <w:r w:rsidR="00416338" w:rsidRPr="00471919">
        <w:rPr>
          <w:sz w:val="17"/>
        </w:rPr>
        <w:t>’</w:t>
      </w:r>
      <w:r w:rsidRPr="00471919">
        <w:rPr>
          <w:sz w:val="17"/>
        </w:rPr>
        <w:t>office récepteur, comme prévu ci</w:t>
      </w:r>
      <w:r w:rsidR="00D71B1E">
        <w:rPr>
          <w:sz w:val="17"/>
        </w:rPr>
        <w:noBreakHyphen/>
      </w:r>
      <w:r w:rsidRPr="00471919">
        <w:rPr>
          <w:sz w:val="17"/>
        </w:rPr>
        <w:t>dessus.</w:t>
      </w:r>
    </w:p>
    <w:p w14:paraId="018B283B" w14:textId="2D90197D" w:rsidR="00F674F8" w:rsidRPr="00471919" w:rsidRDefault="00F674F8"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“coût marginal” comprend tous les coûts, à l</w:t>
      </w:r>
      <w:r w:rsidR="00416338" w:rsidRPr="00471919">
        <w:rPr>
          <w:sz w:val="17"/>
        </w:rPr>
        <w:t>’</w:t>
      </w:r>
      <w:r w:rsidRPr="00471919">
        <w:rPr>
          <w:sz w:val="17"/>
        </w:rPr>
        <w:t>exception des coûts de production, liés à la mise à disposition du produit (par exemple, le coût du disque vierge, l</w:t>
      </w:r>
      <w:r w:rsidR="00416338" w:rsidRPr="00471919">
        <w:rPr>
          <w:sz w:val="17"/>
        </w:rPr>
        <w:t>’</w:t>
      </w:r>
      <w:r w:rsidRPr="00471919">
        <w:rPr>
          <w:sz w:val="17"/>
        </w:rPr>
        <w:t>utilisation de l</w:t>
      </w:r>
      <w:r w:rsidR="00416338" w:rsidRPr="00471919">
        <w:rPr>
          <w:sz w:val="17"/>
        </w:rPr>
        <w:t>’</w:t>
      </w:r>
      <w:r w:rsidRPr="00471919">
        <w:rPr>
          <w:sz w:val="17"/>
        </w:rPr>
        <w:t>ordinateur, la copie, l</w:t>
      </w:r>
      <w:r w:rsidR="00416338" w:rsidRPr="00471919">
        <w:rPr>
          <w:sz w:val="17"/>
        </w:rPr>
        <w:t>’</w:t>
      </w:r>
      <w:r w:rsidRPr="00471919">
        <w:rPr>
          <w:sz w:val="17"/>
        </w:rPr>
        <w:t>emballage ou le transport et la main</w:t>
      </w:r>
      <w:r w:rsidR="00D71B1E">
        <w:rPr>
          <w:sz w:val="17"/>
        </w:rPr>
        <w:noBreakHyphen/>
      </w:r>
      <w:r w:rsidRPr="00471919">
        <w:rPr>
          <w:sz w:val="17"/>
        </w:rPr>
        <w:t>d</w:t>
      </w:r>
      <w:r w:rsidR="00416338" w:rsidRPr="00471919">
        <w:rPr>
          <w:sz w:val="17"/>
        </w:rPr>
        <w:t>’</w:t>
      </w:r>
      <w:r w:rsidRPr="00471919">
        <w:rPr>
          <w:sz w:val="17"/>
        </w:rPr>
        <w:t>œuvre).</w:t>
      </w:r>
    </w:p>
    <w:p w14:paraId="0174AA2B" w14:textId="706FC049" w:rsidR="005A12E7" w:rsidRPr="00471919" w:rsidRDefault="005A12E7" w:rsidP="00FB7E20">
      <w:pPr>
        <w:pStyle w:val="ListParagraph"/>
        <w:numPr>
          <w:ilvl w:val="0"/>
          <w:numId w:val="6"/>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“format en masse” désigne la possibilité de télécharger plusieurs documents en une seule opération.</w:t>
      </w:r>
    </w:p>
    <w:p w14:paraId="681E6CC3" w14:textId="6A3EAA0B" w:rsidR="00560A6C" w:rsidRPr="00471919" w:rsidRDefault="00560A6C" w:rsidP="00FB7E20">
      <w:pPr>
        <w:pStyle w:val="ListParagraph"/>
        <w:tabs>
          <w:tab w:val="left" w:pos="567"/>
        </w:tabs>
        <w:spacing w:before="0" w:after="170"/>
        <w:ind w:left="0"/>
        <w:contextualSpacing w:val="0"/>
        <w:rPr>
          <w:bCs/>
          <w:sz w:val="17"/>
          <w:szCs w:val="17"/>
        </w:rPr>
      </w:pPr>
      <w:r w:rsidRPr="00471919">
        <w:rPr>
          <w:sz w:val="17"/>
        </w:rPr>
        <w:fldChar w:fldCharType="begin"/>
      </w:r>
      <w:r w:rsidRPr="00471919">
        <w:rPr>
          <w:sz w:val="17"/>
        </w:rPr>
        <w:instrText xml:space="preserve"> AUTONUM  </w:instrText>
      </w:r>
      <w:r w:rsidRPr="00471919">
        <w:rPr>
          <w:sz w:val="17"/>
        </w:rPr>
        <w:fldChar w:fldCharType="end"/>
      </w:r>
      <w:r w:rsidRPr="00471919">
        <w:tab/>
      </w:r>
      <w:r w:rsidRPr="00471919">
        <w:rPr>
          <w:sz w:val="17"/>
        </w:rPr>
        <w:t>Aux fins de la présente norme,</w:t>
      </w:r>
    </w:p>
    <w:p w14:paraId="74580820" w14:textId="30A607F8" w:rsidR="00F35897" w:rsidRPr="00471919" w:rsidRDefault="00F35897" w:rsidP="00FB7E20">
      <w:pPr>
        <w:pStyle w:val="ListParagraph"/>
        <w:numPr>
          <w:ilvl w:val="0"/>
          <w:numId w:val="7"/>
        </w:numPr>
        <w:tabs>
          <w:tab w:val="left" w:pos="1134"/>
        </w:tabs>
        <w:spacing w:before="0" w:after="170"/>
        <w:ind w:left="567" w:firstLine="0"/>
        <w:contextualSpacing w:val="0"/>
        <w:rPr>
          <w:rFonts w:eastAsia="Times New Roman" w:cs="Times New Roman"/>
          <w:kern w:val="0"/>
          <w:sz w:val="17"/>
          <w:szCs w:val="20"/>
          <w14:ligatures w14:val="none"/>
        </w:rPr>
      </w:pPr>
      <w:proofErr w:type="gramStart"/>
      <w:r w:rsidRPr="00471919">
        <w:rPr>
          <w:sz w:val="17"/>
        </w:rPr>
        <w:t>le</w:t>
      </w:r>
      <w:proofErr w:type="gramEnd"/>
      <w:r w:rsidRPr="00471919">
        <w:rPr>
          <w:sz w:val="17"/>
        </w:rPr>
        <w:t xml:space="preserve"> terme “peut” indique qu</w:t>
      </w:r>
      <w:r w:rsidR="00416338" w:rsidRPr="00471919">
        <w:rPr>
          <w:sz w:val="17"/>
        </w:rPr>
        <w:t>’</w:t>
      </w:r>
      <w:r w:rsidRPr="00471919">
        <w:rPr>
          <w:sz w:val="17"/>
        </w:rPr>
        <w:t>une démarche est facultative ou autorisée, mais pas obligatoire;</w:t>
      </w:r>
    </w:p>
    <w:p w14:paraId="775382ED" w14:textId="64F1A0F0" w:rsidR="00B16A0D" w:rsidRPr="00471919" w:rsidRDefault="00524356" w:rsidP="00FB7E20">
      <w:pPr>
        <w:pStyle w:val="ListParagraph"/>
        <w:numPr>
          <w:ilvl w:val="0"/>
          <w:numId w:val="7"/>
        </w:numPr>
        <w:tabs>
          <w:tab w:val="left" w:pos="1134"/>
        </w:tabs>
        <w:spacing w:before="0" w:after="170"/>
        <w:ind w:left="567" w:firstLine="0"/>
        <w:contextualSpacing w:val="0"/>
        <w:rPr>
          <w:rFonts w:eastAsia="Times New Roman" w:cs="Times New Roman"/>
          <w:kern w:val="0"/>
          <w:sz w:val="17"/>
          <w:szCs w:val="20"/>
          <w14:ligatures w14:val="none"/>
        </w:rPr>
      </w:pPr>
      <w:proofErr w:type="gramStart"/>
      <w:r w:rsidRPr="00471919">
        <w:rPr>
          <w:sz w:val="17"/>
        </w:rPr>
        <w:t>le</w:t>
      </w:r>
      <w:proofErr w:type="gramEnd"/>
      <w:r w:rsidRPr="00471919">
        <w:rPr>
          <w:sz w:val="17"/>
        </w:rPr>
        <w:t xml:space="preserve"> terme “devrait” indique qu</w:t>
      </w:r>
      <w:r w:rsidR="00416338" w:rsidRPr="00471919">
        <w:rPr>
          <w:sz w:val="17"/>
        </w:rPr>
        <w:t>’</w:t>
      </w:r>
      <w:r w:rsidRPr="00471919">
        <w:rPr>
          <w:sz w:val="17"/>
        </w:rPr>
        <w:t>une démarche est fortement conseillée, mais pas obligatoire</w:t>
      </w:r>
      <w:r w:rsidR="00C73200">
        <w:rPr>
          <w:sz w:val="17"/>
        </w:rPr>
        <w:t>;</w:t>
      </w:r>
    </w:p>
    <w:p w14:paraId="3274C8A8" w14:textId="301C7166" w:rsidR="00416338" w:rsidRPr="00471919" w:rsidRDefault="00266881" w:rsidP="00FB7E20">
      <w:pPr>
        <w:pStyle w:val="ListParagraph"/>
        <w:numPr>
          <w:ilvl w:val="0"/>
          <w:numId w:val="7"/>
        </w:numPr>
        <w:tabs>
          <w:tab w:val="left" w:pos="1134"/>
        </w:tabs>
        <w:spacing w:before="0" w:after="170"/>
        <w:ind w:left="567" w:firstLine="0"/>
        <w:contextualSpacing w:val="0"/>
        <w:rPr>
          <w:sz w:val="17"/>
        </w:rPr>
      </w:pPr>
      <w:proofErr w:type="gramStart"/>
      <w:r w:rsidRPr="00471919">
        <w:rPr>
          <w:sz w:val="17"/>
        </w:rPr>
        <w:t>l</w:t>
      </w:r>
      <w:r w:rsidR="00416338" w:rsidRPr="00471919">
        <w:rPr>
          <w:sz w:val="17"/>
        </w:rPr>
        <w:t>’</w:t>
      </w:r>
      <w:r w:rsidRPr="00471919">
        <w:rPr>
          <w:sz w:val="17"/>
        </w:rPr>
        <w:t>expression</w:t>
      </w:r>
      <w:proofErr w:type="gramEnd"/>
      <w:r w:rsidRPr="00471919">
        <w:rPr>
          <w:sz w:val="17"/>
        </w:rPr>
        <w:t xml:space="preserve"> “ne devrait pas” indique qu</w:t>
      </w:r>
      <w:r w:rsidR="00416338" w:rsidRPr="00471919">
        <w:rPr>
          <w:sz w:val="17"/>
        </w:rPr>
        <w:t>’</w:t>
      </w:r>
      <w:r w:rsidRPr="00471919">
        <w:rPr>
          <w:sz w:val="17"/>
        </w:rPr>
        <w:t>une démarche est fortement déconseillée, mais pas interdite.</w:t>
      </w:r>
    </w:p>
    <w:p w14:paraId="7A0A3592" w14:textId="3854DD89" w:rsidR="0012344B" w:rsidRPr="00471919" w:rsidRDefault="00C73200" w:rsidP="00C73200">
      <w:pPr>
        <w:pStyle w:val="Heading2"/>
      </w:pPr>
      <w:bookmarkStart w:id="10" w:name="_Toc209011737"/>
      <w:r>
        <w:t>C</w:t>
      </w:r>
      <w:r w:rsidRPr="00471919">
        <w:t>onditions de fourniture, d’utilisation et de diffusion de données de propriété intellectuelle</w:t>
      </w:r>
      <w:bookmarkEnd w:id="10"/>
    </w:p>
    <w:p w14:paraId="0A5CCD40" w14:textId="2D1F0F3F" w:rsidR="00542AC3" w:rsidRPr="00471919" w:rsidRDefault="00C73200" w:rsidP="00C73200">
      <w:pPr>
        <w:pStyle w:val="Heading2"/>
      </w:pPr>
      <w:r>
        <w:t>P</w:t>
      </w:r>
      <w:r w:rsidRPr="00471919">
        <w:t>rincipes</w:t>
      </w:r>
    </w:p>
    <w:p w14:paraId="6CE4A40D" w14:textId="220551EB" w:rsidR="0061284C" w:rsidRPr="00471919" w:rsidRDefault="0061284C" w:rsidP="00FB7E20">
      <w:pPr>
        <w:tabs>
          <w:tab w:val="left" w:pos="567"/>
        </w:tabs>
        <w:spacing w:before="0" w:after="170"/>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Les offices de propriété intellectuelle s</w:t>
      </w:r>
      <w:r w:rsidR="00416338" w:rsidRPr="00471919">
        <w:rPr>
          <w:sz w:val="17"/>
        </w:rPr>
        <w:t>’</w:t>
      </w:r>
      <w:r w:rsidRPr="00471919">
        <w:rPr>
          <w:sz w:val="17"/>
        </w:rPr>
        <w:t>accordent sur le fait que leurs données de propriété intellectuelle devraient être mises à la disposition du public et des tiers au coût marginal ou gratuitement, ainsi que sur la nécessité d</w:t>
      </w:r>
      <w:r w:rsidR="00416338" w:rsidRPr="00471919">
        <w:rPr>
          <w:sz w:val="17"/>
        </w:rPr>
        <w:t>’</w:t>
      </w:r>
      <w:r w:rsidRPr="00471919">
        <w:rPr>
          <w:sz w:val="17"/>
        </w:rPr>
        <w:t>améliorer la qualité de l</w:t>
      </w:r>
      <w:r w:rsidR="00416338" w:rsidRPr="00471919">
        <w:rPr>
          <w:sz w:val="17"/>
        </w:rPr>
        <w:t>’</w:t>
      </w:r>
      <w:r w:rsidRPr="00471919">
        <w:rPr>
          <w:sz w:val="17"/>
        </w:rPr>
        <w:t>examen et de promouvoir l</w:t>
      </w:r>
      <w:r w:rsidR="00416338" w:rsidRPr="00471919">
        <w:rPr>
          <w:sz w:val="17"/>
        </w:rPr>
        <w:t>’</w:t>
      </w:r>
      <w:r w:rsidRPr="00471919">
        <w:rPr>
          <w:sz w:val="17"/>
        </w:rPr>
        <w:t>utilisation des données de propriété intellectuelle par les utilisateurs.  Afin d</w:t>
      </w:r>
      <w:r w:rsidR="00416338" w:rsidRPr="00471919">
        <w:rPr>
          <w:sz w:val="17"/>
        </w:rPr>
        <w:t>’</w:t>
      </w:r>
      <w:r w:rsidRPr="00471919">
        <w:rPr>
          <w:sz w:val="17"/>
        </w:rPr>
        <w:t>atteindre ces objectifs, il est recommandé aux offices de propriété intellectuelle de favoriser la libre circulation des données de propriété intellectuelle, d</w:t>
      </w:r>
      <w:r w:rsidR="00416338" w:rsidRPr="00471919">
        <w:rPr>
          <w:sz w:val="17"/>
        </w:rPr>
        <w:t>’</w:t>
      </w:r>
      <w:r w:rsidRPr="00471919">
        <w:rPr>
          <w:sz w:val="17"/>
        </w:rPr>
        <w:t>échanger entre eux des données de propriété intellectuelle conformément au principe de réciprocité préconisé dans la présente norme et de fournir les données échangées à des tiers.</w:t>
      </w:r>
    </w:p>
    <w:p w14:paraId="0C1C4BC5" w14:textId="353D44A9" w:rsidR="00964EB0" w:rsidRPr="00471919" w:rsidRDefault="00964EB0" w:rsidP="00DE58F5">
      <w:pPr>
        <w:pStyle w:val="Heading3"/>
      </w:pPr>
      <w:r w:rsidRPr="00471919">
        <w:t>Principe de réciprocité</w:t>
      </w:r>
    </w:p>
    <w:p w14:paraId="7E9BE891" w14:textId="790A4E08" w:rsidR="00964EB0" w:rsidRPr="00471919" w:rsidRDefault="00EB0BC5"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Lorsqu</w:t>
      </w:r>
      <w:r w:rsidR="00416338" w:rsidRPr="00471919">
        <w:rPr>
          <w:sz w:val="17"/>
        </w:rPr>
        <w:t>’</w:t>
      </w:r>
      <w:r w:rsidRPr="00471919">
        <w:rPr>
          <w:sz w:val="17"/>
        </w:rPr>
        <w:t>un office d</w:t>
      </w:r>
      <w:r w:rsidR="00416338" w:rsidRPr="00471919">
        <w:rPr>
          <w:sz w:val="17"/>
        </w:rPr>
        <w:t>’</w:t>
      </w:r>
      <w:r w:rsidRPr="00471919">
        <w:rPr>
          <w:sz w:val="17"/>
        </w:rPr>
        <w:t>origine fournit des données de propriété intellectuelle à un office récepteur, l</w:t>
      </w:r>
      <w:r w:rsidR="00416338" w:rsidRPr="00471919">
        <w:rPr>
          <w:sz w:val="17"/>
        </w:rPr>
        <w:t>’</w:t>
      </w:r>
      <w:r w:rsidRPr="00471919">
        <w:rPr>
          <w:sz w:val="17"/>
        </w:rPr>
        <w:t>office d</w:t>
      </w:r>
      <w:r w:rsidR="00416338" w:rsidRPr="00471919">
        <w:rPr>
          <w:sz w:val="17"/>
        </w:rPr>
        <w:t>’</w:t>
      </w:r>
      <w:r w:rsidRPr="00471919">
        <w:rPr>
          <w:sz w:val="17"/>
        </w:rPr>
        <w:t>origine devrait être habilité à recevoir ces données de propriété intellectuelle de la part de l</w:t>
      </w:r>
      <w:r w:rsidR="00416338" w:rsidRPr="00471919">
        <w:rPr>
          <w:sz w:val="17"/>
        </w:rPr>
        <w:t>’</w:t>
      </w:r>
      <w:r w:rsidRPr="00471919">
        <w:rPr>
          <w:sz w:val="17"/>
        </w:rPr>
        <w:t>office récepteur, et l</w:t>
      </w:r>
      <w:r w:rsidR="00416338" w:rsidRPr="00471919">
        <w:rPr>
          <w:sz w:val="17"/>
        </w:rPr>
        <w:t>’</w:t>
      </w:r>
      <w:r w:rsidRPr="00471919">
        <w:rPr>
          <w:sz w:val="17"/>
        </w:rPr>
        <w:t>office récepteur devrait être prêt à fournir à l</w:t>
      </w:r>
      <w:r w:rsidR="00416338" w:rsidRPr="00471919">
        <w:rPr>
          <w:sz w:val="17"/>
        </w:rPr>
        <w:t>’</w:t>
      </w:r>
      <w:r w:rsidRPr="00471919">
        <w:rPr>
          <w:sz w:val="17"/>
        </w:rPr>
        <w:t>office d</w:t>
      </w:r>
      <w:r w:rsidR="00416338" w:rsidRPr="00471919">
        <w:rPr>
          <w:sz w:val="17"/>
        </w:rPr>
        <w:t>’</w:t>
      </w:r>
      <w:r w:rsidRPr="00471919">
        <w:rPr>
          <w:sz w:val="17"/>
        </w:rPr>
        <w:t>origine ses propres données de propriété intellectuelle équivalentes à celles fourni</w:t>
      </w:r>
      <w:r w:rsidR="00471919" w:rsidRPr="00471919">
        <w:rPr>
          <w:sz w:val="17"/>
        </w:rPr>
        <w:t>es.  Lo</w:t>
      </w:r>
      <w:r w:rsidRPr="00471919">
        <w:rPr>
          <w:sz w:val="17"/>
        </w:rPr>
        <w:t>rsqu</w:t>
      </w:r>
      <w:r w:rsidR="00416338" w:rsidRPr="00471919">
        <w:rPr>
          <w:sz w:val="17"/>
        </w:rPr>
        <w:t>’</w:t>
      </w:r>
      <w:r w:rsidRPr="00471919">
        <w:rPr>
          <w:sz w:val="17"/>
        </w:rPr>
        <w:t>un office récepteur fournit à un office de propriété intellectuelle tiers des données de propriété intellectuelle échangées fournies par un office d</w:t>
      </w:r>
      <w:r w:rsidR="00416338" w:rsidRPr="00471919">
        <w:rPr>
          <w:sz w:val="17"/>
        </w:rPr>
        <w:t>’</w:t>
      </w:r>
      <w:r w:rsidRPr="00471919">
        <w:rPr>
          <w:sz w:val="17"/>
        </w:rPr>
        <w:t>origine, l</w:t>
      </w:r>
      <w:r w:rsidR="00416338" w:rsidRPr="00471919">
        <w:rPr>
          <w:sz w:val="17"/>
        </w:rPr>
        <w:t>’</w:t>
      </w:r>
      <w:r w:rsidRPr="00471919">
        <w:rPr>
          <w:sz w:val="17"/>
        </w:rPr>
        <w:t>office d</w:t>
      </w:r>
      <w:r w:rsidR="00416338" w:rsidRPr="00471919">
        <w:rPr>
          <w:sz w:val="17"/>
        </w:rPr>
        <w:t>’</w:t>
      </w:r>
      <w:r w:rsidRPr="00471919">
        <w:rPr>
          <w:sz w:val="17"/>
        </w:rPr>
        <w:t>origine devrait être habilité à recevoir ces données de propriété intellectuelle de l</w:t>
      </w:r>
      <w:r w:rsidR="00416338" w:rsidRPr="00471919">
        <w:rPr>
          <w:sz w:val="17"/>
        </w:rPr>
        <w:t>’</w:t>
      </w:r>
      <w:r w:rsidRPr="00471919">
        <w:rPr>
          <w:sz w:val="17"/>
        </w:rPr>
        <w:t>office de propriété intellectuelle tiers, et l</w:t>
      </w:r>
      <w:r w:rsidR="00416338" w:rsidRPr="00471919">
        <w:rPr>
          <w:sz w:val="17"/>
        </w:rPr>
        <w:t>’</w:t>
      </w:r>
      <w:r w:rsidRPr="00471919">
        <w:rPr>
          <w:sz w:val="17"/>
        </w:rPr>
        <w:t>office de propriété intellectuelle tiers devrait être prêt à fournir à l</w:t>
      </w:r>
      <w:r w:rsidR="00416338" w:rsidRPr="00471919">
        <w:rPr>
          <w:sz w:val="17"/>
        </w:rPr>
        <w:t>’</w:t>
      </w:r>
      <w:r w:rsidRPr="00471919">
        <w:rPr>
          <w:sz w:val="17"/>
        </w:rPr>
        <w:t>office d</w:t>
      </w:r>
      <w:r w:rsidR="00416338" w:rsidRPr="00471919">
        <w:rPr>
          <w:sz w:val="17"/>
        </w:rPr>
        <w:t>’</w:t>
      </w:r>
      <w:r w:rsidRPr="00471919">
        <w:rPr>
          <w:sz w:val="17"/>
        </w:rPr>
        <w:t>origine ses propres données de propriété intellectuelle équivalentes à celles fourni</w:t>
      </w:r>
      <w:r w:rsidR="00471919" w:rsidRPr="00471919">
        <w:rPr>
          <w:sz w:val="17"/>
        </w:rPr>
        <w:t>es.  To</w:t>
      </w:r>
      <w:r w:rsidRPr="00471919">
        <w:rPr>
          <w:sz w:val="17"/>
        </w:rPr>
        <w:t>utefois, ce principe ne s</w:t>
      </w:r>
      <w:r w:rsidR="00416338" w:rsidRPr="00471919">
        <w:rPr>
          <w:sz w:val="17"/>
        </w:rPr>
        <w:t>’</w:t>
      </w:r>
      <w:r w:rsidRPr="00471919">
        <w:rPr>
          <w:sz w:val="17"/>
        </w:rPr>
        <w:t>applique pas si l</w:t>
      </w:r>
      <w:r w:rsidR="00416338" w:rsidRPr="00471919">
        <w:rPr>
          <w:sz w:val="17"/>
        </w:rPr>
        <w:t>’</w:t>
      </w:r>
      <w:r w:rsidRPr="00471919">
        <w:rPr>
          <w:sz w:val="17"/>
        </w:rPr>
        <w:t>office d</w:t>
      </w:r>
      <w:r w:rsidR="00416338" w:rsidRPr="00471919">
        <w:rPr>
          <w:sz w:val="17"/>
        </w:rPr>
        <w:t>’</w:t>
      </w:r>
      <w:r w:rsidRPr="00471919">
        <w:rPr>
          <w:sz w:val="17"/>
        </w:rPr>
        <w:t>origine indique expressément qu</w:t>
      </w:r>
      <w:r w:rsidR="00416338" w:rsidRPr="00471919">
        <w:rPr>
          <w:sz w:val="17"/>
        </w:rPr>
        <w:t>’</w:t>
      </w:r>
      <w:r w:rsidRPr="00471919">
        <w:rPr>
          <w:sz w:val="17"/>
        </w:rPr>
        <w:t>il n</w:t>
      </w:r>
      <w:r w:rsidR="00416338" w:rsidRPr="00471919">
        <w:rPr>
          <w:sz w:val="17"/>
        </w:rPr>
        <w:t>’</w:t>
      </w:r>
      <w:r w:rsidRPr="00471919">
        <w:rPr>
          <w:sz w:val="17"/>
        </w:rPr>
        <w:t>exige pas de l</w:t>
      </w:r>
      <w:r w:rsidR="00416338" w:rsidRPr="00471919">
        <w:rPr>
          <w:sz w:val="17"/>
        </w:rPr>
        <w:t>’</w:t>
      </w:r>
      <w:r w:rsidRPr="00471919">
        <w:rPr>
          <w:sz w:val="17"/>
        </w:rPr>
        <w:t>office récepteur ou de l</w:t>
      </w:r>
      <w:r w:rsidR="00416338" w:rsidRPr="00471919">
        <w:rPr>
          <w:sz w:val="17"/>
        </w:rPr>
        <w:t>’</w:t>
      </w:r>
      <w:r w:rsidRPr="00471919">
        <w:rPr>
          <w:sz w:val="17"/>
        </w:rPr>
        <w:t>office de propriété intellectuelle tiers des données équivalentes à celles fournies par l</w:t>
      </w:r>
      <w:r w:rsidR="00416338" w:rsidRPr="00471919">
        <w:rPr>
          <w:sz w:val="17"/>
        </w:rPr>
        <w:t>’</w:t>
      </w:r>
      <w:r w:rsidRPr="00471919">
        <w:rPr>
          <w:sz w:val="17"/>
        </w:rPr>
        <w:t>office d</w:t>
      </w:r>
      <w:r w:rsidR="00416338" w:rsidRPr="00471919">
        <w:rPr>
          <w:sz w:val="17"/>
        </w:rPr>
        <w:t>’</w:t>
      </w:r>
      <w:r w:rsidRPr="00471919">
        <w:rPr>
          <w:sz w:val="17"/>
        </w:rPr>
        <w:t>origine.</w:t>
      </w:r>
    </w:p>
    <w:p w14:paraId="521A224B" w14:textId="506B30AB" w:rsidR="003F3F4B" w:rsidRPr="00471919" w:rsidRDefault="003F3F4B" w:rsidP="00F3335B">
      <w:pPr>
        <w:pStyle w:val="Heading3"/>
      </w:pPr>
      <w:bookmarkStart w:id="11" w:name="_Toc209011738"/>
      <w:r w:rsidRPr="00471919">
        <w:t>Autorisation pour utilisation interne</w:t>
      </w:r>
      <w:bookmarkEnd w:id="11"/>
    </w:p>
    <w:p w14:paraId="1A81F302" w14:textId="41246975" w:rsidR="00E072A4" w:rsidRPr="00471919" w:rsidRDefault="00554B05"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Les offices récepteurs devraient être autorisés à utiliser les données échangées en interne sans aucune restriction à des fins “officielles” et “en bibliothèque”.  Un office récepteur devrait être autorisé à fournir les données échangées à des offices de propriété intellectuelle tiers, à condition que ces derniers respectent le principe de réciprocité.</w:t>
      </w:r>
    </w:p>
    <w:p w14:paraId="125683D8" w14:textId="48B7AEFC" w:rsidR="00746F03" w:rsidRPr="00471919" w:rsidRDefault="00746F03" w:rsidP="00F3335B">
      <w:pPr>
        <w:pStyle w:val="Heading3"/>
      </w:pPr>
      <w:bookmarkStart w:id="12" w:name="_Toc209011739"/>
      <w:r w:rsidRPr="00471919">
        <w:t>Autorisation pour utilisation externe</w:t>
      </w:r>
      <w:bookmarkEnd w:id="12"/>
    </w:p>
    <w:p w14:paraId="215C1E82" w14:textId="313E249F" w:rsidR="00DB6BD7" w:rsidRPr="00471919" w:rsidRDefault="0006331E"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 xml:space="preserve">Les offices récepteurs devraient être autorisés à fournir les données échangées sous quelque forme que ce soit, </w:t>
      </w:r>
      <w:r w:rsidR="00416338" w:rsidRPr="00471919">
        <w:rPr>
          <w:sz w:val="17"/>
        </w:rPr>
        <w:t>y compris</w:t>
      </w:r>
      <w:r w:rsidRPr="00471919">
        <w:rPr>
          <w:sz w:val="17"/>
        </w:rPr>
        <w:t xml:space="preserve"> en masse, à des tiers pour une utilisation externe et à des fins commerciales.</w:t>
      </w:r>
    </w:p>
    <w:p w14:paraId="0E863CBE" w14:textId="52C2EF8F" w:rsidR="00E072A4" w:rsidRPr="00471919" w:rsidRDefault="00DB6BD7" w:rsidP="00FB7E20">
      <w:pPr>
        <w:tabs>
          <w:tab w:val="left" w:pos="567"/>
        </w:tabs>
        <w:spacing w:before="0" w:after="170"/>
        <w:rPr>
          <w:sz w:val="17"/>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Les tiers peuvent redistribuer les données uniquement s</w:t>
      </w:r>
      <w:r w:rsidR="00416338" w:rsidRPr="00471919">
        <w:rPr>
          <w:sz w:val="17"/>
        </w:rPr>
        <w:t>’</w:t>
      </w:r>
      <w:r w:rsidRPr="00471919">
        <w:rPr>
          <w:sz w:val="17"/>
        </w:rPr>
        <w:t>ils y ont ajouté de la valeur, par exemple en fournissant des dispositions pour la formation de modèles d</w:t>
      </w:r>
      <w:r w:rsidR="00416338" w:rsidRPr="00471919">
        <w:rPr>
          <w:sz w:val="17"/>
        </w:rPr>
        <w:t>’</w:t>
      </w:r>
      <w:r w:rsidRPr="00471919">
        <w:rPr>
          <w:sz w:val="17"/>
        </w:rPr>
        <w:t>intelligence artificielle.  Les données ne devraient pas être redistribuées sous leur forme originale, “telles quelles”</w:t>
      </w:r>
      <w:r w:rsidR="00AF3797" w:rsidRPr="00471919">
        <w:rPr>
          <w:rStyle w:val="FootnoteReference"/>
          <w:rFonts w:eastAsia="SimSun" w:cs="Arial"/>
          <w:kern w:val="0"/>
          <w:sz w:val="17"/>
          <w:szCs w:val="17"/>
          <w:lang w:eastAsia="zh-CN"/>
        </w:rPr>
        <w:footnoteReference w:id="2"/>
      </w:r>
      <w:r w:rsidRPr="00471919">
        <w:rPr>
          <w:sz w:val="17"/>
        </w:rPr>
        <w:t>.</w:t>
      </w:r>
    </w:p>
    <w:p w14:paraId="75A397E7" w14:textId="2CEE576F" w:rsidR="00427CF4" w:rsidRPr="00471919" w:rsidRDefault="00427CF4" w:rsidP="00F3335B">
      <w:pPr>
        <w:pStyle w:val="Heading3"/>
      </w:pPr>
      <w:bookmarkStart w:id="13" w:name="_Toc209011740"/>
      <w:r w:rsidRPr="00471919">
        <w:t>Gratuité</w:t>
      </w:r>
      <w:bookmarkEnd w:id="13"/>
    </w:p>
    <w:p w14:paraId="5637D49E" w14:textId="1D9E0BA8" w:rsidR="00427CF4" w:rsidRPr="00471919" w:rsidRDefault="00427CF4"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La fourniture de données de propriété intellectuelle à des tiers ne devrait être effectuée que gratuitement ou au coût marginal.   Par conséquent, aucune donnée échangée ne devrait être fournie par un office de propriété intellectuelle à des partenaires externes à un prix supérieur au coût marginal.</w:t>
      </w:r>
    </w:p>
    <w:p w14:paraId="70B885B0" w14:textId="316761D4" w:rsidR="00180E52" w:rsidRPr="00471919" w:rsidRDefault="00C73200" w:rsidP="00C73200">
      <w:pPr>
        <w:pStyle w:val="Heading2"/>
        <w:rPr>
          <w:i/>
          <w:iCs/>
        </w:rPr>
      </w:pPr>
      <w:bookmarkStart w:id="14" w:name="_Toc209011741"/>
      <w:r>
        <w:t>T</w:t>
      </w:r>
      <w:r w:rsidRPr="00471919">
        <w:t>ypes de données de propriété intellectuelle échangées</w:t>
      </w:r>
      <w:bookmarkEnd w:id="14"/>
    </w:p>
    <w:p w14:paraId="422DF7D0" w14:textId="32139469" w:rsidR="00180E52" w:rsidRPr="00471919" w:rsidRDefault="00180E52"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Les recommandations contenues dans la présente norme s</w:t>
      </w:r>
      <w:r w:rsidR="00416338" w:rsidRPr="00471919">
        <w:rPr>
          <w:sz w:val="17"/>
        </w:rPr>
        <w:t>’</w:t>
      </w:r>
      <w:r w:rsidRPr="00471919">
        <w:rPr>
          <w:sz w:val="17"/>
        </w:rPr>
        <w:t xml:space="preserve">appliquent à tous les types de données échangées, </w:t>
      </w:r>
      <w:r w:rsidR="00416338" w:rsidRPr="00471919">
        <w:rPr>
          <w:sz w:val="17"/>
        </w:rPr>
        <w:t>y compris</w:t>
      </w:r>
      <w:r w:rsidRPr="00471919">
        <w:rPr>
          <w:sz w:val="17"/>
        </w:rPr>
        <w:t xml:space="preserve"> un ensemble ou un sous</w:t>
      </w:r>
      <w:r w:rsidR="00D71B1E">
        <w:rPr>
          <w:sz w:val="17"/>
        </w:rPr>
        <w:noBreakHyphen/>
      </w:r>
      <w:r w:rsidRPr="00471919">
        <w:rPr>
          <w:sz w:val="17"/>
        </w:rPr>
        <w:t>ensemble de données reçues par les offices de propriété intellectuelle ou fournies à ceux</w:t>
      </w:r>
      <w:r w:rsidR="00D71B1E">
        <w:rPr>
          <w:sz w:val="17"/>
        </w:rPr>
        <w:noBreakHyphen/>
      </w:r>
      <w:r w:rsidRPr="00471919">
        <w:rPr>
          <w:sz w:val="17"/>
        </w:rPr>
        <w:t>ci, en plus d</w:t>
      </w:r>
      <w:r w:rsidR="00416338" w:rsidRPr="00471919">
        <w:rPr>
          <w:sz w:val="17"/>
        </w:rPr>
        <w:t>’</w:t>
      </w:r>
      <w:r w:rsidRPr="00471919">
        <w:rPr>
          <w:sz w:val="17"/>
        </w:rPr>
        <w:t>une base de données contenant des données provenant de plusieurs offices de propriété intellectuel</w:t>
      </w:r>
      <w:r w:rsidR="00471919" w:rsidRPr="00471919">
        <w:rPr>
          <w:sz w:val="17"/>
        </w:rPr>
        <w:t>le.  Le</w:t>
      </w:r>
      <w:r w:rsidRPr="00471919">
        <w:rPr>
          <w:sz w:val="17"/>
        </w:rPr>
        <w:t>s données de propriété intellectuelle échangées se limitent aux données fondées sur des informations déjà mises à la disposition du public par chaque office de propriété intellectuelle conformément à son cadre législatif applicable en matière de propriété intellectuelle, telles que les données publiées dans les bulletins de propriété intellectuelle.</w:t>
      </w:r>
    </w:p>
    <w:p w14:paraId="10135103" w14:textId="5331EF3E" w:rsidR="00416338" w:rsidRPr="00471919" w:rsidRDefault="00180E52"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Les données fournies ou échangées par les offices de propriété intellectuelle devraient inclure au moins les types de données suivants, téléchargés en format de masse, de préférence conformément aux formats des normes de l</w:t>
      </w:r>
      <w:r w:rsidR="00416338" w:rsidRPr="00471919">
        <w:rPr>
          <w:sz w:val="17"/>
        </w:rPr>
        <w:t>’</w:t>
      </w:r>
      <w:r w:rsidRPr="00471919">
        <w:rPr>
          <w:sz w:val="17"/>
        </w:rPr>
        <w:t>OMPI, notamment ST.96 ou ST.97</w:t>
      </w:r>
      <w:r w:rsidR="00416338" w:rsidRPr="00471919">
        <w:rPr>
          <w:sz w:val="17"/>
        </w:rPr>
        <w:t> :</w:t>
      </w:r>
    </w:p>
    <w:p w14:paraId="3355298E" w14:textId="07AA539D" w:rsidR="00180E52" w:rsidRPr="00471919" w:rsidRDefault="00180E52" w:rsidP="00C73200">
      <w:pPr>
        <w:pStyle w:val="ListParagraph"/>
        <w:numPr>
          <w:ilvl w:val="0"/>
          <w:numId w:val="8"/>
        </w:numPr>
        <w:tabs>
          <w:tab w:val="left" w:pos="1134"/>
        </w:tabs>
        <w:spacing w:before="0" w:after="170"/>
        <w:ind w:left="567" w:firstLine="0"/>
        <w:contextualSpacing w:val="0"/>
        <w:rPr>
          <w:rFonts w:eastAsia="Times New Roman" w:cs="Times New Roman"/>
          <w:kern w:val="0"/>
          <w:sz w:val="17"/>
          <w:szCs w:val="20"/>
          <w14:ligatures w14:val="none"/>
        </w:rPr>
      </w:pPr>
      <w:proofErr w:type="gramStart"/>
      <w:r w:rsidRPr="00471919">
        <w:rPr>
          <w:sz w:val="17"/>
        </w:rPr>
        <w:t>les</w:t>
      </w:r>
      <w:proofErr w:type="gramEnd"/>
      <w:r w:rsidRPr="00471919">
        <w:rPr>
          <w:sz w:val="17"/>
        </w:rPr>
        <w:t xml:space="preserve"> données bibliographiques, </w:t>
      </w:r>
      <w:r w:rsidR="00416338" w:rsidRPr="00471919">
        <w:rPr>
          <w:sz w:val="17"/>
        </w:rPr>
        <w:t>y compris</w:t>
      </w:r>
      <w:r w:rsidRPr="00471919">
        <w:rPr>
          <w:sz w:val="17"/>
        </w:rPr>
        <w:t xml:space="preserve"> les informations relatives au classement, de préférence au format XML ou JSON;</w:t>
      </w:r>
    </w:p>
    <w:p w14:paraId="6527F0D8" w14:textId="06CB4894" w:rsidR="00180E52" w:rsidRPr="00471919" w:rsidRDefault="00FC1749" w:rsidP="00C73200">
      <w:pPr>
        <w:pStyle w:val="ListParagraph"/>
        <w:numPr>
          <w:ilvl w:val="0"/>
          <w:numId w:val="8"/>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w:t>
      </w:r>
      <w:proofErr w:type="gramStart"/>
      <w:r w:rsidRPr="00471919">
        <w:rPr>
          <w:sz w:val="17"/>
        </w:rPr>
        <w:t>documents</w:t>
      </w:r>
      <w:proofErr w:type="gramEnd"/>
      <w:r w:rsidRPr="00471919">
        <w:rPr>
          <w:sz w:val="17"/>
        </w:rPr>
        <w:t xml:space="preserve"> de brevet] les données en texte intégral des publications, </w:t>
      </w:r>
      <w:r w:rsidR="00416338" w:rsidRPr="00471919">
        <w:rPr>
          <w:sz w:val="17"/>
        </w:rPr>
        <w:t>y compris</w:t>
      </w:r>
      <w:r w:rsidRPr="00471919">
        <w:rPr>
          <w:sz w:val="17"/>
        </w:rPr>
        <w:t xml:space="preserve"> les revendications et les spécifications, de préférence au format XML;</w:t>
      </w:r>
    </w:p>
    <w:p w14:paraId="1648DB58" w14:textId="5E663F5A" w:rsidR="00FC1749" w:rsidRPr="00471919" w:rsidRDefault="00FC1749" w:rsidP="00C73200">
      <w:pPr>
        <w:pStyle w:val="ListParagraph"/>
        <w:numPr>
          <w:ilvl w:val="0"/>
          <w:numId w:val="8"/>
        </w:numPr>
        <w:tabs>
          <w:tab w:val="left" w:pos="1134"/>
        </w:tabs>
        <w:spacing w:before="0" w:after="170"/>
        <w:ind w:left="567" w:firstLine="0"/>
        <w:contextualSpacing w:val="0"/>
        <w:rPr>
          <w:rFonts w:eastAsia="Times New Roman" w:cs="Times New Roman"/>
          <w:kern w:val="0"/>
          <w:sz w:val="17"/>
          <w:szCs w:val="20"/>
          <w14:ligatures w14:val="none"/>
        </w:rPr>
      </w:pPr>
      <w:r w:rsidRPr="00471919">
        <w:rPr>
          <w:sz w:val="17"/>
        </w:rPr>
        <w:t>[</w:t>
      </w:r>
      <w:proofErr w:type="gramStart"/>
      <w:r w:rsidRPr="00471919">
        <w:rPr>
          <w:sz w:val="17"/>
        </w:rPr>
        <w:t>documents</w:t>
      </w:r>
      <w:proofErr w:type="gramEnd"/>
      <w:r w:rsidRPr="00471919">
        <w:rPr>
          <w:sz w:val="17"/>
        </w:rPr>
        <w:t xml:space="preserve"> relatifs aux marques et aux dessins et modèles industriels] données en texte intégral des publications, de préférence au format XML;  et</w:t>
      </w:r>
    </w:p>
    <w:p w14:paraId="484F7A84" w14:textId="7168400D" w:rsidR="00180E52" w:rsidRPr="00471919" w:rsidRDefault="00180E52" w:rsidP="00C73200">
      <w:pPr>
        <w:pStyle w:val="ListParagraph"/>
        <w:numPr>
          <w:ilvl w:val="0"/>
          <w:numId w:val="8"/>
        </w:numPr>
        <w:tabs>
          <w:tab w:val="left" w:pos="1134"/>
        </w:tabs>
        <w:spacing w:before="0" w:after="170"/>
        <w:ind w:left="567" w:firstLine="0"/>
        <w:contextualSpacing w:val="0"/>
        <w:rPr>
          <w:rFonts w:eastAsia="Times New Roman" w:cs="Times New Roman"/>
          <w:kern w:val="0"/>
          <w:sz w:val="17"/>
          <w:szCs w:val="20"/>
          <w14:ligatures w14:val="none"/>
        </w:rPr>
      </w:pPr>
      <w:proofErr w:type="gramStart"/>
      <w:r w:rsidRPr="00471919">
        <w:rPr>
          <w:sz w:val="17"/>
        </w:rPr>
        <w:t>les</w:t>
      </w:r>
      <w:proofErr w:type="gramEnd"/>
      <w:r w:rsidRPr="00471919">
        <w:rPr>
          <w:sz w:val="17"/>
        </w:rPr>
        <w:t xml:space="preserve"> données d</w:t>
      </w:r>
      <w:r w:rsidR="00416338" w:rsidRPr="00471919">
        <w:rPr>
          <w:sz w:val="17"/>
        </w:rPr>
        <w:t>’</w:t>
      </w:r>
      <w:r w:rsidRPr="00471919">
        <w:rPr>
          <w:sz w:val="17"/>
        </w:rPr>
        <w:t>image des dessins.</w:t>
      </w:r>
    </w:p>
    <w:p w14:paraId="1D8B0CFF" w14:textId="3788F80B" w:rsidR="004A62D2" w:rsidRPr="00471919" w:rsidRDefault="004A62D2" w:rsidP="00C73200">
      <w:pPr>
        <w:keepLines/>
        <w:spacing w:before="0" w:after="170"/>
        <w:ind w:left="1701"/>
        <w:rPr>
          <w:rFonts w:cs="Arial"/>
          <w:kern w:val="0"/>
          <w:sz w:val="17"/>
          <w:szCs w:val="17"/>
          <w14:ligatures w14:val="none"/>
        </w:rPr>
      </w:pPr>
      <w:r w:rsidRPr="00471919">
        <w:rPr>
          <w:i/>
          <w:sz w:val="17"/>
        </w:rPr>
        <w:t>Note</w:t>
      </w:r>
      <w:r w:rsidR="00416338" w:rsidRPr="00471919">
        <w:rPr>
          <w:sz w:val="17"/>
        </w:rPr>
        <w:t> :</w:t>
      </w:r>
      <w:r w:rsidRPr="00471919">
        <w:rPr>
          <w:sz w:val="17"/>
        </w:rPr>
        <w:t xml:space="preserve"> si le </w:t>
      </w:r>
      <w:r w:rsidR="00416338" w:rsidRPr="00471919">
        <w:rPr>
          <w:sz w:val="17"/>
        </w:rPr>
        <w:t>point b)</w:t>
      </w:r>
      <w:r w:rsidRPr="00471919">
        <w:rPr>
          <w:sz w:val="17"/>
        </w:rPr>
        <w:t xml:space="preserve"> comprend le </w:t>
      </w:r>
      <w:r w:rsidR="00416338" w:rsidRPr="00471919">
        <w:rPr>
          <w:sz w:val="17"/>
        </w:rPr>
        <w:t>point a)</w:t>
      </w:r>
      <w:r w:rsidRPr="00471919">
        <w:rPr>
          <w:sz w:val="17"/>
        </w:rPr>
        <w:t xml:space="preserve">, le </w:t>
      </w:r>
      <w:r w:rsidR="00416338" w:rsidRPr="00471919">
        <w:rPr>
          <w:sz w:val="17"/>
        </w:rPr>
        <w:t>point a)</w:t>
      </w:r>
      <w:r w:rsidRPr="00471919">
        <w:rPr>
          <w:sz w:val="17"/>
        </w:rPr>
        <w:t xml:space="preserve"> n</w:t>
      </w:r>
      <w:r w:rsidR="00416338" w:rsidRPr="00471919">
        <w:rPr>
          <w:sz w:val="17"/>
        </w:rPr>
        <w:t>’</w:t>
      </w:r>
      <w:r w:rsidRPr="00471919">
        <w:rPr>
          <w:sz w:val="17"/>
        </w:rPr>
        <w:t>est pas requis.</w:t>
      </w:r>
    </w:p>
    <w:p w14:paraId="17C51E6B" w14:textId="7118E305" w:rsidR="00180E52" w:rsidRPr="00471919" w:rsidRDefault="00180E52" w:rsidP="00FB7E20">
      <w:pPr>
        <w:tabs>
          <w:tab w:val="left" w:pos="567"/>
        </w:tabs>
        <w:spacing w:before="0" w:after="170"/>
        <w:rPr>
          <w:rFonts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Il est en outre recommandé aux offices de propriété intellectuelle d</w:t>
      </w:r>
      <w:r w:rsidR="00416338" w:rsidRPr="00471919">
        <w:rPr>
          <w:sz w:val="17"/>
        </w:rPr>
        <w:t>’</w:t>
      </w:r>
      <w:r w:rsidRPr="00471919">
        <w:rPr>
          <w:sz w:val="17"/>
        </w:rPr>
        <w:t>inclure les types de données suivants</w:t>
      </w:r>
      <w:r w:rsidR="00416338" w:rsidRPr="00471919">
        <w:rPr>
          <w:sz w:val="17"/>
        </w:rPr>
        <w:t> :</w:t>
      </w:r>
    </w:p>
    <w:p w14:paraId="3FED62BF" w14:textId="105ED3D5" w:rsidR="00416338" w:rsidRPr="00471919" w:rsidRDefault="0061028B" w:rsidP="00C73200">
      <w:pPr>
        <w:pStyle w:val="ListParagraph"/>
        <w:numPr>
          <w:ilvl w:val="0"/>
          <w:numId w:val="9"/>
        </w:numPr>
        <w:tabs>
          <w:tab w:val="left" w:pos="1134"/>
        </w:tabs>
        <w:spacing w:before="0" w:after="170"/>
        <w:ind w:left="567" w:firstLine="0"/>
        <w:contextualSpacing w:val="0"/>
        <w:rPr>
          <w:sz w:val="17"/>
        </w:rPr>
      </w:pPr>
      <w:proofErr w:type="gramStart"/>
      <w:r w:rsidRPr="00471919">
        <w:rPr>
          <w:sz w:val="17"/>
        </w:rPr>
        <w:t>les</w:t>
      </w:r>
      <w:proofErr w:type="gramEnd"/>
      <w:r w:rsidRPr="00471919">
        <w:rPr>
          <w:sz w:val="17"/>
        </w:rPr>
        <w:t xml:space="preserve"> précisions concernant les citations faites au cours des procédures de recherche ou d</w:t>
      </w:r>
      <w:r w:rsidR="00416338" w:rsidRPr="00471919">
        <w:rPr>
          <w:sz w:val="17"/>
        </w:rPr>
        <w:t>’</w:t>
      </w:r>
      <w:r w:rsidRPr="00471919">
        <w:rPr>
          <w:sz w:val="17"/>
        </w:rPr>
        <w:t xml:space="preserve">examen; </w:t>
      </w:r>
      <w:r w:rsidR="0092219F" w:rsidRPr="00471919">
        <w:rPr>
          <w:sz w:val="17"/>
        </w:rPr>
        <w:t xml:space="preserve"> </w:t>
      </w:r>
      <w:r w:rsidRPr="00471919">
        <w:rPr>
          <w:sz w:val="17"/>
        </w:rPr>
        <w:t>et</w:t>
      </w:r>
    </w:p>
    <w:p w14:paraId="4D3D0C68" w14:textId="2599D4C4" w:rsidR="00180E52" w:rsidRPr="00471919" w:rsidRDefault="00180E52" w:rsidP="00C73200">
      <w:pPr>
        <w:pStyle w:val="ListParagraph"/>
        <w:numPr>
          <w:ilvl w:val="0"/>
          <w:numId w:val="9"/>
        </w:numPr>
        <w:tabs>
          <w:tab w:val="left" w:pos="1134"/>
        </w:tabs>
        <w:spacing w:before="0" w:after="170"/>
        <w:ind w:left="567" w:firstLine="0"/>
        <w:contextualSpacing w:val="0"/>
        <w:rPr>
          <w:rFonts w:eastAsia="Times New Roman" w:cs="Times New Roman"/>
          <w:kern w:val="0"/>
          <w:sz w:val="17"/>
          <w:szCs w:val="20"/>
          <w14:ligatures w14:val="none"/>
        </w:rPr>
      </w:pPr>
      <w:proofErr w:type="gramStart"/>
      <w:r w:rsidRPr="00471919">
        <w:rPr>
          <w:sz w:val="17"/>
        </w:rPr>
        <w:t>les</w:t>
      </w:r>
      <w:proofErr w:type="gramEnd"/>
      <w:r w:rsidRPr="00471919">
        <w:rPr>
          <w:sz w:val="17"/>
        </w:rPr>
        <w:t xml:space="preserve"> données relatives à la situation juridique d</w:t>
      </w:r>
      <w:r w:rsidR="00416338" w:rsidRPr="00471919">
        <w:rPr>
          <w:sz w:val="17"/>
        </w:rPr>
        <w:t>’</w:t>
      </w:r>
      <w:r w:rsidRPr="00471919">
        <w:rPr>
          <w:sz w:val="17"/>
        </w:rPr>
        <w:t>un droit de propriété intellectuelle donné.</w:t>
      </w:r>
    </w:p>
    <w:p w14:paraId="30FDF392" w14:textId="7F43B664" w:rsidR="00416338" w:rsidRPr="00471919" w:rsidRDefault="001D672F" w:rsidP="00853E1F">
      <w:pPr>
        <w:pStyle w:val="Heading2"/>
      </w:pPr>
      <w:bookmarkStart w:id="15" w:name="_Toc209011742"/>
      <w:r w:rsidRPr="00471919">
        <w:t>Moyens d</w:t>
      </w:r>
      <w:r w:rsidR="00416338" w:rsidRPr="00471919">
        <w:t>’</w:t>
      </w:r>
      <w:r w:rsidRPr="00471919">
        <w:t>échange de données de propriété intellectuelle</w:t>
      </w:r>
      <w:bookmarkEnd w:id="15"/>
    </w:p>
    <w:p w14:paraId="60E3AB59" w14:textId="08D15854" w:rsidR="001D672F" w:rsidRPr="00471919" w:rsidRDefault="001D672F" w:rsidP="00FB7E20">
      <w:pPr>
        <w:tabs>
          <w:tab w:val="left" w:pos="567"/>
        </w:tabs>
        <w:spacing w:before="0" w:after="170"/>
        <w:rPr>
          <w:rFonts w:cs="Times New Roman"/>
          <w:kern w:val="0"/>
          <w:sz w:val="17"/>
          <w:szCs w:val="20"/>
          <w14:ligatures w14:val="none"/>
        </w:rPr>
      </w:pPr>
      <w:r w:rsidRPr="00471919">
        <w:rPr>
          <w:rFonts w:eastAsia="Times New Roman" w:cs="Times New Roman"/>
          <w:sz w:val="17"/>
        </w:rPr>
        <w:fldChar w:fldCharType="begin"/>
      </w:r>
      <w:r w:rsidRPr="00471919">
        <w:rPr>
          <w:rFonts w:eastAsia="Times New Roman" w:cs="Times New Roman"/>
          <w:sz w:val="17"/>
        </w:rPr>
        <w:instrText xml:space="preserve"> AUTONUM  </w:instrText>
      </w:r>
      <w:r w:rsidRPr="00471919">
        <w:rPr>
          <w:rFonts w:eastAsia="Times New Roman" w:cs="Times New Roman"/>
          <w:sz w:val="17"/>
        </w:rPr>
        <w:fldChar w:fldCharType="end"/>
      </w:r>
      <w:r w:rsidRPr="00471919">
        <w:rPr>
          <w:sz w:val="17"/>
        </w:rPr>
        <w:tab/>
        <w:t>Les données de propriété intellectuelle peuvent être fournies sur divers supports électroniques, par exemple des disques durs (HDD) ou des disques optiques, mais elles sont de préférence fournies sans support, par exemple au moyen d</w:t>
      </w:r>
      <w:r w:rsidR="00416338" w:rsidRPr="00471919">
        <w:rPr>
          <w:sz w:val="17"/>
        </w:rPr>
        <w:t>’</w:t>
      </w:r>
      <w:r w:rsidRPr="00471919">
        <w:rPr>
          <w:sz w:val="17"/>
        </w:rPr>
        <w:t>interfaces de programmation (API) et du protocole de transfert de fichiers (FTP).  Ces moyens d</w:t>
      </w:r>
      <w:r w:rsidR="00416338" w:rsidRPr="00471919">
        <w:rPr>
          <w:sz w:val="17"/>
        </w:rPr>
        <w:t>’</w:t>
      </w:r>
      <w:r w:rsidRPr="00471919">
        <w:rPr>
          <w:sz w:val="17"/>
        </w:rPr>
        <w:t>échange sont gratuits et choisis parmi ceux disponibles au moment de la publication.</w:t>
      </w:r>
    </w:p>
    <w:p w14:paraId="0E034AFD" w14:textId="73EE25F4" w:rsidR="00E072A4" w:rsidRPr="00471919" w:rsidRDefault="00C73200" w:rsidP="00C73200">
      <w:pPr>
        <w:pStyle w:val="Heading2"/>
      </w:pPr>
      <w:bookmarkStart w:id="16" w:name="_Toc209011743"/>
      <w:r>
        <w:t>E</w:t>
      </w:r>
      <w:r w:rsidRPr="00471919">
        <w:t>xigences en matière de garantie et de qualité des données de propriété intellectuelle</w:t>
      </w:r>
      <w:bookmarkEnd w:id="16"/>
    </w:p>
    <w:p w14:paraId="2F607FFD" w14:textId="0A47075F" w:rsidR="00E072A4" w:rsidRPr="00471919" w:rsidRDefault="0006331E"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w:t>
      </w:r>
      <w:r w:rsidR="00416338" w:rsidRPr="00471919">
        <w:rPr>
          <w:sz w:val="17"/>
        </w:rPr>
        <w:t>’</w:t>
      </w:r>
      <w:r w:rsidRPr="00471919">
        <w:rPr>
          <w:sz w:val="17"/>
        </w:rPr>
        <w:t>office d</w:t>
      </w:r>
      <w:r w:rsidR="00416338" w:rsidRPr="00471919">
        <w:rPr>
          <w:sz w:val="17"/>
        </w:rPr>
        <w:t>’</w:t>
      </w:r>
      <w:r w:rsidRPr="00471919">
        <w:rPr>
          <w:sz w:val="17"/>
        </w:rPr>
        <w:t>origine sera la source faisant autorité</w:t>
      </w:r>
      <w:r w:rsidRPr="00471919">
        <w:t xml:space="preserve"> </w:t>
      </w:r>
      <w:bookmarkStart w:id="17" w:name="_Hlk207214756"/>
      <w:r w:rsidRPr="00471919">
        <w:rPr>
          <w:sz w:val="17"/>
        </w:rPr>
        <w:t>pour les données fournies directement aux offices récepteurs</w:t>
      </w:r>
      <w:bookmarkEnd w:id="17"/>
      <w:r w:rsidRPr="00471919">
        <w:t>.</w:t>
      </w:r>
    </w:p>
    <w:p w14:paraId="32B4F7BB" w14:textId="3BC0E0FC" w:rsidR="00E072A4" w:rsidRPr="00471919" w:rsidRDefault="0006331E"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Les tiers destinataires de données de propriété intellectuelle ne devraient en aucun cas tenir l</w:t>
      </w:r>
      <w:r w:rsidR="00416338" w:rsidRPr="00471919">
        <w:rPr>
          <w:sz w:val="17"/>
        </w:rPr>
        <w:t>’</w:t>
      </w:r>
      <w:r w:rsidRPr="00471919">
        <w:rPr>
          <w:sz w:val="17"/>
        </w:rPr>
        <w:t>office d</w:t>
      </w:r>
      <w:r w:rsidR="00416338" w:rsidRPr="00471919">
        <w:rPr>
          <w:sz w:val="17"/>
        </w:rPr>
        <w:t>’</w:t>
      </w:r>
      <w:r w:rsidRPr="00471919">
        <w:rPr>
          <w:sz w:val="17"/>
        </w:rPr>
        <w:t>origine responsable, notamment en cas d</w:t>
      </w:r>
      <w:r w:rsidR="00416338" w:rsidRPr="00471919">
        <w:rPr>
          <w:sz w:val="17"/>
        </w:rPr>
        <w:t>’</w:t>
      </w:r>
      <w:r w:rsidRPr="00471919">
        <w:rPr>
          <w:sz w:val="17"/>
        </w:rPr>
        <w:t>erreur dans les données fournies, par exemple quant à l</w:t>
      </w:r>
      <w:r w:rsidR="00416338" w:rsidRPr="00471919">
        <w:rPr>
          <w:sz w:val="17"/>
        </w:rPr>
        <w:t>’</w:t>
      </w:r>
      <w:r w:rsidRPr="00471919">
        <w:rPr>
          <w:sz w:val="17"/>
        </w:rPr>
        <w:t>exhaustivité, la précision ou l</w:t>
      </w:r>
      <w:r w:rsidR="00416338" w:rsidRPr="00471919">
        <w:rPr>
          <w:sz w:val="17"/>
        </w:rPr>
        <w:t>’</w:t>
      </w:r>
      <w:r w:rsidRPr="00471919">
        <w:rPr>
          <w:sz w:val="17"/>
        </w:rPr>
        <w:t>exactitude des données mises à disposition ou fournies.  Le tiers destinataire renonce à tout droit de réclamation à l</w:t>
      </w:r>
      <w:r w:rsidR="00416338" w:rsidRPr="00471919">
        <w:rPr>
          <w:sz w:val="17"/>
        </w:rPr>
        <w:t>’</w:t>
      </w:r>
      <w:r w:rsidRPr="00471919">
        <w:rPr>
          <w:sz w:val="17"/>
        </w:rPr>
        <w:t>encontre de l</w:t>
      </w:r>
      <w:r w:rsidR="00416338" w:rsidRPr="00471919">
        <w:rPr>
          <w:sz w:val="17"/>
        </w:rPr>
        <w:t>’</w:t>
      </w:r>
      <w:r w:rsidRPr="00471919">
        <w:rPr>
          <w:sz w:val="17"/>
        </w:rPr>
        <w:t>office d</w:t>
      </w:r>
      <w:r w:rsidR="00416338" w:rsidRPr="00471919">
        <w:rPr>
          <w:sz w:val="17"/>
        </w:rPr>
        <w:t>’</w:t>
      </w:r>
      <w:r w:rsidRPr="00471919">
        <w:rPr>
          <w:sz w:val="17"/>
        </w:rPr>
        <w:t>origine.</w:t>
      </w:r>
    </w:p>
    <w:p w14:paraId="12BAAEE9" w14:textId="269A3376" w:rsidR="00E072A4" w:rsidRPr="00471919" w:rsidRDefault="0006331E"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Les réclamations formulées par des tiers devraient être traitées exclusivement par l</w:t>
      </w:r>
      <w:r w:rsidR="00416338" w:rsidRPr="00471919">
        <w:rPr>
          <w:sz w:val="17"/>
        </w:rPr>
        <w:t>’</w:t>
      </w:r>
      <w:r w:rsidRPr="00471919">
        <w:rPr>
          <w:sz w:val="17"/>
        </w:rPr>
        <w:t>office de propriété intellectuelle qui fournit directement les données à des fins d</w:t>
      </w:r>
      <w:r w:rsidR="00416338" w:rsidRPr="00471919">
        <w:rPr>
          <w:sz w:val="17"/>
        </w:rPr>
        <w:t>’</w:t>
      </w:r>
      <w:r w:rsidRPr="00471919">
        <w:rPr>
          <w:sz w:val="17"/>
        </w:rPr>
        <w:t>utilisation interne ou exter</w:t>
      </w:r>
      <w:r w:rsidR="00471919" w:rsidRPr="00471919">
        <w:rPr>
          <w:sz w:val="17"/>
        </w:rPr>
        <w:t>ne.  L’o</w:t>
      </w:r>
      <w:r w:rsidRPr="00471919">
        <w:rPr>
          <w:sz w:val="17"/>
        </w:rPr>
        <w:t>ffice d</w:t>
      </w:r>
      <w:r w:rsidR="00416338" w:rsidRPr="00471919">
        <w:rPr>
          <w:sz w:val="17"/>
        </w:rPr>
        <w:t>’</w:t>
      </w:r>
      <w:r w:rsidRPr="00471919">
        <w:rPr>
          <w:sz w:val="17"/>
        </w:rPr>
        <w:t>origine n</w:t>
      </w:r>
      <w:r w:rsidR="00416338" w:rsidRPr="00471919">
        <w:rPr>
          <w:sz w:val="17"/>
        </w:rPr>
        <w:t>’</w:t>
      </w:r>
      <w:r w:rsidRPr="00471919">
        <w:rPr>
          <w:sz w:val="17"/>
        </w:rPr>
        <w:t>est pas responsable des données fournies par l</w:t>
      </w:r>
      <w:r w:rsidR="00416338" w:rsidRPr="00471919">
        <w:rPr>
          <w:sz w:val="17"/>
        </w:rPr>
        <w:t>’</w:t>
      </w:r>
      <w:r w:rsidRPr="00471919">
        <w:rPr>
          <w:sz w:val="17"/>
        </w:rPr>
        <w:t>office récepteur à un tiers.</w:t>
      </w:r>
    </w:p>
    <w:p w14:paraId="1ED4EA27" w14:textId="7183F3B8" w:rsidR="00E072A4" w:rsidRPr="00471919" w:rsidRDefault="0006331E"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Toute question, tout problème ou toute demande d</w:t>
      </w:r>
      <w:r w:rsidR="00416338" w:rsidRPr="00471919">
        <w:rPr>
          <w:sz w:val="17"/>
        </w:rPr>
        <w:t>’</w:t>
      </w:r>
      <w:r w:rsidRPr="00471919">
        <w:rPr>
          <w:sz w:val="17"/>
        </w:rPr>
        <w:t>assistance, ainsi que les coûts connexes, découlant des données fournies au tiers devraient être traités directement par l</w:t>
      </w:r>
      <w:r w:rsidR="00416338" w:rsidRPr="00471919">
        <w:rPr>
          <w:sz w:val="17"/>
        </w:rPr>
        <w:t>’</w:t>
      </w:r>
      <w:r w:rsidRPr="00471919">
        <w:rPr>
          <w:sz w:val="17"/>
        </w:rPr>
        <w:t>office fournisseur et non par l</w:t>
      </w:r>
      <w:r w:rsidR="00416338" w:rsidRPr="00471919">
        <w:rPr>
          <w:sz w:val="17"/>
        </w:rPr>
        <w:t>’</w:t>
      </w:r>
      <w:r w:rsidRPr="00471919">
        <w:rPr>
          <w:sz w:val="17"/>
        </w:rPr>
        <w:t>office d</w:t>
      </w:r>
      <w:r w:rsidR="00416338" w:rsidRPr="00471919">
        <w:rPr>
          <w:sz w:val="17"/>
        </w:rPr>
        <w:t>’</w:t>
      </w:r>
      <w:r w:rsidRPr="00471919">
        <w:rPr>
          <w:sz w:val="17"/>
        </w:rPr>
        <w:t>origine.  Tout office de propriété intellectuelle qui traite de telles questions ou de tels problèmes soulevés par des tiers peut en informer l</w:t>
      </w:r>
      <w:r w:rsidR="00416338" w:rsidRPr="00471919">
        <w:rPr>
          <w:sz w:val="17"/>
        </w:rPr>
        <w:t>’</w:t>
      </w:r>
      <w:r w:rsidRPr="00471919">
        <w:rPr>
          <w:sz w:val="17"/>
        </w:rPr>
        <w:t>office d</w:t>
      </w:r>
      <w:r w:rsidR="00416338" w:rsidRPr="00471919">
        <w:rPr>
          <w:sz w:val="17"/>
        </w:rPr>
        <w:t>’</w:t>
      </w:r>
      <w:r w:rsidRPr="00471919">
        <w:rPr>
          <w:sz w:val="17"/>
        </w:rPr>
        <w:t>origine, le cas échéant.</w:t>
      </w:r>
    </w:p>
    <w:p w14:paraId="5FB65F0D" w14:textId="6E29C151" w:rsidR="0012344B" w:rsidRPr="00471919" w:rsidRDefault="0006331E"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w:t>
      </w:r>
      <w:r w:rsidR="00416338" w:rsidRPr="00471919">
        <w:rPr>
          <w:sz w:val="17"/>
        </w:rPr>
        <w:t>’</w:t>
      </w:r>
      <w:r w:rsidRPr="00471919">
        <w:rPr>
          <w:sz w:val="17"/>
        </w:rPr>
        <w:t>office récepteur devrait mettre en place des processus de correction des erreurs dans les données afin de signaler les erreurs détectées à l</w:t>
      </w:r>
      <w:r w:rsidR="00416338" w:rsidRPr="00471919">
        <w:rPr>
          <w:sz w:val="17"/>
        </w:rPr>
        <w:t>’</w:t>
      </w:r>
      <w:r w:rsidRPr="00471919">
        <w:rPr>
          <w:sz w:val="17"/>
        </w:rPr>
        <w:t>office d</w:t>
      </w:r>
      <w:r w:rsidR="00416338" w:rsidRPr="00471919">
        <w:rPr>
          <w:sz w:val="17"/>
        </w:rPr>
        <w:t>’</w:t>
      </w:r>
      <w:r w:rsidRPr="00471919">
        <w:rPr>
          <w:sz w:val="17"/>
        </w:rPr>
        <w:t>origine ou à d</w:t>
      </w:r>
      <w:r w:rsidR="00416338" w:rsidRPr="00471919">
        <w:rPr>
          <w:sz w:val="17"/>
        </w:rPr>
        <w:t>’</w:t>
      </w:r>
      <w:r w:rsidRPr="00471919">
        <w:rPr>
          <w:sz w:val="17"/>
        </w:rPr>
        <w:t>autres offices de propriété intellectuelle, le cas échéant.  L</w:t>
      </w:r>
      <w:r w:rsidR="00416338" w:rsidRPr="00471919">
        <w:rPr>
          <w:sz w:val="17"/>
        </w:rPr>
        <w:t>’</w:t>
      </w:r>
      <w:r w:rsidRPr="00471919">
        <w:rPr>
          <w:sz w:val="17"/>
        </w:rPr>
        <w:t>office d</w:t>
      </w:r>
      <w:r w:rsidR="00416338" w:rsidRPr="00471919">
        <w:rPr>
          <w:sz w:val="17"/>
        </w:rPr>
        <w:t>’</w:t>
      </w:r>
      <w:r w:rsidRPr="00471919">
        <w:rPr>
          <w:sz w:val="17"/>
        </w:rPr>
        <w:t>origine devrait alors corriger ces erreurs à la sour</w:t>
      </w:r>
      <w:r w:rsidR="00471919" w:rsidRPr="00471919">
        <w:rPr>
          <w:sz w:val="17"/>
        </w:rPr>
        <w:t>ce.  Af</w:t>
      </w:r>
      <w:r w:rsidRPr="00471919">
        <w:rPr>
          <w:sz w:val="17"/>
        </w:rPr>
        <w:t>in de réduire au minimum les erreurs dans les données de propriété intellectuelle, l</w:t>
      </w:r>
      <w:r w:rsidR="00416338" w:rsidRPr="00471919">
        <w:rPr>
          <w:sz w:val="17"/>
        </w:rPr>
        <w:t>’</w:t>
      </w:r>
      <w:r w:rsidRPr="00471919">
        <w:rPr>
          <w:sz w:val="17"/>
        </w:rPr>
        <w:t>office d</w:t>
      </w:r>
      <w:r w:rsidR="00416338" w:rsidRPr="00471919">
        <w:rPr>
          <w:sz w:val="17"/>
        </w:rPr>
        <w:t>’</w:t>
      </w:r>
      <w:r w:rsidRPr="00471919">
        <w:rPr>
          <w:sz w:val="17"/>
        </w:rPr>
        <w:t>origine peut vérifier certains éléments à l</w:t>
      </w:r>
      <w:r w:rsidR="00416338" w:rsidRPr="00471919">
        <w:rPr>
          <w:sz w:val="17"/>
        </w:rPr>
        <w:t>’</w:t>
      </w:r>
      <w:r w:rsidRPr="00471919">
        <w:rPr>
          <w:sz w:val="17"/>
        </w:rPr>
        <w:t>aide d</w:t>
      </w:r>
      <w:r w:rsidR="00416338" w:rsidRPr="00471919">
        <w:rPr>
          <w:sz w:val="17"/>
        </w:rPr>
        <w:t>’</w:t>
      </w:r>
      <w:r w:rsidRPr="00471919">
        <w:rPr>
          <w:sz w:val="17"/>
        </w:rPr>
        <w:t>une liste de contrôle standard (voir l</w:t>
      </w:r>
      <w:r w:rsidR="00416338" w:rsidRPr="00471919">
        <w:rPr>
          <w:sz w:val="17"/>
        </w:rPr>
        <w:t>’annexe I</w:t>
      </w:r>
      <w:r w:rsidRPr="00471919">
        <w:rPr>
          <w:sz w:val="17"/>
        </w:rPr>
        <w:t>) avant de fournir les données de propriété intellectuelle.</w:t>
      </w:r>
    </w:p>
    <w:p w14:paraId="1988B3A3" w14:textId="52EA3AC8" w:rsidR="0012344B" w:rsidRPr="00471919" w:rsidRDefault="0006331E" w:rsidP="00FB7E20">
      <w:pPr>
        <w:tabs>
          <w:tab w:val="left" w:pos="567"/>
        </w:tabs>
        <w:spacing w:before="0" w:after="170"/>
        <w:rPr>
          <w:rFonts w:eastAsia="SimSun" w:cs="Arial"/>
          <w:kern w:val="0"/>
          <w:sz w:val="17"/>
          <w:szCs w:val="17"/>
          <w14:ligatures w14:val="none"/>
        </w:rPr>
      </w:pPr>
      <w:r w:rsidRPr="00471919">
        <w:rPr>
          <w:rFonts w:eastAsia="SimSun" w:cs="Arial"/>
          <w:sz w:val="17"/>
        </w:rPr>
        <w:fldChar w:fldCharType="begin"/>
      </w:r>
      <w:r w:rsidRPr="00471919">
        <w:rPr>
          <w:rFonts w:eastAsia="SimSun" w:cs="Arial"/>
          <w:sz w:val="17"/>
        </w:rPr>
        <w:instrText xml:space="preserve"> AUTONUM  </w:instrText>
      </w:r>
      <w:r w:rsidRPr="00471919">
        <w:rPr>
          <w:rFonts w:eastAsia="SimSun" w:cs="Arial"/>
          <w:sz w:val="17"/>
        </w:rPr>
        <w:fldChar w:fldCharType="end"/>
      </w:r>
      <w:r w:rsidRPr="00471919">
        <w:rPr>
          <w:sz w:val="17"/>
        </w:rPr>
        <w:tab/>
        <w:t>Les données de publication qui doivent être fournies ou échangées par les offices de propriété intellectuelle devraient être actualisées aussi souvent que possible afin de garantir qu</w:t>
      </w:r>
      <w:r w:rsidR="00416338" w:rsidRPr="00471919">
        <w:rPr>
          <w:sz w:val="17"/>
        </w:rPr>
        <w:t>’</w:t>
      </w:r>
      <w:r w:rsidRPr="00471919">
        <w:rPr>
          <w:sz w:val="17"/>
        </w:rPr>
        <w:t>elles sont à jour.  La fréquence des mises à jour des données devrait être d</w:t>
      </w:r>
      <w:r w:rsidR="00416338" w:rsidRPr="00471919">
        <w:rPr>
          <w:sz w:val="17"/>
        </w:rPr>
        <w:t>’</w:t>
      </w:r>
      <w:r w:rsidRPr="00471919">
        <w:rPr>
          <w:sz w:val="17"/>
        </w:rPr>
        <w:t>au moins une fois par mois et, dans l</w:t>
      </w:r>
      <w:r w:rsidR="00416338" w:rsidRPr="00471919">
        <w:rPr>
          <w:sz w:val="17"/>
        </w:rPr>
        <w:t>’</w:t>
      </w:r>
      <w:r w:rsidRPr="00471919">
        <w:rPr>
          <w:sz w:val="17"/>
        </w:rPr>
        <w:t>idéal, correspondre à la fréquence de publication de l</w:t>
      </w:r>
      <w:r w:rsidR="00416338" w:rsidRPr="00471919">
        <w:rPr>
          <w:sz w:val="17"/>
        </w:rPr>
        <w:t>’</w:t>
      </w:r>
      <w:r w:rsidRPr="00471919">
        <w:rPr>
          <w:sz w:val="17"/>
        </w:rPr>
        <w:t>office d</w:t>
      </w:r>
      <w:r w:rsidR="00416338" w:rsidRPr="00471919">
        <w:rPr>
          <w:sz w:val="17"/>
        </w:rPr>
        <w:t>’</w:t>
      </w:r>
      <w:r w:rsidRPr="00471919">
        <w:rPr>
          <w:sz w:val="17"/>
        </w:rPr>
        <w:t>origine.</w:t>
      </w:r>
    </w:p>
    <w:p w14:paraId="75C8D6ED" w14:textId="2864BDD7" w:rsidR="00DA4DE5" w:rsidRPr="00471919" w:rsidRDefault="00C73200" w:rsidP="00C73200">
      <w:pPr>
        <w:pStyle w:val="Heading2"/>
        <w:rPr>
          <w:bCs/>
          <w:i/>
        </w:rPr>
      </w:pPr>
      <w:bookmarkStart w:id="18" w:name="_Toc209011744"/>
      <w:r w:rsidRPr="00471919">
        <w:t>Références</w:t>
      </w:r>
      <w:bookmarkStart w:id="19" w:name="_Toc163221157"/>
      <w:bookmarkEnd w:id="18"/>
    </w:p>
    <w:p w14:paraId="7F80FC16" w14:textId="2A4AF37D" w:rsidR="003116B9" w:rsidRPr="00471919" w:rsidRDefault="0006331E" w:rsidP="00C73200">
      <w:pPr>
        <w:tabs>
          <w:tab w:val="left" w:pos="567"/>
        </w:tabs>
        <w:spacing w:before="0" w:after="220"/>
        <w:rPr>
          <w:rFonts w:eastAsia="Times New Roman" w:cs="Times New Roman"/>
          <w:kern w:val="0"/>
          <w:sz w:val="17"/>
          <w:szCs w:val="20"/>
          <w14:ligatures w14:val="none"/>
        </w:rPr>
      </w:pPr>
      <w:r w:rsidRPr="00471919">
        <w:rPr>
          <w:rFonts w:eastAsia="Times New Roman" w:cs="Times New Roman"/>
          <w:sz w:val="17"/>
        </w:rPr>
        <w:fldChar w:fldCharType="begin"/>
      </w:r>
      <w:r w:rsidRPr="00471919">
        <w:rPr>
          <w:rFonts w:eastAsia="Times New Roman" w:cs="Times New Roman"/>
          <w:sz w:val="17"/>
        </w:rPr>
        <w:instrText xml:space="preserve"> AUTONUM  </w:instrText>
      </w:r>
      <w:r w:rsidRPr="00471919">
        <w:rPr>
          <w:rFonts w:eastAsia="Times New Roman" w:cs="Times New Roman"/>
          <w:sz w:val="17"/>
        </w:rPr>
        <w:fldChar w:fldCharType="end"/>
      </w:r>
      <w:r w:rsidR="00FB7E20">
        <w:rPr>
          <w:rFonts w:eastAsia="Times New Roman" w:cs="Times New Roman"/>
          <w:sz w:val="17"/>
        </w:rPr>
        <w:tab/>
      </w:r>
      <w:r w:rsidRPr="00471919">
        <w:rPr>
          <w:sz w:val="17"/>
        </w:rPr>
        <w:t>Les renvois aux normes et ressources suivantes sont pertinents dans le cadre de la présente norme</w:t>
      </w:r>
      <w:r w:rsidR="00416338" w:rsidRPr="00471919">
        <w:rPr>
          <w:sz w:val="17"/>
        </w:rPr>
        <w:t> :</w:t>
      </w:r>
    </w:p>
    <w:tbl>
      <w:tblPr>
        <w:tblW w:w="9072" w:type="dxa"/>
        <w:tblInd w:w="567" w:type="dxa"/>
        <w:tblCellMar>
          <w:left w:w="0" w:type="dxa"/>
          <w:right w:w="0" w:type="dxa"/>
        </w:tblCellMar>
        <w:tblLook w:val="04A0" w:firstRow="1" w:lastRow="0" w:firstColumn="1" w:lastColumn="0" w:noHBand="0" w:noVBand="1"/>
      </w:tblPr>
      <w:tblGrid>
        <w:gridCol w:w="1985"/>
        <w:gridCol w:w="7087"/>
      </w:tblGrid>
      <w:tr w:rsidR="009F1B0F" w:rsidRPr="00471919" w14:paraId="5810DFAF" w14:textId="77777777" w:rsidTr="00C73200">
        <w:trPr>
          <w:trHeight w:val="20"/>
        </w:trPr>
        <w:tc>
          <w:tcPr>
            <w:tcW w:w="1985" w:type="dxa"/>
            <w:tcBorders>
              <w:top w:val="nil"/>
              <w:left w:val="nil"/>
              <w:bottom w:val="nil"/>
              <w:right w:val="nil"/>
            </w:tcBorders>
          </w:tcPr>
          <w:p w14:paraId="18C235FC" w14:textId="1E8E59F9"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13" w:history="1">
              <w:r w:rsidRPr="00471919">
                <w:rPr>
                  <w:rStyle w:val="Hyperlink"/>
                  <w:rFonts w:asciiTheme="minorBidi" w:hAnsiTheme="minorBidi"/>
                  <w:sz w:val="17"/>
                </w:rPr>
                <w:t>ST.3</w:t>
              </w:r>
            </w:hyperlink>
            <w:r w:rsidRPr="00C73200">
              <w:rPr>
                <w:sz w:val="17"/>
                <w:szCs w:val="17"/>
              </w:rPr>
              <w:t xml:space="preserve"> </w:t>
            </w:r>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6D9DC163" w14:textId="7EDDFC52"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Codes à deux</w:t>
            </w:r>
            <w:r w:rsidR="0092219F" w:rsidRPr="00471919">
              <w:rPr>
                <w:rFonts w:asciiTheme="minorBidi" w:hAnsiTheme="minorBidi"/>
                <w:sz w:val="17"/>
              </w:rPr>
              <w:t> </w:t>
            </w:r>
            <w:r w:rsidRPr="00471919">
              <w:rPr>
                <w:rFonts w:asciiTheme="minorBidi" w:hAnsiTheme="minorBidi"/>
                <w:sz w:val="17"/>
              </w:rPr>
              <w:t>lettres pour la représentation des États, autres entités et organisations intergouvernementales;</w:t>
            </w:r>
          </w:p>
        </w:tc>
      </w:tr>
      <w:tr w:rsidR="009F1B0F" w:rsidRPr="00471919" w14:paraId="51B1889C" w14:textId="77777777" w:rsidTr="00C73200">
        <w:trPr>
          <w:trHeight w:val="20"/>
        </w:trPr>
        <w:tc>
          <w:tcPr>
            <w:tcW w:w="1985" w:type="dxa"/>
            <w:tcBorders>
              <w:top w:val="nil"/>
              <w:left w:val="nil"/>
              <w:bottom w:val="nil"/>
              <w:right w:val="nil"/>
            </w:tcBorders>
          </w:tcPr>
          <w:p w14:paraId="1A622BFF" w14:textId="65189C90"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14" w:history="1">
              <w:r w:rsidRPr="00471919">
                <w:rPr>
                  <w:rStyle w:val="Hyperlink"/>
                  <w:rFonts w:asciiTheme="minorBidi" w:hAnsiTheme="minorBidi"/>
                  <w:sz w:val="17"/>
                </w:rPr>
                <w:t>ST.9</w:t>
              </w:r>
            </w:hyperlink>
            <w:r w:rsidRPr="00C73200">
              <w:rPr>
                <w:sz w:val="17"/>
                <w:szCs w:val="17"/>
              </w:rPr>
              <w:t xml:space="preserve"> </w:t>
            </w:r>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433E8CEF" w14:textId="63B58CDB"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Données bibliographiques qui figurent sur les brevets ou qui se rapportent aux brevets ou</w:t>
            </w:r>
            <w:r w:rsidR="00416338" w:rsidRPr="00471919">
              <w:rPr>
                <w:rFonts w:asciiTheme="minorBidi" w:hAnsiTheme="minorBidi"/>
                <w:sz w:val="17"/>
              </w:rPr>
              <w:t xml:space="preserve"> aux CCP</w:t>
            </w:r>
            <w:r w:rsidRPr="00471919">
              <w:rPr>
                <w:rFonts w:asciiTheme="minorBidi" w:hAnsiTheme="minorBidi"/>
                <w:sz w:val="17"/>
              </w:rPr>
              <w:t xml:space="preserve">; </w:t>
            </w:r>
            <w:r w:rsidR="0092219F" w:rsidRPr="00471919">
              <w:rPr>
                <w:rFonts w:asciiTheme="minorBidi" w:hAnsiTheme="minorBidi"/>
                <w:sz w:val="17"/>
              </w:rPr>
              <w:t xml:space="preserve"> </w:t>
            </w:r>
          </w:p>
        </w:tc>
      </w:tr>
      <w:tr w:rsidR="009F1B0F" w:rsidRPr="00471919" w14:paraId="6BB7D231" w14:textId="77777777" w:rsidTr="00C73200">
        <w:trPr>
          <w:trHeight w:val="20"/>
        </w:trPr>
        <w:tc>
          <w:tcPr>
            <w:tcW w:w="1985" w:type="dxa"/>
            <w:tcBorders>
              <w:top w:val="nil"/>
              <w:left w:val="nil"/>
              <w:bottom w:val="nil"/>
              <w:right w:val="nil"/>
            </w:tcBorders>
          </w:tcPr>
          <w:p w14:paraId="22D2B612" w14:textId="0677AD07"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15" w:history="1">
              <w:r w:rsidRPr="00471919">
                <w:rPr>
                  <w:rStyle w:val="Hyperlink"/>
                  <w:rFonts w:asciiTheme="minorBidi" w:hAnsiTheme="minorBidi"/>
                  <w:sz w:val="17"/>
                </w:rPr>
                <w:t>ST.16</w:t>
              </w:r>
            </w:hyperlink>
            <w:r w:rsidRPr="00C73200">
              <w:rPr>
                <w:sz w:val="17"/>
                <w:szCs w:val="17"/>
              </w:rPr>
              <w:t xml:space="preserve"> </w:t>
            </w:r>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089F8B83" w14:textId="46E9A897"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 xml:space="preserve">Identification de différents types de documents de brevet; </w:t>
            </w:r>
            <w:r w:rsidR="0092219F" w:rsidRPr="00471919">
              <w:rPr>
                <w:rFonts w:asciiTheme="minorBidi" w:hAnsiTheme="minorBidi"/>
                <w:sz w:val="17"/>
              </w:rPr>
              <w:t xml:space="preserve"> </w:t>
            </w:r>
          </w:p>
        </w:tc>
      </w:tr>
      <w:tr w:rsidR="009F1B0F" w:rsidRPr="00471919" w14:paraId="5203B2BC" w14:textId="77777777" w:rsidTr="00C73200">
        <w:trPr>
          <w:trHeight w:val="20"/>
        </w:trPr>
        <w:tc>
          <w:tcPr>
            <w:tcW w:w="1985" w:type="dxa"/>
            <w:tcBorders>
              <w:top w:val="nil"/>
              <w:left w:val="nil"/>
              <w:bottom w:val="nil"/>
              <w:right w:val="nil"/>
            </w:tcBorders>
          </w:tcPr>
          <w:p w14:paraId="06078516" w14:textId="7BD19FC3"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16" w:history="1">
              <w:r w:rsidRPr="00471919">
                <w:rPr>
                  <w:rStyle w:val="Hyperlink"/>
                  <w:rFonts w:asciiTheme="minorBidi" w:hAnsiTheme="minorBidi"/>
                  <w:sz w:val="17"/>
                </w:rPr>
                <w:t xml:space="preserve">ST.26 </w:t>
              </w:r>
            </w:hyperlink>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69894407" w14:textId="0CF58C70"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Présentation des listages des séquences de nucléotides et d</w:t>
            </w:r>
            <w:r w:rsidR="00416338" w:rsidRPr="00471919">
              <w:rPr>
                <w:rFonts w:asciiTheme="minorBidi" w:hAnsiTheme="minorBidi"/>
                <w:sz w:val="17"/>
              </w:rPr>
              <w:t>’</w:t>
            </w:r>
            <w:r w:rsidRPr="00471919">
              <w:rPr>
                <w:rFonts w:asciiTheme="minorBidi" w:hAnsiTheme="minorBidi"/>
                <w:sz w:val="17"/>
              </w:rPr>
              <w:t xml:space="preserve">acides aminés en langage XML; </w:t>
            </w:r>
            <w:r w:rsidR="0092219F" w:rsidRPr="00471919">
              <w:rPr>
                <w:rFonts w:asciiTheme="minorBidi" w:hAnsiTheme="minorBidi"/>
                <w:sz w:val="17"/>
              </w:rPr>
              <w:t xml:space="preserve"> </w:t>
            </w:r>
          </w:p>
        </w:tc>
      </w:tr>
      <w:tr w:rsidR="009F1B0F" w:rsidRPr="00471919" w14:paraId="4783A190" w14:textId="77777777" w:rsidTr="00C73200">
        <w:trPr>
          <w:trHeight w:val="20"/>
        </w:trPr>
        <w:tc>
          <w:tcPr>
            <w:tcW w:w="1985" w:type="dxa"/>
            <w:tcBorders>
              <w:top w:val="nil"/>
              <w:left w:val="nil"/>
              <w:bottom w:val="nil"/>
              <w:right w:val="nil"/>
            </w:tcBorders>
          </w:tcPr>
          <w:p w14:paraId="72ECA93D" w14:textId="55646B51"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17" w:history="1">
              <w:r w:rsidRPr="00471919">
                <w:rPr>
                  <w:rStyle w:val="Hyperlink"/>
                  <w:rFonts w:asciiTheme="minorBidi" w:hAnsiTheme="minorBidi"/>
                  <w:sz w:val="17"/>
                </w:rPr>
                <w:t>ST.27</w:t>
              </w:r>
            </w:hyperlink>
            <w:r w:rsidRPr="00C73200">
              <w:rPr>
                <w:sz w:val="17"/>
                <w:szCs w:val="17"/>
              </w:rPr>
              <w:t xml:space="preserve"> </w:t>
            </w:r>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7C258C48" w14:textId="43196786"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 xml:space="preserve">Échange de données sur la situation juridique des brevets; </w:t>
            </w:r>
            <w:r w:rsidR="0092219F" w:rsidRPr="00471919">
              <w:rPr>
                <w:rFonts w:asciiTheme="minorBidi" w:hAnsiTheme="minorBidi"/>
                <w:sz w:val="17"/>
              </w:rPr>
              <w:t xml:space="preserve"> </w:t>
            </w:r>
          </w:p>
        </w:tc>
      </w:tr>
      <w:tr w:rsidR="009F1B0F" w:rsidRPr="00471919" w14:paraId="1EBDB850" w14:textId="77777777" w:rsidTr="00C73200">
        <w:trPr>
          <w:trHeight w:val="20"/>
        </w:trPr>
        <w:tc>
          <w:tcPr>
            <w:tcW w:w="1985" w:type="dxa"/>
            <w:tcBorders>
              <w:top w:val="nil"/>
              <w:left w:val="nil"/>
              <w:bottom w:val="nil"/>
              <w:right w:val="nil"/>
            </w:tcBorders>
          </w:tcPr>
          <w:p w14:paraId="1FD9F173" w14:textId="2CCC4BA9"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18" w:history="1">
              <w:r w:rsidRPr="00471919">
                <w:rPr>
                  <w:rStyle w:val="Hyperlink"/>
                  <w:rFonts w:asciiTheme="minorBidi" w:hAnsiTheme="minorBidi"/>
                  <w:sz w:val="17"/>
                </w:rPr>
                <w:t xml:space="preserve">ST.36 </w:t>
              </w:r>
            </w:hyperlink>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07107DFB" w14:textId="40A55A6B"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Utilisation</w:t>
            </w:r>
            <w:r w:rsidR="00416338" w:rsidRPr="00471919">
              <w:rPr>
                <w:rFonts w:asciiTheme="minorBidi" w:hAnsiTheme="minorBidi"/>
                <w:sz w:val="17"/>
              </w:rPr>
              <w:t xml:space="preserve"> du XML</w:t>
            </w:r>
            <w:r w:rsidRPr="00471919">
              <w:rPr>
                <w:rFonts w:asciiTheme="minorBidi" w:hAnsiTheme="minorBidi"/>
                <w:sz w:val="17"/>
              </w:rPr>
              <w:t xml:space="preserve"> dans le traitement de l</w:t>
            </w:r>
            <w:r w:rsidR="00416338" w:rsidRPr="00471919">
              <w:rPr>
                <w:rFonts w:asciiTheme="minorBidi" w:hAnsiTheme="minorBidi"/>
                <w:sz w:val="17"/>
              </w:rPr>
              <w:t>’</w:t>
            </w:r>
            <w:r w:rsidRPr="00471919">
              <w:rPr>
                <w:rFonts w:asciiTheme="minorBidi" w:hAnsiTheme="minorBidi"/>
                <w:sz w:val="17"/>
              </w:rPr>
              <w:t xml:space="preserve">information en matière de brevets; </w:t>
            </w:r>
            <w:r w:rsidR="0092219F" w:rsidRPr="00471919">
              <w:rPr>
                <w:rFonts w:asciiTheme="minorBidi" w:hAnsiTheme="minorBidi"/>
                <w:sz w:val="17"/>
              </w:rPr>
              <w:t xml:space="preserve"> </w:t>
            </w:r>
          </w:p>
        </w:tc>
      </w:tr>
      <w:tr w:rsidR="009F1B0F" w:rsidRPr="00471919" w14:paraId="5FDB4053" w14:textId="77777777" w:rsidTr="00C73200">
        <w:trPr>
          <w:trHeight w:val="20"/>
        </w:trPr>
        <w:tc>
          <w:tcPr>
            <w:tcW w:w="1985" w:type="dxa"/>
            <w:tcBorders>
              <w:top w:val="nil"/>
              <w:left w:val="nil"/>
              <w:bottom w:val="nil"/>
              <w:right w:val="nil"/>
            </w:tcBorders>
          </w:tcPr>
          <w:p w14:paraId="6F549C64" w14:textId="15DE3D30"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19" w:history="1">
              <w:r w:rsidRPr="00471919">
                <w:rPr>
                  <w:rStyle w:val="Hyperlink"/>
                  <w:rFonts w:asciiTheme="minorBidi" w:hAnsiTheme="minorBidi"/>
                  <w:sz w:val="17"/>
                </w:rPr>
                <w:t>ST.60</w:t>
              </w:r>
            </w:hyperlink>
            <w:r w:rsidRPr="00C73200">
              <w:rPr>
                <w:sz w:val="17"/>
                <w:szCs w:val="17"/>
              </w:rPr>
              <w:t xml:space="preserve"> </w:t>
            </w:r>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1C00A589" w14:textId="228A9370"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 xml:space="preserve">Données bibliographiques concernant les marques; </w:t>
            </w:r>
            <w:r w:rsidR="0092219F" w:rsidRPr="00471919">
              <w:rPr>
                <w:rFonts w:asciiTheme="minorBidi" w:hAnsiTheme="minorBidi"/>
                <w:sz w:val="17"/>
              </w:rPr>
              <w:t xml:space="preserve"> </w:t>
            </w:r>
          </w:p>
        </w:tc>
      </w:tr>
      <w:tr w:rsidR="009F1B0F" w:rsidRPr="00471919" w14:paraId="4FD7473F" w14:textId="77777777" w:rsidTr="00C73200">
        <w:trPr>
          <w:trHeight w:val="20"/>
        </w:trPr>
        <w:tc>
          <w:tcPr>
            <w:tcW w:w="1985" w:type="dxa"/>
            <w:tcBorders>
              <w:top w:val="nil"/>
              <w:left w:val="nil"/>
              <w:bottom w:val="nil"/>
              <w:right w:val="nil"/>
            </w:tcBorders>
          </w:tcPr>
          <w:p w14:paraId="793F9BE5" w14:textId="2AD64CFF"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 </w:t>
            </w:r>
            <w:hyperlink r:id="rId20" w:history="1">
              <w:r w:rsidRPr="00471919">
                <w:rPr>
                  <w:rStyle w:val="Hyperlink"/>
                  <w:rFonts w:asciiTheme="minorBidi" w:hAnsiTheme="minorBidi"/>
                  <w:sz w:val="17"/>
                </w:rPr>
                <w:t>ST.61</w:t>
              </w:r>
            </w:hyperlink>
            <w:r w:rsidRPr="00C73200">
              <w:rPr>
                <w:sz w:val="17"/>
                <w:szCs w:val="17"/>
              </w:rPr>
              <w:t xml:space="preserve"> </w:t>
            </w:r>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 xml:space="preserve">OMPI </w:t>
            </w:r>
          </w:p>
        </w:tc>
        <w:tc>
          <w:tcPr>
            <w:tcW w:w="7087" w:type="dxa"/>
            <w:tcBorders>
              <w:top w:val="nil"/>
              <w:left w:val="nil"/>
              <w:bottom w:val="nil"/>
              <w:right w:val="nil"/>
            </w:tcBorders>
          </w:tcPr>
          <w:p w14:paraId="184CA80A" w14:textId="3946FDFD"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 xml:space="preserve">Échange de données sur la situation juridique des marques; </w:t>
            </w:r>
            <w:r w:rsidR="0092219F" w:rsidRPr="00471919">
              <w:rPr>
                <w:rFonts w:asciiTheme="minorBidi" w:hAnsiTheme="minorBidi"/>
                <w:sz w:val="17"/>
              </w:rPr>
              <w:t xml:space="preserve"> </w:t>
            </w:r>
          </w:p>
        </w:tc>
      </w:tr>
      <w:tr w:rsidR="009F1B0F" w:rsidRPr="00471919" w14:paraId="29EE03FF" w14:textId="77777777" w:rsidTr="00C73200">
        <w:trPr>
          <w:trHeight w:val="20"/>
        </w:trPr>
        <w:tc>
          <w:tcPr>
            <w:tcW w:w="1985" w:type="dxa"/>
            <w:tcBorders>
              <w:top w:val="nil"/>
              <w:left w:val="nil"/>
              <w:bottom w:val="nil"/>
              <w:right w:val="nil"/>
            </w:tcBorders>
          </w:tcPr>
          <w:p w14:paraId="10D51DE5" w14:textId="18DD6A5F"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21" w:history="1">
              <w:r w:rsidRPr="00471919">
                <w:rPr>
                  <w:rStyle w:val="Hyperlink"/>
                  <w:rFonts w:asciiTheme="minorBidi" w:hAnsiTheme="minorBidi"/>
                  <w:sz w:val="17"/>
                </w:rPr>
                <w:t xml:space="preserve">ST.66 </w:t>
              </w:r>
            </w:hyperlink>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5AE8A425" w14:textId="738AA5A1"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Utilisation</w:t>
            </w:r>
            <w:r w:rsidR="00416338" w:rsidRPr="00471919">
              <w:rPr>
                <w:rFonts w:asciiTheme="minorBidi" w:hAnsiTheme="minorBidi"/>
                <w:sz w:val="17"/>
              </w:rPr>
              <w:t xml:space="preserve"> du XML</w:t>
            </w:r>
            <w:r w:rsidRPr="00471919">
              <w:rPr>
                <w:rFonts w:asciiTheme="minorBidi" w:hAnsiTheme="minorBidi"/>
                <w:sz w:val="17"/>
              </w:rPr>
              <w:t xml:space="preserve"> dans le traitement de l</w:t>
            </w:r>
            <w:r w:rsidR="00416338" w:rsidRPr="00471919">
              <w:rPr>
                <w:rFonts w:asciiTheme="minorBidi" w:hAnsiTheme="minorBidi"/>
                <w:sz w:val="17"/>
              </w:rPr>
              <w:t>’</w:t>
            </w:r>
            <w:r w:rsidRPr="00471919">
              <w:rPr>
                <w:rFonts w:asciiTheme="minorBidi" w:hAnsiTheme="minorBidi"/>
                <w:sz w:val="17"/>
              </w:rPr>
              <w:t xml:space="preserve">information en matière de marques; </w:t>
            </w:r>
            <w:r w:rsidR="0092219F" w:rsidRPr="00471919">
              <w:rPr>
                <w:rFonts w:asciiTheme="minorBidi" w:hAnsiTheme="minorBidi"/>
                <w:sz w:val="17"/>
              </w:rPr>
              <w:t xml:space="preserve"> </w:t>
            </w:r>
          </w:p>
        </w:tc>
      </w:tr>
      <w:tr w:rsidR="009F1B0F" w:rsidRPr="00471919" w14:paraId="408C2701" w14:textId="77777777" w:rsidTr="00C73200">
        <w:trPr>
          <w:trHeight w:val="20"/>
        </w:trPr>
        <w:tc>
          <w:tcPr>
            <w:tcW w:w="1985" w:type="dxa"/>
            <w:tcBorders>
              <w:top w:val="nil"/>
              <w:left w:val="nil"/>
              <w:bottom w:val="nil"/>
              <w:right w:val="nil"/>
            </w:tcBorders>
          </w:tcPr>
          <w:p w14:paraId="2B1C1E56" w14:textId="0969E7BD"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22" w:history="1">
              <w:r w:rsidRPr="00471919">
                <w:rPr>
                  <w:rStyle w:val="Hyperlink"/>
                  <w:rFonts w:asciiTheme="minorBidi" w:hAnsiTheme="minorBidi"/>
                  <w:sz w:val="17"/>
                </w:rPr>
                <w:t>ST.80</w:t>
              </w:r>
            </w:hyperlink>
            <w:r w:rsidRPr="00873E88">
              <w:rPr>
                <w:sz w:val="17"/>
                <w:szCs w:val="17"/>
              </w:rPr>
              <w:t xml:space="preserve"> </w:t>
            </w:r>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70C494C4" w14:textId="2900FFB6"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 xml:space="preserve">Données bibliographiques relatives aux dessins et modèles industriels; </w:t>
            </w:r>
            <w:r w:rsidR="0092219F" w:rsidRPr="00471919">
              <w:rPr>
                <w:rFonts w:asciiTheme="minorBidi" w:hAnsiTheme="minorBidi"/>
                <w:sz w:val="17"/>
              </w:rPr>
              <w:t xml:space="preserve"> </w:t>
            </w:r>
          </w:p>
        </w:tc>
      </w:tr>
      <w:tr w:rsidR="009F1B0F" w:rsidRPr="00471919" w14:paraId="2FE0A042" w14:textId="77777777" w:rsidTr="00C73200">
        <w:trPr>
          <w:trHeight w:val="20"/>
        </w:trPr>
        <w:tc>
          <w:tcPr>
            <w:tcW w:w="1985" w:type="dxa"/>
            <w:tcBorders>
              <w:top w:val="nil"/>
              <w:left w:val="nil"/>
              <w:bottom w:val="nil"/>
              <w:right w:val="nil"/>
            </w:tcBorders>
          </w:tcPr>
          <w:p w14:paraId="5BC11852" w14:textId="7AD9BC8B"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23" w:history="1">
              <w:r w:rsidRPr="00471919">
                <w:rPr>
                  <w:rStyle w:val="Hyperlink"/>
                  <w:rFonts w:asciiTheme="minorBidi" w:hAnsiTheme="minorBidi"/>
                  <w:sz w:val="17"/>
                </w:rPr>
                <w:t>ST.86</w:t>
              </w:r>
            </w:hyperlink>
            <w:r w:rsidRPr="00873E88">
              <w:rPr>
                <w:sz w:val="17"/>
                <w:szCs w:val="17"/>
              </w:rPr>
              <w:t xml:space="preserve"> </w:t>
            </w:r>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19CEDC28" w14:textId="265EA416"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Utilisation</w:t>
            </w:r>
            <w:r w:rsidR="00416338" w:rsidRPr="00471919">
              <w:rPr>
                <w:rFonts w:asciiTheme="minorBidi" w:hAnsiTheme="minorBidi"/>
                <w:sz w:val="17"/>
              </w:rPr>
              <w:t xml:space="preserve"> du XML</w:t>
            </w:r>
            <w:r w:rsidRPr="00471919">
              <w:rPr>
                <w:rFonts w:asciiTheme="minorBidi" w:hAnsiTheme="minorBidi"/>
                <w:sz w:val="17"/>
              </w:rPr>
              <w:t xml:space="preserve"> dans le traitement de l</w:t>
            </w:r>
            <w:r w:rsidR="00416338" w:rsidRPr="00471919">
              <w:rPr>
                <w:rFonts w:asciiTheme="minorBidi" w:hAnsiTheme="minorBidi"/>
                <w:sz w:val="17"/>
              </w:rPr>
              <w:t>’</w:t>
            </w:r>
            <w:r w:rsidRPr="00471919">
              <w:rPr>
                <w:rFonts w:asciiTheme="minorBidi" w:hAnsiTheme="minorBidi"/>
                <w:sz w:val="17"/>
              </w:rPr>
              <w:t xml:space="preserve">information en matière de dessins et modèles industriels; </w:t>
            </w:r>
            <w:r w:rsidR="0092219F" w:rsidRPr="00471919">
              <w:rPr>
                <w:rFonts w:asciiTheme="minorBidi" w:hAnsiTheme="minorBidi"/>
                <w:sz w:val="17"/>
              </w:rPr>
              <w:t xml:space="preserve"> </w:t>
            </w:r>
          </w:p>
        </w:tc>
      </w:tr>
      <w:tr w:rsidR="009F1B0F" w:rsidRPr="00471919" w14:paraId="779947B8" w14:textId="77777777" w:rsidTr="00C73200">
        <w:trPr>
          <w:trHeight w:val="20"/>
        </w:trPr>
        <w:tc>
          <w:tcPr>
            <w:tcW w:w="1985" w:type="dxa"/>
            <w:tcBorders>
              <w:top w:val="nil"/>
              <w:left w:val="nil"/>
              <w:bottom w:val="nil"/>
              <w:right w:val="nil"/>
            </w:tcBorders>
          </w:tcPr>
          <w:p w14:paraId="5770C084" w14:textId="72ECB8BE"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 </w:t>
            </w:r>
            <w:hyperlink r:id="rId24" w:history="1">
              <w:r w:rsidRPr="00471919">
                <w:rPr>
                  <w:rStyle w:val="Hyperlink"/>
                  <w:rFonts w:asciiTheme="minorBidi" w:hAnsiTheme="minorBidi"/>
                  <w:sz w:val="17"/>
                </w:rPr>
                <w:t>ST.87</w:t>
              </w:r>
            </w:hyperlink>
            <w:r w:rsidRPr="00471919">
              <w:rPr>
                <w:rFonts w:asciiTheme="minorBidi" w:hAnsiTheme="minorBidi"/>
                <w:sz w:val="17"/>
              </w:rPr>
              <w:t xml:space="preserve"> 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1B967F2B" w14:textId="17C9B7F6"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 xml:space="preserve">Échange de données sur la situation juridique des dessins et modèles industriels; </w:t>
            </w:r>
            <w:r w:rsidR="0092219F" w:rsidRPr="00471919">
              <w:rPr>
                <w:rFonts w:asciiTheme="minorBidi" w:hAnsiTheme="minorBidi"/>
                <w:sz w:val="17"/>
              </w:rPr>
              <w:t xml:space="preserve"> </w:t>
            </w:r>
            <w:r w:rsidRPr="00471919">
              <w:rPr>
                <w:rFonts w:asciiTheme="minorBidi" w:hAnsiTheme="minorBidi"/>
                <w:sz w:val="17"/>
              </w:rPr>
              <w:t>et</w:t>
            </w:r>
          </w:p>
        </w:tc>
      </w:tr>
      <w:tr w:rsidR="009F1B0F" w:rsidRPr="00471919" w14:paraId="749F7AF1" w14:textId="77777777" w:rsidTr="00C73200">
        <w:trPr>
          <w:trHeight w:val="71"/>
        </w:trPr>
        <w:tc>
          <w:tcPr>
            <w:tcW w:w="1985" w:type="dxa"/>
            <w:tcBorders>
              <w:top w:val="nil"/>
              <w:left w:val="nil"/>
              <w:bottom w:val="nil"/>
              <w:right w:val="nil"/>
            </w:tcBorders>
          </w:tcPr>
          <w:p w14:paraId="4E615966" w14:textId="66BD27D1"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Norme</w:t>
            </w:r>
            <w:r w:rsidRPr="00471919">
              <w:t> </w:t>
            </w:r>
            <w:hyperlink r:id="rId25" w:history="1">
              <w:r w:rsidRPr="00471919">
                <w:rPr>
                  <w:rStyle w:val="Hyperlink"/>
                  <w:rFonts w:asciiTheme="minorBidi" w:hAnsiTheme="minorBidi"/>
                  <w:sz w:val="17"/>
                </w:rPr>
                <w:t>ST.96</w:t>
              </w:r>
            </w:hyperlink>
            <w:r w:rsidRPr="00873E88">
              <w:rPr>
                <w:sz w:val="17"/>
                <w:szCs w:val="17"/>
              </w:rPr>
              <w:t xml:space="preserve"> </w:t>
            </w:r>
            <w:r w:rsidRPr="00471919">
              <w:rPr>
                <w:rFonts w:asciiTheme="minorBidi" w:hAnsiTheme="minorBidi"/>
                <w:sz w:val="17"/>
              </w:rPr>
              <w:t>de l</w:t>
            </w:r>
            <w:r w:rsidR="00416338" w:rsidRPr="00471919">
              <w:rPr>
                <w:rFonts w:asciiTheme="minorBidi" w:hAnsiTheme="minorBidi"/>
                <w:sz w:val="17"/>
              </w:rPr>
              <w:t>’</w:t>
            </w:r>
            <w:r w:rsidRPr="00471919">
              <w:rPr>
                <w:rFonts w:asciiTheme="minorBidi" w:hAnsiTheme="minorBidi"/>
                <w:sz w:val="17"/>
              </w:rPr>
              <w:t>OMPI</w:t>
            </w:r>
          </w:p>
        </w:tc>
        <w:tc>
          <w:tcPr>
            <w:tcW w:w="7087" w:type="dxa"/>
            <w:tcBorders>
              <w:top w:val="nil"/>
              <w:left w:val="nil"/>
              <w:bottom w:val="nil"/>
              <w:right w:val="nil"/>
            </w:tcBorders>
          </w:tcPr>
          <w:p w14:paraId="07AF8C21" w14:textId="388C90AE" w:rsidR="009F1B0F" w:rsidRPr="00471919" w:rsidRDefault="009F1B0F" w:rsidP="00C73200">
            <w:pPr>
              <w:keepLines/>
              <w:rPr>
                <w:rFonts w:asciiTheme="minorBidi" w:eastAsia="MS PGothic" w:hAnsiTheme="minorBidi" w:cstheme="minorBidi"/>
                <w:sz w:val="17"/>
                <w:szCs w:val="17"/>
              </w:rPr>
            </w:pPr>
            <w:r w:rsidRPr="00471919">
              <w:rPr>
                <w:rFonts w:asciiTheme="minorBidi" w:hAnsiTheme="minorBidi"/>
                <w:sz w:val="17"/>
              </w:rPr>
              <w:t>Utilisation</w:t>
            </w:r>
            <w:r w:rsidR="00416338" w:rsidRPr="00471919">
              <w:rPr>
                <w:rFonts w:asciiTheme="minorBidi" w:hAnsiTheme="minorBidi"/>
                <w:sz w:val="17"/>
              </w:rPr>
              <w:t xml:space="preserve"> du XML</w:t>
            </w:r>
            <w:r w:rsidRPr="00471919">
              <w:rPr>
                <w:rFonts w:asciiTheme="minorBidi" w:hAnsiTheme="minorBidi"/>
                <w:sz w:val="17"/>
              </w:rPr>
              <w:t xml:space="preserve"> dans le traitement de l</w:t>
            </w:r>
            <w:r w:rsidR="00416338" w:rsidRPr="00471919">
              <w:rPr>
                <w:rFonts w:asciiTheme="minorBidi" w:hAnsiTheme="minorBidi"/>
                <w:sz w:val="17"/>
              </w:rPr>
              <w:t>’</w:t>
            </w:r>
            <w:r w:rsidRPr="00471919">
              <w:rPr>
                <w:rFonts w:asciiTheme="minorBidi" w:hAnsiTheme="minorBidi"/>
                <w:sz w:val="17"/>
              </w:rPr>
              <w:t>information en matière de propriété intellectuelle.</w:t>
            </w:r>
          </w:p>
        </w:tc>
      </w:tr>
    </w:tbl>
    <w:p w14:paraId="2E532CAB" w14:textId="68106AE4" w:rsidR="002B5203" w:rsidRPr="00FB7E20" w:rsidRDefault="006A3E45" w:rsidP="00FB7E20">
      <w:pPr>
        <w:keepLines/>
        <w:spacing w:before="720" w:after="0"/>
        <w:ind w:left="5533"/>
        <w:jc w:val="center"/>
        <w:rPr>
          <w:sz w:val="17"/>
        </w:rPr>
      </w:pPr>
      <w:r w:rsidRPr="00471919">
        <w:rPr>
          <w:sz w:val="17"/>
        </w:rPr>
        <w:t>[L</w:t>
      </w:r>
      <w:r w:rsidR="00416338" w:rsidRPr="00471919">
        <w:rPr>
          <w:sz w:val="17"/>
        </w:rPr>
        <w:t>’annexe I</w:t>
      </w:r>
      <w:r w:rsidRPr="00471919">
        <w:rPr>
          <w:sz w:val="17"/>
        </w:rPr>
        <w:t xml:space="preserve"> du projet de norme suit]</w:t>
      </w:r>
    </w:p>
    <w:p w14:paraId="1D123E1E" w14:textId="724DD0E1" w:rsidR="003116B9" w:rsidRPr="00471919" w:rsidRDefault="003116B9" w:rsidP="00343682">
      <w:pPr>
        <w:keepLines/>
        <w:rPr>
          <w:rFonts w:cs="Times New Roman"/>
          <w:kern w:val="0"/>
          <w:sz w:val="17"/>
          <w:szCs w:val="20"/>
          <w14:ligatures w14:val="none"/>
        </w:rPr>
      </w:pPr>
      <w:r w:rsidRPr="00471919">
        <w:br w:type="page"/>
      </w:r>
    </w:p>
    <w:p w14:paraId="6873340A" w14:textId="1E29D48A" w:rsidR="00F07D62" w:rsidRPr="00471919" w:rsidRDefault="00F07D62" w:rsidP="00FB7E20">
      <w:pPr>
        <w:widowControl w:val="0"/>
        <w:kinsoku w:val="0"/>
        <w:spacing w:before="0" w:after="480" w:line="211" w:lineRule="auto"/>
        <w:jc w:val="center"/>
        <w:outlineLvl w:val="0"/>
        <w:rPr>
          <w:rFonts w:cs="Arial"/>
          <w:kern w:val="0"/>
          <w:sz w:val="17"/>
          <w:szCs w:val="17"/>
          <w14:ligatures w14:val="none"/>
        </w:rPr>
      </w:pPr>
      <w:bookmarkStart w:id="20" w:name="_Toc209011745"/>
      <w:r w:rsidRPr="00471919">
        <w:rPr>
          <w:sz w:val="17"/>
        </w:rPr>
        <w:t>ANNEXE</w:t>
      </w:r>
      <w:r w:rsidR="00FB7E20">
        <w:rPr>
          <w:sz w:val="17"/>
        </w:rPr>
        <w:t> </w:t>
      </w:r>
      <w:r w:rsidRPr="00471919">
        <w:rPr>
          <w:sz w:val="17"/>
        </w:rPr>
        <w:t>I (Exemple de liste de contrôle)</w:t>
      </w:r>
      <w:bookmarkEnd w:id="20"/>
    </w:p>
    <w:p w14:paraId="1A91E869" w14:textId="7B8E2620" w:rsidR="0015212A" w:rsidRPr="00471919" w:rsidRDefault="0015212A" w:rsidP="00DE58F5">
      <w:pPr>
        <w:keepLines/>
        <w:tabs>
          <w:tab w:val="left" w:pos="426"/>
        </w:tabs>
        <w:spacing w:after="170"/>
        <w:rPr>
          <w:rFonts w:eastAsia="SimSun" w:cs="Arial"/>
          <w:kern w:val="0"/>
          <w:sz w:val="17"/>
          <w:szCs w:val="17"/>
          <w14:ligatures w14:val="none"/>
        </w:rPr>
      </w:pPr>
      <w:r w:rsidRPr="00471919">
        <w:rPr>
          <w:sz w:val="17"/>
        </w:rPr>
        <w:t>La description du contenu comprend au moins les informations suivantes</w:t>
      </w:r>
      <w:r w:rsidR="00416338" w:rsidRPr="00471919">
        <w:rPr>
          <w:sz w:val="17"/>
        </w:rPr>
        <w:t> :</w:t>
      </w:r>
    </w:p>
    <w:p w14:paraId="6A8DB273" w14:textId="77777777" w:rsidR="0015212A" w:rsidRPr="00471919" w:rsidRDefault="0015212A" w:rsidP="00FB7E20">
      <w:pPr>
        <w:pStyle w:val="ListParagraph"/>
        <w:numPr>
          <w:ilvl w:val="0"/>
          <w:numId w:val="10"/>
        </w:numPr>
        <w:tabs>
          <w:tab w:val="left" w:pos="1134"/>
        </w:tabs>
        <w:spacing w:before="0" w:after="170"/>
        <w:ind w:left="567" w:firstLine="0"/>
        <w:contextualSpacing w:val="0"/>
        <w:rPr>
          <w:rFonts w:eastAsia="Times New Roman" w:cs="Times New Roman"/>
          <w:kern w:val="0"/>
          <w:sz w:val="17"/>
          <w:szCs w:val="20"/>
          <w14:ligatures w14:val="none"/>
        </w:rPr>
      </w:pPr>
      <w:proofErr w:type="gramStart"/>
      <w:r w:rsidRPr="00471919">
        <w:rPr>
          <w:sz w:val="17"/>
        </w:rPr>
        <w:t>code</w:t>
      </w:r>
      <w:proofErr w:type="gramEnd"/>
      <w:r w:rsidRPr="00471919">
        <w:rPr>
          <w:sz w:val="17"/>
        </w:rPr>
        <w:t xml:space="preserve"> pays;</w:t>
      </w:r>
    </w:p>
    <w:p w14:paraId="5903C95B" w14:textId="60231257" w:rsidR="0015212A" w:rsidRPr="00FB7E20" w:rsidRDefault="0015212A" w:rsidP="00FB7E20">
      <w:pPr>
        <w:pStyle w:val="ListParagraph"/>
        <w:numPr>
          <w:ilvl w:val="0"/>
          <w:numId w:val="10"/>
        </w:numPr>
        <w:tabs>
          <w:tab w:val="left" w:pos="1134"/>
        </w:tabs>
        <w:spacing w:before="0" w:after="170"/>
        <w:ind w:left="567" w:firstLine="0"/>
        <w:contextualSpacing w:val="0"/>
        <w:rPr>
          <w:sz w:val="17"/>
        </w:rPr>
      </w:pPr>
      <w:proofErr w:type="gramStart"/>
      <w:r w:rsidRPr="00471919">
        <w:rPr>
          <w:sz w:val="17"/>
        </w:rPr>
        <w:t>type</w:t>
      </w:r>
      <w:proofErr w:type="gramEnd"/>
      <w:r w:rsidRPr="00471919">
        <w:rPr>
          <w:sz w:val="17"/>
        </w:rPr>
        <w:t xml:space="preserve"> de données (données bibliographiques, données d</w:t>
      </w:r>
      <w:r w:rsidR="00416338" w:rsidRPr="00471919">
        <w:rPr>
          <w:sz w:val="17"/>
        </w:rPr>
        <w:t>’</w:t>
      </w:r>
      <w:r w:rsidRPr="00471919">
        <w:rPr>
          <w:sz w:val="17"/>
        </w:rPr>
        <w:t>image, texte intégral, etc.);</w:t>
      </w:r>
    </w:p>
    <w:p w14:paraId="60131C52" w14:textId="77777777" w:rsidR="00416338" w:rsidRPr="00471919" w:rsidRDefault="0015212A" w:rsidP="00FB7E20">
      <w:pPr>
        <w:pStyle w:val="ListParagraph"/>
        <w:numPr>
          <w:ilvl w:val="0"/>
          <w:numId w:val="10"/>
        </w:numPr>
        <w:tabs>
          <w:tab w:val="left" w:pos="1134"/>
        </w:tabs>
        <w:spacing w:before="0" w:after="170"/>
        <w:ind w:left="567" w:firstLine="0"/>
        <w:contextualSpacing w:val="0"/>
        <w:rPr>
          <w:sz w:val="17"/>
        </w:rPr>
      </w:pPr>
      <w:proofErr w:type="gramStart"/>
      <w:r w:rsidRPr="00471919">
        <w:rPr>
          <w:sz w:val="17"/>
        </w:rPr>
        <w:t>gamme</w:t>
      </w:r>
      <w:proofErr w:type="gramEnd"/>
      <w:r w:rsidRPr="00471919">
        <w:rPr>
          <w:sz w:val="17"/>
        </w:rPr>
        <w:t xml:space="preserve"> de documents fournis;</w:t>
      </w:r>
    </w:p>
    <w:p w14:paraId="20A67CD0" w14:textId="77777777" w:rsidR="00416338" w:rsidRPr="00471919" w:rsidRDefault="0015212A" w:rsidP="00FB7E20">
      <w:pPr>
        <w:pStyle w:val="ListParagraph"/>
        <w:numPr>
          <w:ilvl w:val="0"/>
          <w:numId w:val="10"/>
        </w:numPr>
        <w:tabs>
          <w:tab w:val="left" w:pos="1134"/>
        </w:tabs>
        <w:spacing w:before="0" w:after="170"/>
        <w:ind w:left="567" w:firstLine="0"/>
        <w:contextualSpacing w:val="0"/>
        <w:rPr>
          <w:sz w:val="17"/>
        </w:rPr>
      </w:pPr>
      <w:proofErr w:type="gramStart"/>
      <w:r w:rsidRPr="00471919">
        <w:rPr>
          <w:sz w:val="17"/>
        </w:rPr>
        <w:t>code</w:t>
      </w:r>
      <w:proofErr w:type="gramEnd"/>
      <w:r w:rsidRPr="00471919">
        <w:rPr>
          <w:sz w:val="17"/>
        </w:rPr>
        <w:t xml:space="preserve"> de type ou type de document;</w:t>
      </w:r>
    </w:p>
    <w:p w14:paraId="04EE240D" w14:textId="58326701" w:rsidR="0015212A" w:rsidRPr="00FB7E20" w:rsidRDefault="0015212A" w:rsidP="00FB7E20">
      <w:pPr>
        <w:pStyle w:val="ListParagraph"/>
        <w:numPr>
          <w:ilvl w:val="0"/>
          <w:numId w:val="10"/>
        </w:numPr>
        <w:tabs>
          <w:tab w:val="left" w:pos="1134"/>
        </w:tabs>
        <w:spacing w:before="0" w:after="170"/>
        <w:ind w:left="567" w:firstLine="0"/>
        <w:contextualSpacing w:val="0"/>
        <w:rPr>
          <w:sz w:val="17"/>
        </w:rPr>
      </w:pPr>
      <w:proofErr w:type="gramStart"/>
      <w:r w:rsidRPr="00471919">
        <w:rPr>
          <w:sz w:val="17"/>
        </w:rPr>
        <w:t>nombre</w:t>
      </w:r>
      <w:proofErr w:type="gramEnd"/>
      <w:r w:rsidRPr="00471919">
        <w:rPr>
          <w:sz w:val="17"/>
        </w:rPr>
        <w:t xml:space="preserve"> total de documents;</w:t>
      </w:r>
    </w:p>
    <w:p w14:paraId="3EE9BA29" w14:textId="77777777" w:rsidR="0015212A" w:rsidRPr="00FB7E20" w:rsidRDefault="0015212A" w:rsidP="00FB7E20">
      <w:pPr>
        <w:pStyle w:val="ListParagraph"/>
        <w:numPr>
          <w:ilvl w:val="0"/>
          <w:numId w:val="10"/>
        </w:numPr>
        <w:tabs>
          <w:tab w:val="left" w:pos="1134"/>
        </w:tabs>
        <w:spacing w:before="0" w:after="170"/>
        <w:ind w:left="567" w:firstLine="0"/>
        <w:contextualSpacing w:val="0"/>
        <w:rPr>
          <w:sz w:val="17"/>
        </w:rPr>
      </w:pPr>
      <w:proofErr w:type="gramStart"/>
      <w:r w:rsidRPr="00471919">
        <w:rPr>
          <w:sz w:val="17"/>
        </w:rPr>
        <w:t>date</w:t>
      </w:r>
      <w:proofErr w:type="gramEnd"/>
      <w:r w:rsidRPr="00471919">
        <w:rPr>
          <w:sz w:val="17"/>
        </w:rPr>
        <w:t xml:space="preserve"> de publication et période de publication couverte;</w:t>
      </w:r>
    </w:p>
    <w:p w14:paraId="27979844" w14:textId="7EF9C7F0" w:rsidR="0015212A" w:rsidRPr="00FB7E20" w:rsidRDefault="00837BFE" w:rsidP="00FB7E20">
      <w:pPr>
        <w:pStyle w:val="ListParagraph"/>
        <w:numPr>
          <w:ilvl w:val="0"/>
          <w:numId w:val="10"/>
        </w:numPr>
        <w:tabs>
          <w:tab w:val="left" w:pos="1134"/>
        </w:tabs>
        <w:spacing w:before="0" w:after="170"/>
        <w:ind w:left="567" w:firstLine="0"/>
        <w:contextualSpacing w:val="0"/>
        <w:rPr>
          <w:sz w:val="17"/>
        </w:rPr>
      </w:pPr>
      <w:proofErr w:type="gramStart"/>
      <w:r w:rsidRPr="00471919">
        <w:rPr>
          <w:sz w:val="17"/>
        </w:rPr>
        <w:t>personne</w:t>
      </w:r>
      <w:proofErr w:type="gramEnd"/>
      <w:r w:rsidRPr="00471919">
        <w:rPr>
          <w:sz w:val="17"/>
        </w:rPr>
        <w:t xml:space="preserve"> à contacter (expéditeur).</w:t>
      </w:r>
    </w:p>
    <w:p w14:paraId="5A0E2B95" w14:textId="1DBC0A08" w:rsidR="005B7C93" w:rsidRPr="00471919" w:rsidRDefault="005B7C93" w:rsidP="00931884">
      <w:pPr>
        <w:keepLines/>
        <w:spacing w:before="720" w:after="0"/>
        <w:ind w:left="5533"/>
        <w:jc w:val="center"/>
        <w:rPr>
          <w:rFonts w:cs="Times New Roman"/>
          <w:iCs/>
          <w:kern w:val="0"/>
          <w:sz w:val="17"/>
          <w:szCs w:val="20"/>
          <w14:ligatures w14:val="none"/>
        </w:rPr>
      </w:pPr>
      <w:r w:rsidRPr="00471919">
        <w:rPr>
          <w:sz w:val="17"/>
        </w:rPr>
        <w:t>[Fin de l</w:t>
      </w:r>
      <w:r w:rsidR="00416338" w:rsidRPr="00471919">
        <w:rPr>
          <w:sz w:val="17"/>
        </w:rPr>
        <w:t>’annexe I</w:t>
      </w:r>
      <w:r w:rsidRPr="00471919">
        <w:rPr>
          <w:sz w:val="17"/>
        </w:rPr>
        <w:t xml:space="preserve"> et du projet de norme]</w:t>
      </w:r>
    </w:p>
    <w:p w14:paraId="5DE634B1" w14:textId="21D06396" w:rsidR="00811602" w:rsidRPr="00471919" w:rsidRDefault="00252380" w:rsidP="00931884">
      <w:pPr>
        <w:keepLines/>
        <w:tabs>
          <w:tab w:val="left" w:pos="567"/>
        </w:tabs>
        <w:spacing w:before="720" w:after="0"/>
        <w:ind w:left="5533"/>
        <w:jc w:val="center"/>
        <w:rPr>
          <w:rFonts w:cs="Times New Roman"/>
          <w:iCs/>
          <w:kern w:val="0"/>
          <w14:ligatures w14:val="none"/>
        </w:rPr>
      </w:pPr>
      <w:r w:rsidRPr="00471919">
        <w:t>[Fin de l</w:t>
      </w:r>
      <w:r w:rsidR="00416338" w:rsidRPr="00471919">
        <w:t>’</w:t>
      </w:r>
      <w:r w:rsidRPr="00471919">
        <w:t>annexe et du document]</w:t>
      </w:r>
    </w:p>
    <w:p w14:paraId="2336DB6A" w14:textId="47E29E2E" w:rsidR="00D96BE3" w:rsidRPr="00471919" w:rsidRDefault="00AF7A33" w:rsidP="00B443AB">
      <w:pPr>
        <w:ind w:hanging="3582"/>
        <w:rPr>
          <w:rFonts w:cs="Arial"/>
          <w:kern w:val="0"/>
          <w:sz w:val="17"/>
          <w:szCs w:val="17"/>
          <w14:ligatures w14:val="none"/>
        </w:rPr>
      </w:pPr>
      <w:r w:rsidRPr="00471919">
        <w:rPr>
          <w:sz w:val="17"/>
        </w:rPr>
        <w:t>EN FOI DE QUOI,</w:t>
      </w:r>
      <w:bookmarkStart w:id="21" w:name="_Toc163221159"/>
      <w:bookmarkStart w:id="22" w:name="_Ref371513458"/>
      <w:bookmarkEnd w:id="19"/>
    </w:p>
    <w:p w14:paraId="7E4BE6F0" w14:textId="77777777" w:rsidR="001D2852" w:rsidRPr="00471919" w:rsidRDefault="001D2852" w:rsidP="00B443AB">
      <w:pPr>
        <w:ind w:hanging="3582"/>
        <w:rPr>
          <w:rFonts w:eastAsia="SimSun" w:cs="Arial"/>
          <w:kern w:val="0"/>
          <w:sz w:val="17"/>
          <w:szCs w:val="17"/>
          <w14:ligatures w14:val="none"/>
        </w:rPr>
      </w:pPr>
    </w:p>
    <w:p w14:paraId="3FDDAD6A" w14:textId="77777777" w:rsidR="00D96BE3" w:rsidRPr="00471919" w:rsidRDefault="00D96BE3" w:rsidP="00B443AB">
      <w:pPr>
        <w:ind w:hanging="3582"/>
        <w:rPr>
          <w:rFonts w:eastAsia="SimSun" w:cs="Arial"/>
          <w:kern w:val="0"/>
          <w:sz w:val="17"/>
          <w:szCs w:val="17"/>
          <w14:ligatures w14:val="none"/>
        </w:rPr>
      </w:pPr>
    </w:p>
    <w:p w14:paraId="189A301F" w14:textId="77777777" w:rsidR="00D96BE3" w:rsidRPr="00471919" w:rsidRDefault="00D96BE3" w:rsidP="00B443AB">
      <w:pPr>
        <w:ind w:hanging="3582"/>
        <w:rPr>
          <w:rFonts w:eastAsia="SimSun" w:cs="Arial"/>
          <w:kern w:val="0"/>
          <w:sz w:val="17"/>
          <w:szCs w:val="17"/>
          <w14:ligatures w14:val="none"/>
        </w:rPr>
      </w:pPr>
    </w:p>
    <w:bookmarkEnd w:id="21"/>
    <w:bookmarkEnd w:id="22"/>
    <w:p w14:paraId="796D732F" w14:textId="77777777" w:rsidR="00D96BE3" w:rsidRPr="00471919" w:rsidRDefault="00D96BE3" w:rsidP="00B443AB">
      <w:pPr>
        <w:ind w:hanging="3582"/>
        <w:rPr>
          <w:rFonts w:eastAsia="SimSun" w:cs="Arial"/>
          <w:kern w:val="0"/>
          <w:sz w:val="17"/>
          <w:szCs w:val="17"/>
          <w14:ligatures w14:val="none"/>
        </w:rPr>
      </w:pPr>
    </w:p>
    <w:sectPr w:rsidR="00D96BE3" w:rsidRPr="00471919" w:rsidSect="00DB250F">
      <w:headerReference w:type="default" r:id="rId26"/>
      <w:headerReference w:type="first" r:id="rId27"/>
      <w:pgSz w:w="11909" w:h="16834" w:code="9"/>
      <w:pgMar w:top="567" w:right="1134" w:bottom="1418" w:left="1418" w:header="510"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F781" w14:textId="77777777" w:rsidR="00B92858" w:rsidRPr="00885F25" w:rsidRDefault="00B92858" w:rsidP="006312A7">
      <w:pPr>
        <w:spacing w:after="0"/>
      </w:pPr>
      <w:r w:rsidRPr="00885F25">
        <w:separator/>
      </w:r>
    </w:p>
  </w:endnote>
  <w:endnote w:type="continuationSeparator" w:id="0">
    <w:p w14:paraId="21427B64" w14:textId="77777777" w:rsidR="00B92858" w:rsidRPr="00885F25" w:rsidRDefault="00B92858" w:rsidP="006312A7">
      <w:pPr>
        <w:spacing w:after="0"/>
      </w:pPr>
      <w:r w:rsidRPr="00885F25">
        <w:continuationSeparator/>
      </w:r>
    </w:p>
  </w:endnote>
  <w:endnote w:type="continuationNotice" w:id="1">
    <w:p w14:paraId="07107831" w14:textId="77777777" w:rsidR="00B92858" w:rsidRDefault="00B928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A05D" w14:textId="77777777" w:rsidR="00B92858" w:rsidRPr="00885F25" w:rsidRDefault="00B92858" w:rsidP="006312A7">
      <w:pPr>
        <w:spacing w:after="0"/>
      </w:pPr>
      <w:r w:rsidRPr="00885F25">
        <w:separator/>
      </w:r>
    </w:p>
  </w:footnote>
  <w:footnote w:type="continuationSeparator" w:id="0">
    <w:p w14:paraId="282F84A5" w14:textId="77777777" w:rsidR="00B92858" w:rsidRPr="00885F25" w:rsidRDefault="00B92858" w:rsidP="006312A7">
      <w:pPr>
        <w:spacing w:after="0"/>
      </w:pPr>
      <w:r w:rsidRPr="00885F25">
        <w:continuationSeparator/>
      </w:r>
    </w:p>
  </w:footnote>
  <w:footnote w:type="continuationNotice" w:id="1">
    <w:p w14:paraId="26215AF7" w14:textId="77777777" w:rsidR="00B92858" w:rsidRDefault="00B92858">
      <w:pPr>
        <w:spacing w:before="0" w:after="0"/>
      </w:pPr>
    </w:p>
  </w:footnote>
  <w:footnote w:id="2">
    <w:p w14:paraId="54549A95" w14:textId="60ACBCAC" w:rsidR="00AF3797" w:rsidRDefault="00AF3797" w:rsidP="00C73200">
      <w:pPr>
        <w:pStyle w:val="FootnoteText"/>
        <w:tabs>
          <w:tab w:val="left" w:pos="567"/>
        </w:tabs>
        <w:ind w:left="0"/>
      </w:pPr>
      <w:r>
        <w:rPr>
          <w:rStyle w:val="FootnoteReference"/>
        </w:rPr>
        <w:footnoteRef/>
      </w:r>
      <w:r>
        <w:t xml:space="preserve"> </w:t>
      </w:r>
      <w:r w:rsidR="00C73200">
        <w:tab/>
      </w:r>
      <w:r>
        <w:t>Cette intention devrait être consignée dans les accords bilatéraux conclus entre les offices de propriété intellectuelle et les fournisseurs commerciaux.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FCF5" w14:textId="1440C677" w:rsidR="00FB473A" w:rsidRDefault="00FB473A" w:rsidP="006959BB">
    <w:pPr>
      <w:pStyle w:val="Header"/>
      <w:spacing w:before="0"/>
      <w:jc w:val="right"/>
    </w:pPr>
    <w:r>
      <w:t>CWS/13/27</w:t>
    </w:r>
  </w:p>
  <w:p w14:paraId="2772A95E" w14:textId="462F0042" w:rsidR="006959BB" w:rsidRPr="002A5D77" w:rsidRDefault="00FB473A" w:rsidP="008047B6">
    <w:pPr>
      <w:pStyle w:val="Header"/>
      <w:spacing w:before="0" w:after="480"/>
      <w:jc w:val="right"/>
    </w:pPr>
    <w:r>
      <w:t>Annexe, page </w:t>
    </w:r>
    <w:r>
      <w:fldChar w:fldCharType="begin"/>
    </w:r>
    <w:r>
      <w:instrText xml:space="preserve"> PAGE  \* Arabic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FBFE" w14:textId="519D22F2" w:rsidR="00DB250F" w:rsidRDefault="00DB250F" w:rsidP="006959BB">
    <w:pPr>
      <w:pStyle w:val="Header"/>
      <w:spacing w:before="0"/>
      <w:jc w:val="right"/>
    </w:pPr>
    <w:r>
      <w:t>CWS/13/27</w:t>
    </w:r>
  </w:p>
  <w:p w14:paraId="4D5F88F5" w14:textId="3E68615D" w:rsidR="006959BB" w:rsidRDefault="00DB250F" w:rsidP="00D71B1E">
    <w:pPr>
      <w:pStyle w:val="Header"/>
      <w:spacing w:before="0"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199B0D64"/>
    <w:multiLevelType w:val="hybridMultilevel"/>
    <w:tmpl w:val="98B0224E"/>
    <w:lvl w:ilvl="0" w:tplc="9BFEF1C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676684"/>
    <w:multiLevelType w:val="hybridMultilevel"/>
    <w:tmpl w:val="DF94B7CE"/>
    <w:lvl w:ilvl="0" w:tplc="2F4A73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F3D6E"/>
    <w:multiLevelType w:val="multilevel"/>
    <w:tmpl w:val="FC3E9A12"/>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2EE13BB5"/>
    <w:multiLevelType w:val="hybridMultilevel"/>
    <w:tmpl w:val="5292FA9E"/>
    <w:lvl w:ilvl="0" w:tplc="CFDCDE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54752"/>
    <w:multiLevelType w:val="hybridMultilevel"/>
    <w:tmpl w:val="47F4A988"/>
    <w:lvl w:ilvl="0" w:tplc="34EA4FF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FD3BDC"/>
    <w:multiLevelType w:val="multilevel"/>
    <w:tmpl w:val="0500316A"/>
    <w:lvl w:ilvl="0">
      <w:start w:val="1"/>
      <w:numFmt w:val="bullet"/>
      <w:lvlText w:val="­"/>
      <w:lvlJc w:val="left"/>
      <w:pPr>
        <w:ind w:left="108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bullet"/>
      <w:lvlText w:val="­"/>
      <w:lvlJc w:val="left"/>
      <w:pPr>
        <w:ind w:left="2160" w:hanging="360"/>
      </w:pPr>
      <w:rPr>
        <w:rFonts w:ascii="Courier New" w:hAnsi="Courier New" w:hint="default"/>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D212792"/>
    <w:multiLevelType w:val="hybridMultilevel"/>
    <w:tmpl w:val="AF3C42A6"/>
    <w:lvl w:ilvl="0" w:tplc="7E1EE23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245CC4"/>
    <w:multiLevelType w:val="hybridMultilevel"/>
    <w:tmpl w:val="652E367E"/>
    <w:lvl w:ilvl="0" w:tplc="A0AE9FA4">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210AC5"/>
    <w:multiLevelType w:val="hybridMultilevel"/>
    <w:tmpl w:val="6BE0D77E"/>
    <w:lvl w:ilvl="0" w:tplc="A36E342E">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6697618">
    <w:abstractNumId w:val="0"/>
  </w:num>
  <w:num w:numId="2" w16cid:durableId="1793555323">
    <w:abstractNumId w:val="3"/>
  </w:num>
  <w:num w:numId="3" w16cid:durableId="1882015182">
    <w:abstractNumId w:val="4"/>
  </w:num>
  <w:num w:numId="4" w16cid:durableId="864171401">
    <w:abstractNumId w:val="6"/>
  </w:num>
  <w:num w:numId="5" w16cid:durableId="160001358">
    <w:abstractNumId w:val="2"/>
  </w:num>
  <w:num w:numId="6" w16cid:durableId="649020071">
    <w:abstractNumId w:val="8"/>
  </w:num>
  <w:num w:numId="7" w16cid:durableId="1440103495">
    <w:abstractNumId w:val="5"/>
  </w:num>
  <w:num w:numId="8" w16cid:durableId="1553351483">
    <w:abstractNumId w:val="1"/>
  </w:num>
  <w:num w:numId="9" w16cid:durableId="1766225211">
    <w:abstractNumId w:val="9"/>
  </w:num>
  <w:num w:numId="10" w16cid:durableId="98227648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E4"/>
    <w:rsid w:val="00002227"/>
    <w:rsid w:val="000028B1"/>
    <w:rsid w:val="00002A27"/>
    <w:rsid w:val="000031BC"/>
    <w:rsid w:val="00003206"/>
    <w:rsid w:val="000038E6"/>
    <w:rsid w:val="00003AB8"/>
    <w:rsid w:val="00004F16"/>
    <w:rsid w:val="00005644"/>
    <w:rsid w:val="000058C6"/>
    <w:rsid w:val="00005F10"/>
    <w:rsid w:val="00007CC2"/>
    <w:rsid w:val="00007CD4"/>
    <w:rsid w:val="00010BF9"/>
    <w:rsid w:val="00011771"/>
    <w:rsid w:val="00011DC2"/>
    <w:rsid w:val="00015C74"/>
    <w:rsid w:val="00017431"/>
    <w:rsid w:val="000179D7"/>
    <w:rsid w:val="00017BDF"/>
    <w:rsid w:val="0002002C"/>
    <w:rsid w:val="0002278B"/>
    <w:rsid w:val="00022C47"/>
    <w:rsid w:val="0002360F"/>
    <w:rsid w:val="00023684"/>
    <w:rsid w:val="00024625"/>
    <w:rsid w:val="00024760"/>
    <w:rsid w:val="00024FEE"/>
    <w:rsid w:val="00027101"/>
    <w:rsid w:val="00035044"/>
    <w:rsid w:val="00035DF8"/>
    <w:rsid w:val="00037BB4"/>
    <w:rsid w:val="00040CD8"/>
    <w:rsid w:val="00040D67"/>
    <w:rsid w:val="0004138A"/>
    <w:rsid w:val="00041E21"/>
    <w:rsid w:val="0004232D"/>
    <w:rsid w:val="00042A50"/>
    <w:rsid w:val="00043014"/>
    <w:rsid w:val="000447CC"/>
    <w:rsid w:val="00045320"/>
    <w:rsid w:val="000468A0"/>
    <w:rsid w:val="00046BFA"/>
    <w:rsid w:val="0005111B"/>
    <w:rsid w:val="00051538"/>
    <w:rsid w:val="00052186"/>
    <w:rsid w:val="00053462"/>
    <w:rsid w:val="0005663E"/>
    <w:rsid w:val="000571A0"/>
    <w:rsid w:val="000576A3"/>
    <w:rsid w:val="00057D2A"/>
    <w:rsid w:val="00060E49"/>
    <w:rsid w:val="00060EC3"/>
    <w:rsid w:val="0006106D"/>
    <w:rsid w:val="00061EE9"/>
    <w:rsid w:val="00062F3F"/>
    <w:rsid w:val="0006331E"/>
    <w:rsid w:val="00063952"/>
    <w:rsid w:val="00065430"/>
    <w:rsid w:val="00065829"/>
    <w:rsid w:val="000677C7"/>
    <w:rsid w:val="00070737"/>
    <w:rsid w:val="0007177A"/>
    <w:rsid w:val="00071D5E"/>
    <w:rsid w:val="00072888"/>
    <w:rsid w:val="00072B6E"/>
    <w:rsid w:val="00072B7B"/>
    <w:rsid w:val="000759E1"/>
    <w:rsid w:val="00075C4A"/>
    <w:rsid w:val="00075F88"/>
    <w:rsid w:val="0007661B"/>
    <w:rsid w:val="00076C2A"/>
    <w:rsid w:val="000812C7"/>
    <w:rsid w:val="00081469"/>
    <w:rsid w:val="00081939"/>
    <w:rsid w:val="0008552B"/>
    <w:rsid w:val="000866DC"/>
    <w:rsid w:val="00090EF9"/>
    <w:rsid w:val="000922A0"/>
    <w:rsid w:val="00092AD6"/>
    <w:rsid w:val="00092CEC"/>
    <w:rsid w:val="00093290"/>
    <w:rsid w:val="00095464"/>
    <w:rsid w:val="00096FD0"/>
    <w:rsid w:val="000A05CE"/>
    <w:rsid w:val="000A0A2F"/>
    <w:rsid w:val="000A1359"/>
    <w:rsid w:val="000A1AC9"/>
    <w:rsid w:val="000A1C5B"/>
    <w:rsid w:val="000A2696"/>
    <w:rsid w:val="000A3136"/>
    <w:rsid w:val="000A364F"/>
    <w:rsid w:val="000A3941"/>
    <w:rsid w:val="000A4875"/>
    <w:rsid w:val="000A602E"/>
    <w:rsid w:val="000A61CC"/>
    <w:rsid w:val="000B522E"/>
    <w:rsid w:val="000B62FF"/>
    <w:rsid w:val="000C08E0"/>
    <w:rsid w:val="000C311B"/>
    <w:rsid w:val="000C5882"/>
    <w:rsid w:val="000C6920"/>
    <w:rsid w:val="000C7424"/>
    <w:rsid w:val="000C7713"/>
    <w:rsid w:val="000C7C79"/>
    <w:rsid w:val="000D07B0"/>
    <w:rsid w:val="000D1898"/>
    <w:rsid w:val="000D245E"/>
    <w:rsid w:val="000D2D4A"/>
    <w:rsid w:val="000D3CA0"/>
    <w:rsid w:val="000D469D"/>
    <w:rsid w:val="000D4EC7"/>
    <w:rsid w:val="000D60A6"/>
    <w:rsid w:val="000E04BA"/>
    <w:rsid w:val="000E38EA"/>
    <w:rsid w:val="000E3A97"/>
    <w:rsid w:val="000E4A8F"/>
    <w:rsid w:val="000E5F5D"/>
    <w:rsid w:val="000E74FC"/>
    <w:rsid w:val="000E7E15"/>
    <w:rsid w:val="000E7E9D"/>
    <w:rsid w:val="000F03FE"/>
    <w:rsid w:val="000F1AD1"/>
    <w:rsid w:val="000F20D2"/>
    <w:rsid w:val="000F2CF5"/>
    <w:rsid w:val="000F7C21"/>
    <w:rsid w:val="001007DD"/>
    <w:rsid w:val="001019A7"/>
    <w:rsid w:val="00101DB8"/>
    <w:rsid w:val="00102068"/>
    <w:rsid w:val="00104409"/>
    <w:rsid w:val="001049B6"/>
    <w:rsid w:val="00106497"/>
    <w:rsid w:val="00107B19"/>
    <w:rsid w:val="00107DD4"/>
    <w:rsid w:val="0011025A"/>
    <w:rsid w:val="001102FE"/>
    <w:rsid w:val="00110976"/>
    <w:rsid w:val="0011295D"/>
    <w:rsid w:val="00112F06"/>
    <w:rsid w:val="001131CB"/>
    <w:rsid w:val="00113466"/>
    <w:rsid w:val="00113BAA"/>
    <w:rsid w:val="0011408C"/>
    <w:rsid w:val="00115617"/>
    <w:rsid w:val="00116A02"/>
    <w:rsid w:val="001219B3"/>
    <w:rsid w:val="00122140"/>
    <w:rsid w:val="001222FC"/>
    <w:rsid w:val="0012344B"/>
    <w:rsid w:val="0013027F"/>
    <w:rsid w:val="001307DF"/>
    <w:rsid w:val="0013259D"/>
    <w:rsid w:val="00136212"/>
    <w:rsid w:val="001409A4"/>
    <w:rsid w:val="00141B72"/>
    <w:rsid w:val="00142C89"/>
    <w:rsid w:val="00142CFD"/>
    <w:rsid w:val="00144996"/>
    <w:rsid w:val="0015212A"/>
    <w:rsid w:val="00152F51"/>
    <w:rsid w:val="00153144"/>
    <w:rsid w:val="001539A9"/>
    <w:rsid w:val="00153C1C"/>
    <w:rsid w:val="00154BAF"/>
    <w:rsid w:val="00155DC4"/>
    <w:rsid w:val="00157436"/>
    <w:rsid w:val="00162555"/>
    <w:rsid w:val="001639A7"/>
    <w:rsid w:val="00163D2F"/>
    <w:rsid w:val="0016536A"/>
    <w:rsid w:val="001667C9"/>
    <w:rsid w:val="0017041B"/>
    <w:rsid w:val="00170F5A"/>
    <w:rsid w:val="00171AB8"/>
    <w:rsid w:val="00173EC6"/>
    <w:rsid w:val="001758F4"/>
    <w:rsid w:val="001763D6"/>
    <w:rsid w:val="00180E52"/>
    <w:rsid w:val="001814D8"/>
    <w:rsid w:val="00181A9E"/>
    <w:rsid w:val="001822DA"/>
    <w:rsid w:val="00184F02"/>
    <w:rsid w:val="001870F5"/>
    <w:rsid w:val="00192A56"/>
    <w:rsid w:val="00194D1E"/>
    <w:rsid w:val="0019538A"/>
    <w:rsid w:val="001956E9"/>
    <w:rsid w:val="001A03F5"/>
    <w:rsid w:val="001A1DA8"/>
    <w:rsid w:val="001A1FF8"/>
    <w:rsid w:val="001A238F"/>
    <w:rsid w:val="001A4649"/>
    <w:rsid w:val="001A60BF"/>
    <w:rsid w:val="001A65DB"/>
    <w:rsid w:val="001A6736"/>
    <w:rsid w:val="001A7E6D"/>
    <w:rsid w:val="001B2F65"/>
    <w:rsid w:val="001B443E"/>
    <w:rsid w:val="001B45A5"/>
    <w:rsid w:val="001B6EAB"/>
    <w:rsid w:val="001C4442"/>
    <w:rsid w:val="001C5DCF"/>
    <w:rsid w:val="001C68E3"/>
    <w:rsid w:val="001C7777"/>
    <w:rsid w:val="001C7CAF"/>
    <w:rsid w:val="001D0B52"/>
    <w:rsid w:val="001D1FB9"/>
    <w:rsid w:val="001D2852"/>
    <w:rsid w:val="001D376B"/>
    <w:rsid w:val="001D4CDD"/>
    <w:rsid w:val="001D555C"/>
    <w:rsid w:val="001D672F"/>
    <w:rsid w:val="001D6C5F"/>
    <w:rsid w:val="001E1210"/>
    <w:rsid w:val="001E4759"/>
    <w:rsid w:val="001E52DC"/>
    <w:rsid w:val="001E55A4"/>
    <w:rsid w:val="001E6007"/>
    <w:rsid w:val="001E6FE4"/>
    <w:rsid w:val="001F2CA4"/>
    <w:rsid w:val="001F54E7"/>
    <w:rsid w:val="0020197F"/>
    <w:rsid w:val="00203062"/>
    <w:rsid w:val="00203ADC"/>
    <w:rsid w:val="002042BE"/>
    <w:rsid w:val="002047C5"/>
    <w:rsid w:val="00205EE6"/>
    <w:rsid w:val="00215108"/>
    <w:rsid w:val="002171B8"/>
    <w:rsid w:val="00217315"/>
    <w:rsid w:val="00220CC9"/>
    <w:rsid w:val="002226DA"/>
    <w:rsid w:val="00223935"/>
    <w:rsid w:val="0022599A"/>
    <w:rsid w:val="00227FCA"/>
    <w:rsid w:val="0023118C"/>
    <w:rsid w:val="0023189F"/>
    <w:rsid w:val="00232F99"/>
    <w:rsid w:val="00233291"/>
    <w:rsid w:val="002357FC"/>
    <w:rsid w:val="00237CE4"/>
    <w:rsid w:val="002403BA"/>
    <w:rsid w:val="002414EA"/>
    <w:rsid w:val="00243804"/>
    <w:rsid w:val="00244261"/>
    <w:rsid w:val="00245C5D"/>
    <w:rsid w:val="00252380"/>
    <w:rsid w:val="002550C6"/>
    <w:rsid w:val="0025527E"/>
    <w:rsid w:val="00256902"/>
    <w:rsid w:val="00257AEF"/>
    <w:rsid w:val="00260B72"/>
    <w:rsid w:val="0026220A"/>
    <w:rsid w:val="0026289D"/>
    <w:rsid w:val="00263B45"/>
    <w:rsid w:val="00263B6A"/>
    <w:rsid w:val="0026442C"/>
    <w:rsid w:val="00264626"/>
    <w:rsid w:val="0026515C"/>
    <w:rsid w:val="00265316"/>
    <w:rsid w:val="00265650"/>
    <w:rsid w:val="00265701"/>
    <w:rsid w:val="00266881"/>
    <w:rsid w:val="00267256"/>
    <w:rsid w:val="00267955"/>
    <w:rsid w:val="00267BB7"/>
    <w:rsid w:val="00274B4E"/>
    <w:rsid w:val="00275FB7"/>
    <w:rsid w:val="00276389"/>
    <w:rsid w:val="0028097C"/>
    <w:rsid w:val="00285259"/>
    <w:rsid w:val="002860A2"/>
    <w:rsid w:val="00286687"/>
    <w:rsid w:val="00286B3C"/>
    <w:rsid w:val="00286CDF"/>
    <w:rsid w:val="00290FF4"/>
    <w:rsid w:val="00291C7B"/>
    <w:rsid w:val="00293280"/>
    <w:rsid w:val="002970AA"/>
    <w:rsid w:val="002A31A2"/>
    <w:rsid w:val="002A3AED"/>
    <w:rsid w:val="002A3E7A"/>
    <w:rsid w:val="002A404A"/>
    <w:rsid w:val="002A453D"/>
    <w:rsid w:val="002A471E"/>
    <w:rsid w:val="002A47E4"/>
    <w:rsid w:val="002A6278"/>
    <w:rsid w:val="002A628A"/>
    <w:rsid w:val="002B0F50"/>
    <w:rsid w:val="002B3A4F"/>
    <w:rsid w:val="002B5203"/>
    <w:rsid w:val="002B55B9"/>
    <w:rsid w:val="002B5817"/>
    <w:rsid w:val="002C0277"/>
    <w:rsid w:val="002C09B0"/>
    <w:rsid w:val="002C18A0"/>
    <w:rsid w:val="002C23AF"/>
    <w:rsid w:val="002C2C80"/>
    <w:rsid w:val="002C420D"/>
    <w:rsid w:val="002C4845"/>
    <w:rsid w:val="002C63B1"/>
    <w:rsid w:val="002C67FA"/>
    <w:rsid w:val="002D1539"/>
    <w:rsid w:val="002D5AF3"/>
    <w:rsid w:val="002D639E"/>
    <w:rsid w:val="002D6A22"/>
    <w:rsid w:val="002D6EDB"/>
    <w:rsid w:val="002E1471"/>
    <w:rsid w:val="002E2041"/>
    <w:rsid w:val="002E2652"/>
    <w:rsid w:val="002E335F"/>
    <w:rsid w:val="002E5B31"/>
    <w:rsid w:val="002E7DA8"/>
    <w:rsid w:val="002F0CD8"/>
    <w:rsid w:val="002F1399"/>
    <w:rsid w:val="002F21AF"/>
    <w:rsid w:val="002F2233"/>
    <w:rsid w:val="002F2FE1"/>
    <w:rsid w:val="002F3662"/>
    <w:rsid w:val="002F40E2"/>
    <w:rsid w:val="002F4C59"/>
    <w:rsid w:val="002F4F77"/>
    <w:rsid w:val="00300163"/>
    <w:rsid w:val="00300DE9"/>
    <w:rsid w:val="003022F3"/>
    <w:rsid w:val="00302BFF"/>
    <w:rsid w:val="00302F41"/>
    <w:rsid w:val="0030473D"/>
    <w:rsid w:val="003116B9"/>
    <w:rsid w:val="00311894"/>
    <w:rsid w:val="00311EF8"/>
    <w:rsid w:val="003139A1"/>
    <w:rsid w:val="00315724"/>
    <w:rsid w:val="00320461"/>
    <w:rsid w:val="0032070B"/>
    <w:rsid w:val="00320A51"/>
    <w:rsid w:val="00320D98"/>
    <w:rsid w:val="00321B41"/>
    <w:rsid w:val="00321C2C"/>
    <w:rsid w:val="00321F64"/>
    <w:rsid w:val="0032356D"/>
    <w:rsid w:val="00326037"/>
    <w:rsid w:val="00326299"/>
    <w:rsid w:val="00327982"/>
    <w:rsid w:val="0033034C"/>
    <w:rsid w:val="00332257"/>
    <w:rsid w:val="00332362"/>
    <w:rsid w:val="00333999"/>
    <w:rsid w:val="00337D1A"/>
    <w:rsid w:val="00337F5A"/>
    <w:rsid w:val="003428AA"/>
    <w:rsid w:val="00342F9A"/>
    <w:rsid w:val="003432BC"/>
    <w:rsid w:val="00343682"/>
    <w:rsid w:val="003446C2"/>
    <w:rsid w:val="003449C3"/>
    <w:rsid w:val="00345ABB"/>
    <w:rsid w:val="00345B99"/>
    <w:rsid w:val="00346748"/>
    <w:rsid w:val="00346A58"/>
    <w:rsid w:val="003510D9"/>
    <w:rsid w:val="00352116"/>
    <w:rsid w:val="0035223E"/>
    <w:rsid w:val="00361D77"/>
    <w:rsid w:val="003640D0"/>
    <w:rsid w:val="0036647B"/>
    <w:rsid w:val="003678E4"/>
    <w:rsid w:val="00370516"/>
    <w:rsid w:val="00371721"/>
    <w:rsid w:val="00371E6A"/>
    <w:rsid w:val="00372A37"/>
    <w:rsid w:val="00372F8C"/>
    <w:rsid w:val="00374D99"/>
    <w:rsid w:val="00375A0F"/>
    <w:rsid w:val="00376DCA"/>
    <w:rsid w:val="0037793D"/>
    <w:rsid w:val="00377FCE"/>
    <w:rsid w:val="00381B05"/>
    <w:rsid w:val="0038235A"/>
    <w:rsid w:val="00382909"/>
    <w:rsid w:val="0038553E"/>
    <w:rsid w:val="003867BB"/>
    <w:rsid w:val="00391815"/>
    <w:rsid w:val="0039312A"/>
    <w:rsid w:val="00393F41"/>
    <w:rsid w:val="003953E5"/>
    <w:rsid w:val="00395836"/>
    <w:rsid w:val="003960E9"/>
    <w:rsid w:val="00396705"/>
    <w:rsid w:val="003A0F1C"/>
    <w:rsid w:val="003A22B0"/>
    <w:rsid w:val="003A310A"/>
    <w:rsid w:val="003A3532"/>
    <w:rsid w:val="003A5EF6"/>
    <w:rsid w:val="003A6610"/>
    <w:rsid w:val="003A7250"/>
    <w:rsid w:val="003A7E8B"/>
    <w:rsid w:val="003B38F0"/>
    <w:rsid w:val="003B3FBA"/>
    <w:rsid w:val="003B5C70"/>
    <w:rsid w:val="003B5DD0"/>
    <w:rsid w:val="003B5F19"/>
    <w:rsid w:val="003B6869"/>
    <w:rsid w:val="003B7127"/>
    <w:rsid w:val="003B730E"/>
    <w:rsid w:val="003C26FF"/>
    <w:rsid w:val="003C6BFF"/>
    <w:rsid w:val="003C6E26"/>
    <w:rsid w:val="003C7105"/>
    <w:rsid w:val="003D03A7"/>
    <w:rsid w:val="003D0444"/>
    <w:rsid w:val="003D6F03"/>
    <w:rsid w:val="003E0296"/>
    <w:rsid w:val="003E100D"/>
    <w:rsid w:val="003E176F"/>
    <w:rsid w:val="003E1AA7"/>
    <w:rsid w:val="003E29FC"/>
    <w:rsid w:val="003E333F"/>
    <w:rsid w:val="003E495C"/>
    <w:rsid w:val="003E4D99"/>
    <w:rsid w:val="003E5A00"/>
    <w:rsid w:val="003E5CCA"/>
    <w:rsid w:val="003E76CE"/>
    <w:rsid w:val="003E76D3"/>
    <w:rsid w:val="003E7CDA"/>
    <w:rsid w:val="003E7EB4"/>
    <w:rsid w:val="003F060F"/>
    <w:rsid w:val="003F08FA"/>
    <w:rsid w:val="003F16A0"/>
    <w:rsid w:val="003F1FFC"/>
    <w:rsid w:val="003F3F4B"/>
    <w:rsid w:val="003F5345"/>
    <w:rsid w:val="003F750B"/>
    <w:rsid w:val="0040107F"/>
    <w:rsid w:val="004015AE"/>
    <w:rsid w:val="00401A88"/>
    <w:rsid w:val="00403771"/>
    <w:rsid w:val="00405390"/>
    <w:rsid w:val="0040629F"/>
    <w:rsid w:val="00406429"/>
    <w:rsid w:val="00410BF3"/>
    <w:rsid w:val="00411E24"/>
    <w:rsid w:val="00413015"/>
    <w:rsid w:val="00413D45"/>
    <w:rsid w:val="004155D3"/>
    <w:rsid w:val="00416338"/>
    <w:rsid w:val="00416D86"/>
    <w:rsid w:val="00417078"/>
    <w:rsid w:val="00417268"/>
    <w:rsid w:val="00420513"/>
    <w:rsid w:val="004206A8"/>
    <w:rsid w:val="004210C5"/>
    <w:rsid w:val="0042239E"/>
    <w:rsid w:val="004233B9"/>
    <w:rsid w:val="004241E6"/>
    <w:rsid w:val="00424B58"/>
    <w:rsid w:val="004275D4"/>
    <w:rsid w:val="00427CF4"/>
    <w:rsid w:val="0043052E"/>
    <w:rsid w:val="004314FA"/>
    <w:rsid w:val="00433851"/>
    <w:rsid w:val="004344C4"/>
    <w:rsid w:val="004346BD"/>
    <w:rsid w:val="004346F1"/>
    <w:rsid w:val="00437921"/>
    <w:rsid w:val="004403A8"/>
    <w:rsid w:val="0044476F"/>
    <w:rsid w:val="004454B3"/>
    <w:rsid w:val="00447A08"/>
    <w:rsid w:val="00450584"/>
    <w:rsid w:val="00450718"/>
    <w:rsid w:val="00450D6E"/>
    <w:rsid w:val="004531CC"/>
    <w:rsid w:val="004531ED"/>
    <w:rsid w:val="00453A8D"/>
    <w:rsid w:val="00455457"/>
    <w:rsid w:val="004574B8"/>
    <w:rsid w:val="00460D59"/>
    <w:rsid w:val="00462449"/>
    <w:rsid w:val="004625BF"/>
    <w:rsid w:val="00464248"/>
    <w:rsid w:val="00464BC5"/>
    <w:rsid w:val="00465DDD"/>
    <w:rsid w:val="00465E0A"/>
    <w:rsid w:val="0046696E"/>
    <w:rsid w:val="004700FF"/>
    <w:rsid w:val="00471338"/>
    <w:rsid w:val="00471919"/>
    <w:rsid w:val="0047245C"/>
    <w:rsid w:val="004743EB"/>
    <w:rsid w:val="00475C4C"/>
    <w:rsid w:val="00476506"/>
    <w:rsid w:val="00480A2C"/>
    <w:rsid w:val="00480EAE"/>
    <w:rsid w:val="004819A4"/>
    <w:rsid w:val="00481BC7"/>
    <w:rsid w:val="00481FE4"/>
    <w:rsid w:val="00482A26"/>
    <w:rsid w:val="004842B8"/>
    <w:rsid w:val="00484740"/>
    <w:rsid w:val="00484878"/>
    <w:rsid w:val="004848FA"/>
    <w:rsid w:val="00485D99"/>
    <w:rsid w:val="004862D5"/>
    <w:rsid w:val="00491D98"/>
    <w:rsid w:val="00492173"/>
    <w:rsid w:val="00493D5C"/>
    <w:rsid w:val="00494099"/>
    <w:rsid w:val="00495D33"/>
    <w:rsid w:val="004961E0"/>
    <w:rsid w:val="004971CC"/>
    <w:rsid w:val="0049740D"/>
    <w:rsid w:val="0049763A"/>
    <w:rsid w:val="004A0A91"/>
    <w:rsid w:val="004A1253"/>
    <w:rsid w:val="004A5010"/>
    <w:rsid w:val="004A62D2"/>
    <w:rsid w:val="004B2A94"/>
    <w:rsid w:val="004B3363"/>
    <w:rsid w:val="004B3953"/>
    <w:rsid w:val="004B44FC"/>
    <w:rsid w:val="004B5F23"/>
    <w:rsid w:val="004C02FD"/>
    <w:rsid w:val="004C13B8"/>
    <w:rsid w:val="004C1557"/>
    <w:rsid w:val="004C171C"/>
    <w:rsid w:val="004C21EB"/>
    <w:rsid w:val="004C293A"/>
    <w:rsid w:val="004C3107"/>
    <w:rsid w:val="004C3631"/>
    <w:rsid w:val="004C50CC"/>
    <w:rsid w:val="004C5C0F"/>
    <w:rsid w:val="004C70A4"/>
    <w:rsid w:val="004D313B"/>
    <w:rsid w:val="004D4538"/>
    <w:rsid w:val="004D4843"/>
    <w:rsid w:val="004D7B80"/>
    <w:rsid w:val="004E2935"/>
    <w:rsid w:val="004E4A59"/>
    <w:rsid w:val="004E4C10"/>
    <w:rsid w:val="004E4F3A"/>
    <w:rsid w:val="004E5406"/>
    <w:rsid w:val="004E559B"/>
    <w:rsid w:val="004E5A56"/>
    <w:rsid w:val="004E6A1A"/>
    <w:rsid w:val="004F0373"/>
    <w:rsid w:val="004F05E1"/>
    <w:rsid w:val="004F1B59"/>
    <w:rsid w:val="004F5BA9"/>
    <w:rsid w:val="004F603D"/>
    <w:rsid w:val="00501006"/>
    <w:rsid w:val="00503672"/>
    <w:rsid w:val="00503AA6"/>
    <w:rsid w:val="00507D05"/>
    <w:rsid w:val="005109F9"/>
    <w:rsid w:val="00512B23"/>
    <w:rsid w:val="00512DEE"/>
    <w:rsid w:val="005141A6"/>
    <w:rsid w:val="00515762"/>
    <w:rsid w:val="00515A86"/>
    <w:rsid w:val="0052280D"/>
    <w:rsid w:val="00522C05"/>
    <w:rsid w:val="00524356"/>
    <w:rsid w:val="00525BC7"/>
    <w:rsid w:val="00530CB1"/>
    <w:rsid w:val="00531AD5"/>
    <w:rsid w:val="005331B6"/>
    <w:rsid w:val="00533BC9"/>
    <w:rsid w:val="00533D17"/>
    <w:rsid w:val="0053401D"/>
    <w:rsid w:val="00534046"/>
    <w:rsid w:val="00534FD5"/>
    <w:rsid w:val="00535184"/>
    <w:rsid w:val="00535AD3"/>
    <w:rsid w:val="0053730B"/>
    <w:rsid w:val="00537D5A"/>
    <w:rsid w:val="005406AE"/>
    <w:rsid w:val="0054282C"/>
    <w:rsid w:val="00542AC3"/>
    <w:rsid w:val="00542B3D"/>
    <w:rsid w:val="00543792"/>
    <w:rsid w:val="00545710"/>
    <w:rsid w:val="005467E0"/>
    <w:rsid w:val="00546BB8"/>
    <w:rsid w:val="0054704C"/>
    <w:rsid w:val="00547241"/>
    <w:rsid w:val="005474A6"/>
    <w:rsid w:val="00547FD7"/>
    <w:rsid w:val="00552425"/>
    <w:rsid w:val="00554B05"/>
    <w:rsid w:val="005577BB"/>
    <w:rsid w:val="00560A6C"/>
    <w:rsid w:val="005620BF"/>
    <w:rsid w:val="00562B3D"/>
    <w:rsid w:val="00563127"/>
    <w:rsid w:val="00564EE9"/>
    <w:rsid w:val="00566290"/>
    <w:rsid w:val="005731E4"/>
    <w:rsid w:val="005731FD"/>
    <w:rsid w:val="00573C10"/>
    <w:rsid w:val="00573EE8"/>
    <w:rsid w:val="00575C64"/>
    <w:rsid w:val="00575C8C"/>
    <w:rsid w:val="00575E51"/>
    <w:rsid w:val="00576746"/>
    <w:rsid w:val="005809E3"/>
    <w:rsid w:val="005838FC"/>
    <w:rsid w:val="00584B1A"/>
    <w:rsid w:val="005900CB"/>
    <w:rsid w:val="005929AE"/>
    <w:rsid w:val="00592AFD"/>
    <w:rsid w:val="005946E8"/>
    <w:rsid w:val="005967B1"/>
    <w:rsid w:val="005972DE"/>
    <w:rsid w:val="005A12E7"/>
    <w:rsid w:val="005A1717"/>
    <w:rsid w:val="005A1ABA"/>
    <w:rsid w:val="005A488D"/>
    <w:rsid w:val="005A7836"/>
    <w:rsid w:val="005A7EEB"/>
    <w:rsid w:val="005B2455"/>
    <w:rsid w:val="005B2F62"/>
    <w:rsid w:val="005B42BA"/>
    <w:rsid w:val="005B4D33"/>
    <w:rsid w:val="005B4D63"/>
    <w:rsid w:val="005B4FFE"/>
    <w:rsid w:val="005B55C8"/>
    <w:rsid w:val="005B65E5"/>
    <w:rsid w:val="005B73DB"/>
    <w:rsid w:val="005B7C93"/>
    <w:rsid w:val="005C03FB"/>
    <w:rsid w:val="005C26F9"/>
    <w:rsid w:val="005C2804"/>
    <w:rsid w:val="005C3D63"/>
    <w:rsid w:val="005C3FC1"/>
    <w:rsid w:val="005C4106"/>
    <w:rsid w:val="005C4DFF"/>
    <w:rsid w:val="005D020B"/>
    <w:rsid w:val="005D0A1B"/>
    <w:rsid w:val="005D1A2E"/>
    <w:rsid w:val="005D4468"/>
    <w:rsid w:val="005D4DD2"/>
    <w:rsid w:val="005D5E0F"/>
    <w:rsid w:val="005D7855"/>
    <w:rsid w:val="005E361A"/>
    <w:rsid w:val="005E3C1B"/>
    <w:rsid w:val="005E41B0"/>
    <w:rsid w:val="005E5DF5"/>
    <w:rsid w:val="005F2289"/>
    <w:rsid w:val="005F2AB5"/>
    <w:rsid w:val="005F58BA"/>
    <w:rsid w:val="005F6E36"/>
    <w:rsid w:val="00600495"/>
    <w:rsid w:val="006009B6"/>
    <w:rsid w:val="00601659"/>
    <w:rsid w:val="00604001"/>
    <w:rsid w:val="0060603D"/>
    <w:rsid w:val="00607900"/>
    <w:rsid w:val="0061028B"/>
    <w:rsid w:val="00612187"/>
    <w:rsid w:val="006127F6"/>
    <w:rsid w:val="0061284C"/>
    <w:rsid w:val="006128F0"/>
    <w:rsid w:val="0061392F"/>
    <w:rsid w:val="00613B9B"/>
    <w:rsid w:val="00616500"/>
    <w:rsid w:val="00620267"/>
    <w:rsid w:val="00622814"/>
    <w:rsid w:val="006237F6"/>
    <w:rsid w:val="00623951"/>
    <w:rsid w:val="00623C01"/>
    <w:rsid w:val="00623E65"/>
    <w:rsid w:val="00626048"/>
    <w:rsid w:val="0062612F"/>
    <w:rsid w:val="00626A05"/>
    <w:rsid w:val="006304E8"/>
    <w:rsid w:val="006312A7"/>
    <w:rsid w:val="00631F7F"/>
    <w:rsid w:val="00632C8D"/>
    <w:rsid w:val="00634135"/>
    <w:rsid w:val="006351B0"/>
    <w:rsid w:val="00635230"/>
    <w:rsid w:val="0063588E"/>
    <w:rsid w:val="00635A08"/>
    <w:rsid w:val="00636BCF"/>
    <w:rsid w:val="00637633"/>
    <w:rsid w:val="00637ABC"/>
    <w:rsid w:val="00637AD0"/>
    <w:rsid w:val="00640443"/>
    <w:rsid w:val="0064047A"/>
    <w:rsid w:val="00641049"/>
    <w:rsid w:val="0064110C"/>
    <w:rsid w:val="006422EE"/>
    <w:rsid w:val="00644D87"/>
    <w:rsid w:val="006460B3"/>
    <w:rsid w:val="0065082D"/>
    <w:rsid w:val="006508AE"/>
    <w:rsid w:val="0065406F"/>
    <w:rsid w:val="00654295"/>
    <w:rsid w:val="00655CDE"/>
    <w:rsid w:val="00657175"/>
    <w:rsid w:val="00661342"/>
    <w:rsid w:val="00661FCE"/>
    <w:rsid w:val="006626D7"/>
    <w:rsid w:val="006634DF"/>
    <w:rsid w:val="00663D89"/>
    <w:rsid w:val="0066529E"/>
    <w:rsid w:val="00665392"/>
    <w:rsid w:val="006667E6"/>
    <w:rsid w:val="006726E7"/>
    <w:rsid w:val="006733A5"/>
    <w:rsid w:val="00674328"/>
    <w:rsid w:val="0067444E"/>
    <w:rsid w:val="006768EF"/>
    <w:rsid w:val="006819BC"/>
    <w:rsid w:val="0068344E"/>
    <w:rsid w:val="00684265"/>
    <w:rsid w:val="00685B49"/>
    <w:rsid w:val="00690F8B"/>
    <w:rsid w:val="0069111F"/>
    <w:rsid w:val="00692DFD"/>
    <w:rsid w:val="006959BB"/>
    <w:rsid w:val="006A11E5"/>
    <w:rsid w:val="006A1D56"/>
    <w:rsid w:val="006A397B"/>
    <w:rsid w:val="006A3E40"/>
    <w:rsid w:val="006A3E45"/>
    <w:rsid w:val="006A3EAC"/>
    <w:rsid w:val="006A5333"/>
    <w:rsid w:val="006A69AF"/>
    <w:rsid w:val="006A7383"/>
    <w:rsid w:val="006A7A03"/>
    <w:rsid w:val="006A7DED"/>
    <w:rsid w:val="006B5957"/>
    <w:rsid w:val="006B5FC9"/>
    <w:rsid w:val="006B7A48"/>
    <w:rsid w:val="006C072E"/>
    <w:rsid w:val="006C4403"/>
    <w:rsid w:val="006C5804"/>
    <w:rsid w:val="006C58A6"/>
    <w:rsid w:val="006C5921"/>
    <w:rsid w:val="006C5F6E"/>
    <w:rsid w:val="006C635F"/>
    <w:rsid w:val="006C6B3B"/>
    <w:rsid w:val="006C6C97"/>
    <w:rsid w:val="006D26C7"/>
    <w:rsid w:val="006D374D"/>
    <w:rsid w:val="006D37F6"/>
    <w:rsid w:val="006D5DC2"/>
    <w:rsid w:val="006D642D"/>
    <w:rsid w:val="006D689F"/>
    <w:rsid w:val="006E065D"/>
    <w:rsid w:val="006E14CA"/>
    <w:rsid w:val="006E2107"/>
    <w:rsid w:val="006E2470"/>
    <w:rsid w:val="006E7F9F"/>
    <w:rsid w:val="006F0A9B"/>
    <w:rsid w:val="006F21E3"/>
    <w:rsid w:val="006F2CD8"/>
    <w:rsid w:val="006F3073"/>
    <w:rsid w:val="007017E5"/>
    <w:rsid w:val="0070292C"/>
    <w:rsid w:val="0070341D"/>
    <w:rsid w:val="007036A8"/>
    <w:rsid w:val="007058B0"/>
    <w:rsid w:val="0071039A"/>
    <w:rsid w:val="00710513"/>
    <w:rsid w:val="00711C28"/>
    <w:rsid w:val="007121DC"/>
    <w:rsid w:val="0071364C"/>
    <w:rsid w:val="007151CF"/>
    <w:rsid w:val="00716A4E"/>
    <w:rsid w:val="00717671"/>
    <w:rsid w:val="00721E45"/>
    <w:rsid w:val="007221DF"/>
    <w:rsid w:val="00722853"/>
    <w:rsid w:val="00725813"/>
    <w:rsid w:val="007264DE"/>
    <w:rsid w:val="00726502"/>
    <w:rsid w:val="0072659E"/>
    <w:rsid w:val="00727184"/>
    <w:rsid w:val="00727F8B"/>
    <w:rsid w:val="007306D4"/>
    <w:rsid w:val="0073156A"/>
    <w:rsid w:val="00732731"/>
    <w:rsid w:val="00736DFE"/>
    <w:rsid w:val="00737CC7"/>
    <w:rsid w:val="0074044D"/>
    <w:rsid w:val="00740635"/>
    <w:rsid w:val="00741874"/>
    <w:rsid w:val="0074265D"/>
    <w:rsid w:val="007433FD"/>
    <w:rsid w:val="00743873"/>
    <w:rsid w:val="00744094"/>
    <w:rsid w:val="00745FF7"/>
    <w:rsid w:val="00746F03"/>
    <w:rsid w:val="0075631E"/>
    <w:rsid w:val="00757B90"/>
    <w:rsid w:val="00757F4D"/>
    <w:rsid w:val="00760DDE"/>
    <w:rsid w:val="00762538"/>
    <w:rsid w:val="00762BDE"/>
    <w:rsid w:val="00763698"/>
    <w:rsid w:val="00763F6C"/>
    <w:rsid w:val="0076406B"/>
    <w:rsid w:val="007662C7"/>
    <w:rsid w:val="00767B0D"/>
    <w:rsid w:val="00770DF6"/>
    <w:rsid w:val="00771AAA"/>
    <w:rsid w:val="00772E81"/>
    <w:rsid w:val="00773E5C"/>
    <w:rsid w:val="00774788"/>
    <w:rsid w:val="007758B9"/>
    <w:rsid w:val="00776355"/>
    <w:rsid w:val="00776972"/>
    <w:rsid w:val="00776BA2"/>
    <w:rsid w:val="00776FAC"/>
    <w:rsid w:val="007772C2"/>
    <w:rsid w:val="00777317"/>
    <w:rsid w:val="007800A4"/>
    <w:rsid w:val="00780EC4"/>
    <w:rsid w:val="0078288E"/>
    <w:rsid w:val="00783C01"/>
    <w:rsid w:val="00785C9F"/>
    <w:rsid w:val="0078693F"/>
    <w:rsid w:val="00786A2D"/>
    <w:rsid w:val="0079020E"/>
    <w:rsid w:val="00790B44"/>
    <w:rsid w:val="00791BCF"/>
    <w:rsid w:val="00792D5C"/>
    <w:rsid w:val="007957EC"/>
    <w:rsid w:val="007972DD"/>
    <w:rsid w:val="00797472"/>
    <w:rsid w:val="0079764E"/>
    <w:rsid w:val="00797E16"/>
    <w:rsid w:val="007A05B3"/>
    <w:rsid w:val="007A060B"/>
    <w:rsid w:val="007A14AC"/>
    <w:rsid w:val="007A1A82"/>
    <w:rsid w:val="007A2107"/>
    <w:rsid w:val="007A2161"/>
    <w:rsid w:val="007A27C5"/>
    <w:rsid w:val="007A4CB2"/>
    <w:rsid w:val="007A4FAD"/>
    <w:rsid w:val="007A7EF4"/>
    <w:rsid w:val="007B0758"/>
    <w:rsid w:val="007B2EC5"/>
    <w:rsid w:val="007B3F19"/>
    <w:rsid w:val="007B4BE1"/>
    <w:rsid w:val="007B7C29"/>
    <w:rsid w:val="007C4375"/>
    <w:rsid w:val="007C60AF"/>
    <w:rsid w:val="007C6DF3"/>
    <w:rsid w:val="007D0870"/>
    <w:rsid w:val="007D0C2D"/>
    <w:rsid w:val="007D1413"/>
    <w:rsid w:val="007D1AD2"/>
    <w:rsid w:val="007D292A"/>
    <w:rsid w:val="007D4A10"/>
    <w:rsid w:val="007D6862"/>
    <w:rsid w:val="007D76B0"/>
    <w:rsid w:val="007E0487"/>
    <w:rsid w:val="007E1799"/>
    <w:rsid w:val="007E2568"/>
    <w:rsid w:val="007E2B58"/>
    <w:rsid w:val="007E38A5"/>
    <w:rsid w:val="007E4756"/>
    <w:rsid w:val="007E4B62"/>
    <w:rsid w:val="007E6481"/>
    <w:rsid w:val="007E6701"/>
    <w:rsid w:val="007E7C77"/>
    <w:rsid w:val="007F0108"/>
    <w:rsid w:val="007F1BC2"/>
    <w:rsid w:val="007F2118"/>
    <w:rsid w:val="007F2FC6"/>
    <w:rsid w:val="007F3356"/>
    <w:rsid w:val="007F3449"/>
    <w:rsid w:val="007F6547"/>
    <w:rsid w:val="008016AF"/>
    <w:rsid w:val="008016B7"/>
    <w:rsid w:val="0080261B"/>
    <w:rsid w:val="008026E2"/>
    <w:rsid w:val="008046AC"/>
    <w:rsid w:val="008047B6"/>
    <w:rsid w:val="00804B4A"/>
    <w:rsid w:val="008070A4"/>
    <w:rsid w:val="0080721A"/>
    <w:rsid w:val="0081004F"/>
    <w:rsid w:val="00811602"/>
    <w:rsid w:val="0081164D"/>
    <w:rsid w:val="008159FA"/>
    <w:rsid w:val="008161A0"/>
    <w:rsid w:val="00820537"/>
    <w:rsid w:val="00821862"/>
    <w:rsid w:val="00821E18"/>
    <w:rsid w:val="00822B68"/>
    <w:rsid w:val="0082351B"/>
    <w:rsid w:val="008252FB"/>
    <w:rsid w:val="00827289"/>
    <w:rsid w:val="00827946"/>
    <w:rsid w:val="008309F9"/>
    <w:rsid w:val="00830A8B"/>
    <w:rsid w:val="00831394"/>
    <w:rsid w:val="00831B63"/>
    <w:rsid w:val="00832744"/>
    <w:rsid w:val="0083351D"/>
    <w:rsid w:val="00833D9E"/>
    <w:rsid w:val="00834A7A"/>
    <w:rsid w:val="00834F8D"/>
    <w:rsid w:val="008368B3"/>
    <w:rsid w:val="00837BFE"/>
    <w:rsid w:val="00841C14"/>
    <w:rsid w:val="00843239"/>
    <w:rsid w:val="00847C78"/>
    <w:rsid w:val="00853E1F"/>
    <w:rsid w:val="00856317"/>
    <w:rsid w:val="0085667E"/>
    <w:rsid w:val="00861C4C"/>
    <w:rsid w:val="00863596"/>
    <w:rsid w:val="008636B9"/>
    <w:rsid w:val="00865282"/>
    <w:rsid w:val="00865889"/>
    <w:rsid w:val="00865AC9"/>
    <w:rsid w:val="00866C7B"/>
    <w:rsid w:val="00867AC7"/>
    <w:rsid w:val="00870D7F"/>
    <w:rsid w:val="008716E2"/>
    <w:rsid w:val="00871ED9"/>
    <w:rsid w:val="00873E88"/>
    <w:rsid w:val="00875204"/>
    <w:rsid w:val="00875F5C"/>
    <w:rsid w:val="00876E2C"/>
    <w:rsid w:val="0088231D"/>
    <w:rsid w:val="00882EBB"/>
    <w:rsid w:val="008837EA"/>
    <w:rsid w:val="00885CE1"/>
    <w:rsid w:val="00885F25"/>
    <w:rsid w:val="00886150"/>
    <w:rsid w:val="00887C82"/>
    <w:rsid w:val="00891713"/>
    <w:rsid w:val="008933A0"/>
    <w:rsid w:val="008947CE"/>
    <w:rsid w:val="0089566D"/>
    <w:rsid w:val="00896921"/>
    <w:rsid w:val="00896AF2"/>
    <w:rsid w:val="008A178E"/>
    <w:rsid w:val="008A1D09"/>
    <w:rsid w:val="008A21F5"/>
    <w:rsid w:val="008A302F"/>
    <w:rsid w:val="008A3958"/>
    <w:rsid w:val="008A4AC6"/>
    <w:rsid w:val="008A6715"/>
    <w:rsid w:val="008B011B"/>
    <w:rsid w:val="008B1495"/>
    <w:rsid w:val="008B3192"/>
    <w:rsid w:val="008B4885"/>
    <w:rsid w:val="008B4A99"/>
    <w:rsid w:val="008B57A0"/>
    <w:rsid w:val="008B6658"/>
    <w:rsid w:val="008B6A04"/>
    <w:rsid w:val="008C0676"/>
    <w:rsid w:val="008C1A78"/>
    <w:rsid w:val="008C1D7A"/>
    <w:rsid w:val="008C1ECB"/>
    <w:rsid w:val="008C3C43"/>
    <w:rsid w:val="008C3D7E"/>
    <w:rsid w:val="008C6017"/>
    <w:rsid w:val="008C7538"/>
    <w:rsid w:val="008C79A2"/>
    <w:rsid w:val="008D2C2B"/>
    <w:rsid w:val="008D3014"/>
    <w:rsid w:val="008D3B70"/>
    <w:rsid w:val="008E0764"/>
    <w:rsid w:val="008E1079"/>
    <w:rsid w:val="008E3709"/>
    <w:rsid w:val="008E3F68"/>
    <w:rsid w:val="008E74BF"/>
    <w:rsid w:val="008E7E95"/>
    <w:rsid w:val="008F2B13"/>
    <w:rsid w:val="008F3A75"/>
    <w:rsid w:val="008F3FEA"/>
    <w:rsid w:val="008F5928"/>
    <w:rsid w:val="008F6815"/>
    <w:rsid w:val="008F6998"/>
    <w:rsid w:val="008F6C79"/>
    <w:rsid w:val="00901E08"/>
    <w:rsid w:val="00901F26"/>
    <w:rsid w:val="0090274E"/>
    <w:rsid w:val="0090360E"/>
    <w:rsid w:val="00903733"/>
    <w:rsid w:val="00912233"/>
    <w:rsid w:val="00913AE0"/>
    <w:rsid w:val="00913F77"/>
    <w:rsid w:val="00914C74"/>
    <w:rsid w:val="009155BA"/>
    <w:rsid w:val="00917939"/>
    <w:rsid w:val="00921A8F"/>
    <w:rsid w:val="0092219F"/>
    <w:rsid w:val="009243B6"/>
    <w:rsid w:val="0092486F"/>
    <w:rsid w:val="00924900"/>
    <w:rsid w:val="0092552C"/>
    <w:rsid w:val="009256C9"/>
    <w:rsid w:val="00925B68"/>
    <w:rsid w:val="00925F98"/>
    <w:rsid w:val="00927484"/>
    <w:rsid w:val="00927EA8"/>
    <w:rsid w:val="00927FFA"/>
    <w:rsid w:val="00931884"/>
    <w:rsid w:val="00933E08"/>
    <w:rsid w:val="00933FD7"/>
    <w:rsid w:val="00934359"/>
    <w:rsid w:val="00934E42"/>
    <w:rsid w:val="00935EC2"/>
    <w:rsid w:val="00936525"/>
    <w:rsid w:val="0093654C"/>
    <w:rsid w:val="009409A3"/>
    <w:rsid w:val="00940F9C"/>
    <w:rsid w:val="00942850"/>
    <w:rsid w:val="00942880"/>
    <w:rsid w:val="0094697B"/>
    <w:rsid w:val="00950837"/>
    <w:rsid w:val="009515A5"/>
    <w:rsid w:val="00952EA1"/>
    <w:rsid w:val="00953A3F"/>
    <w:rsid w:val="00954894"/>
    <w:rsid w:val="00954EBE"/>
    <w:rsid w:val="00955F77"/>
    <w:rsid w:val="00956139"/>
    <w:rsid w:val="009564DA"/>
    <w:rsid w:val="00956C0A"/>
    <w:rsid w:val="00956EEB"/>
    <w:rsid w:val="00960367"/>
    <w:rsid w:val="009609D8"/>
    <w:rsid w:val="00961179"/>
    <w:rsid w:val="00961AFE"/>
    <w:rsid w:val="00962530"/>
    <w:rsid w:val="00963442"/>
    <w:rsid w:val="009642A3"/>
    <w:rsid w:val="00964B9C"/>
    <w:rsid w:val="00964EB0"/>
    <w:rsid w:val="00965AA3"/>
    <w:rsid w:val="00966565"/>
    <w:rsid w:val="00967217"/>
    <w:rsid w:val="00970078"/>
    <w:rsid w:val="00970D87"/>
    <w:rsid w:val="00971F31"/>
    <w:rsid w:val="0097200A"/>
    <w:rsid w:val="0097237A"/>
    <w:rsid w:val="009725A8"/>
    <w:rsid w:val="00973494"/>
    <w:rsid w:val="009740DB"/>
    <w:rsid w:val="0097443D"/>
    <w:rsid w:val="00974B3A"/>
    <w:rsid w:val="00975244"/>
    <w:rsid w:val="00975905"/>
    <w:rsid w:val="009767EA"/>
    <w:rsid w:val="0097752D"/>
    <w:rsid w:val="00980D89"/>
    <w:rsid w:val="009842CD"/>
    <w:rsid w:val="009864C3"/>
    <w:rsid w:val="00987F27"/>
    <w:rsid w:val="00990E4D"/>
    <w:rsid w:val="00991D22"/>
    <w:rsid w:val="00991D45"/>
    <w:rsid w:val="00991DB3"/>
    <w:rsid w:val="00995A28"/>
    <w:rsid w:val="00995AA9"/>
    <w:rsid w:val="00995E40"/>
    <w:rsid w:val="0099607E"/>
    <w:rsid w:val="00996875"/>
    <w:rsid w:val="00997840"/>
    <w:rsid w:val="009A0561"/>
    <w:rsid w:val="009A08D8"/>
    <w:rsid w:val="009A25E5"/>
    <w:rsid w:val="009A4364"/>
    <w:rsid w:val="009A4C60"/>
    <w:rsid w:val="009A5312"/>
    <w:rsid w:val="009A5A7F"/>
    <w:rsid w:val="009A5B9F"/>
    <w:rsid w:val="009A5D09"/>
    <w:rsid w:val="009A6010"/>
    <w:rsid w:val="009A6EDF"/>
    <w:rsid w:val="009A7932"/>
    <w:rsid w:val="009B181C"/>
    <w:rsid w:val="009B1B35"/>
    <w:rsid w:val="009B21E7"/>
    <w:rsid w:val="009B2860"/>
    <w:rsid w:val="009B28A9"/>
    <w:rsid w:val="009B2AD6"/>
    <w:rsid w:val="009B2F9A"/>
    <w:rsid w:val="009B32A7"/>
    <w:rsid w:val="009B32C9"/>
    <w:rsid w:val="009B4BFC"/>
    <w:rsid w:val="009B4EA2"/>
    <w:rsid w:val="009B5ACF"/>
    <w:rsid w:val="009B7AC6"/>
    <w:rsid w:val="009C1F4C"/>
    <w:rsid w:val="009C2DFF"/>
    <w:rsid w:val="009C37B2"/>
    <w:rsid w:val="009C41DE"/>
    <w:rsid w:val="009C4F6D"/>
    <w:rsid w:val="009C507F"/>
    <w:rsid w:val="009C7C11"/>
    <w:rsid w:val="009D1283"/>
    <w:rsid w:val="009D1F7C"/>
    <w:rsid w:val="009D413E"/>
    <w:rsid w:val="009D424D"/>
    <w:rsid w:val="009D4767"/>
    <w:rsid w:val="009D4C22"/>
    <w:rsid w:val="009D6768"/>
    <w:rsid w:val="009D6D20"/>
    <w:rsid w:val="009D7225"/>
    <w:rsid w:val="009E2F7E"/>
    <w:rsid w:val="009E403D"/>
    <w:rsid w:val="009E445B"/>
    <w:rsid w:val="009E5720"/>
    <w:rsid w:val="009E61C3"/>
    <w:rsid w:val="009F112E"/>
    <w:rsid w:val="009F1B0F"/>
    <w:rsid w:val="009F2927"/>
    <w:rsid w:val="009F5D94"/>
    <w:rsid w:val="009F7FF4"/>
    <w:rsid w:val="00A00A74"/>
    <w:rsid w:val="00A01521"/>
    <w:rsid w:val="00A01599"/>
    <w:rsid w:val="00A01A6D"/>
    <w:rsid w:val="00A02CCB"/>
    <w:rsid w:val="00A03259"/>
    <w:rsid w:val="00A034B1"/>
    <w:rsid w:val="00A03C3F"/>
    <w:rsid w:val="00A04799"/>
    <w:rsid w:val="00A0480E"/>
    <w:rsid w:val="00A04915"/>
    <w:rsid w:val="00A105F2"/>
    <w:rsid w:val="00A10C1A"/>
    <w:rsid w:val="00A1114D"/>
    <w:rsid w:val="00A11F6D"/>
    <w:rsid w:val="00A150EF"/>
    <w:rsid w:val="00A1782C"/>
    <w:rsid w:val="00A17836"/>
    <w:rsid w:val="00A20032"/>
    <w:rsid w:val="00A2191F"/>
    <w:rsid w:val="00A21B57"/>
    <w:rsid w:val="00A21FE4"/>
    <w:rsid w:val="00A230DD"/>
    <w:rsid w:val="00A23D31"/>
    <w:rsid w:val="00A247DF"/>
    <w:rsid w:val="00A25769"/>
    <w:rsid w:val="00A25816"/>
    <w:rsid w:val="00A2775D"/>
    <w:rsid w:val="00A30C06"/>
    <w:rsid w:val="00A320AD"/>
    <w:rsid w:val="00A33796"/>
    <w:rsid w:val="00A347CB"/>
    <w:rsid w:val="00A35480"/>
    <w:rsid w:val="00A36D70"/>
    <w:rsid w:val="00A40913"/>
    <w:rsid w:val="00A4135E"/>
    <w:rsid w:val="00A42049"/>
    <w:rsid w:val="00A43E7E"/>
    <w:rsid w:val="00A44358"/>
    <w:rsid w:val="00A44BED"/>
    <w:rsid w:val="00A46542"/>
    <w:rsid w:val="00A466E5"/>
    <w:rsid w:val="00A46E7B"/>
    <w:rsid w:val="00A47085"/>
    <w:rsid w:val="00A51E47"/>
    <w:rsid w:val="00A5342D"/>
    <w:rsid w:val="00A539FB"/>
    <w:rsid w:val="00A53A5F"/>
    <w:rsid w:val="00A54C71"/>
    <w:rsid w:val="00A550D0"/>
    <w:rsid w:val="00A5522A"/>
    <w:rsid w:val="00A56433"/>
    <w:rsid w:val="00A57039"/>
    <w:rsid w:val="00A60089"/>
    <w:rsid w:val="00A60969"/>
    <w:rsid w:val="00A636B6"/>
    <w:rsid w:val="00A64A7B"/>
    <w:rsid w:val="00A64CE4"/>
    <w:rsid w:val="00A6636B"/>
    <w:rsid w:val="00A66C49"/>
    <w:rsid w:val="00A66DBC"/>
    <w:rsid w:val="00A67CD1"/>
    <w:rsid w:val="00A71633"/>
    <w:rsid w:val="00A72EB1"/>
    <w:rsid w:val="00A73A30"/>
    <w:rsid w:val="00A73DC4"/>
    <w:rsid w:val="00A7546B"/>
    <w:rsid w:val="00A7557D"/>
    <w:rsid w:val="00A75F62"/>
    <w:rsid w:val="00A773B7"/>
    <w:rsid w:val="00A81888"/>
    <w:rsid w:val="00A81C4D"/>
    <w:rsid w:val="00A81E2E"/>
    <w:rsid w:val="00A86A51"/>
    <w:rsid w:val="00A908E3"/>
    <w:rsid w:val="00A96B75"/>
    <w:rsid w:val="00AA24E1"/>
    <w:rsid w:val="00AA2C2E"/>
    <w:rsid w:val="00AA4FC8"/>
    <w:rsid w:val="00AA50B2"/>
    <w:rsid w:val="00AA60F4"/>
    <w:rsid w:val="00AA716E"/>
    <w:rsid w:val="00AA78F5"/>
    <w:rsid w:val="00AA7CFE"/>
    <w:rsid w:val="00AB06A3"/>
    <w:rsid w:val="00AB39E4"/>
    <w:rsid w:val="00AB76BA"/>
    <w:rsid w:val="00AC0AEE"/>
    <w:rsid w:val="00AC1D09"/>
    <w:rsid w:val="00AC3723"/>
    <w:rsid w:val="00AC6C2C"/>
    <w:rsid w:val="00AD0398"/>
    <w:rsid w:val="00AD03FD"/>
    <w:rsid w:val="00AD4D3E"/>
    <w:rsid w:val="00AD5F0B"/>
    <w:rsid w:val="00AD6768"/>
    <w:rsid w:val="00AD6C4E"/>
    <w:rsid w:val="00AE2C0D"/>
    <w:rsid w:val="00AE6896"/>
    <w:rsid w:val="00AE74C3"/>
    <w:rsid w:val="00AE7D78"/>
    <w:rsid w:val="00AF03E5"/>
    <w:rsid w:val="00AF0C4F"/>
    <w:rsid w:val="00AF1638"/>
    <w:rsid w:val="00AF1DF1"/>
    <w:rsid w:val="00AF3797"/>
    <w:rsid w:val="00AF3E98"/>
    <w:rsid w:val="00AF4C19"/>
    <w:rsid w:val="00AF7A33"/>
    <w:rsid w:val="00B0357D"/>
    <w:rsid w:val="00B03E74"/>
    <w:rsid w:val="00B043C3"/>
    <w:rsid w:val="00B045BA"/>
    <w:rsid w:val="00B04831"/>
    <w:rsid w:val="00B0593D"/>
    <w:rsid w:val="00B0679F"/>
    <w:rsid w:val="00B102F2"/>
    <w:rsid w:val="00B129DA"/>
    <w:rsid w:val="00B12D93"/>
    <w:rsid w:val="00B12E58"/>
    <w:rsid w:val="00B13466"/>
    <w:rsid w:val="00B14099"/>
    <w:rsid w:val="00B14FFE"/>
    <w:rsid w:val="00B154DF"/>
    <w:rsid w:val="00B1670B"/>
    <w:rsid w:val="00B16A0D"/>
    <w:rsid w:val="00B223DC"/>
    <w:rsid w:val="00B223E0"/>
    <w:rsid w:val="00B23D8D"/>
    <w:rsid w:val="00B23E46"/>
    <w:rsid w:val="00B24FF4"/>
    <w:rsid w:val="00B25BBD"/>
    <w:rsid w:val="00B31C55"/>
    <w:rsid w:val="00B34CA6"/>
    <w:rsid w:val="00B35830"/>
    <w:rsid w:val="00B40725"/>
    <w:rsid w:val="00B408E5"/>
    <w:rsid w:val="00B4128E"/>
    <w:rsid w:val="00B412CE"/>
    <w:rsid w:val="00B424CB"/>
    <w:rsid w:val="00B443A0"/>
    <w:rsid w:val="00B443AB"/>
    <w:rsid w:val="00B44487"/>
    <w:rsid w:val="00B44F0A"/>
    <w:rsid w:val="00B45AF3"/>
    <w:rsid w:val="00B50B25"/>
    <w:rsid w:val="00B50D9D"/>
    <w:rsid w:val="00B53BA2"/>
    <w:rsid w:val="00B53DF5"/>
    <w:rsid w:val="00B53F5E"/>
    <w:rsid w:val="00B552D0"/>
    <w:rsid w:val="00B56778"/>
    <w:rsid w:val="00B57930"/>
    <w:rsid w:val="00B60AB1"/>
    <w:rsid w:val="00B60B48"/>
    <w:rsid w:val="00B6153E"/>
    <w:rsid w:val="00B62F68"/>
    <w:rsid w:val="00B6335C"/>
    <w:rsid w:val="00B6397A"/>
    <w:rsid w:val="00B66CC3"/>
    <w:rsid w:val="00B70190"/>
    <w:rsid w:val="00B701D1"/>
    <w:rsid w:val="00B70DE9"/>
    <w:rsid w:val="00B70F3B"/>
    <w:rsid w:val="00B712C6"/>
    <w:rsid w:val="00B719AF"/>
    <w:rsid w:val="00B71C36"/>
    <w:rsid w:val="00B7228B"/>
    <w:rsid w:val="00B7261B"/>
    <w:rsid w:val="00B72F75"/>
    <w:rsid w:val="00B7527C"/>
    <w:rsid w:val="00B804FF"/>
    <w:rsid w:val="00B813D9"/>
    <w:rsid w:val="00B8191B"/>
    <w:rsid w:val="00B829A5"/>
    <w:rsid w:val="00B82C7C"/>
    <w:rsid w:val="00B833D0"/>
    <w:rsid w:val="00B85F56"/>
    <w:rsid w:val="00B874DB"/>
    <w:rsid w:val="00B87783"/>
    <w:rsid w:val="00B910B3"/>
    <w:rsid w:val="00B918A7"/>
    <w:rsid w:val="00B92858"/>
    <w:rsid w:val="00B93E5F"/>
    <w:rsid w:val="00B94A62"/>
    <w:rsid w:val="00B94E73"/>
    <w:rsid w:val="00B96260"/>
    <w:rsid w:val="00B96AD0"/>
    <w:rsid w:val="00B9702B"/>
    <w:rsid w:val="00BA12CE"/>
    <w:rsid w:val="00BA23E8"/>
    <w:rsid w:val="00BA6FB6"/>
    <w:rsid w:val="00BA7734"/>
    <w:rsid w:val="00BA77F9"/>
    <w:rsid w:val="00BA7812"/>
    <w:rsid w:val="00BB240B"/>
    <w:rsid w:val="00BB463E"/>
    <w:rsid w:val="00BB5A70"/>
    <w:rsid w:val="00BB6A0A"/>
    <w:rsid w:val="00BC28CC"/>
    <w:rsid w:val="00BC402A"/>
    <w:rsid w:val="00BC43B5"/>
    <w:rsid w:val="00BC5D32"/>
    <w:rsid w:val="00BD17AA"/>
    <w:rsid w:val="00BD23D6"/>
    <w:rsid w:val="00BD4D01"/>
    <w:rsid w:val="00BD52B7"/>
    <w:rsid w:val="00BD630D"/>
    <w:rsid w:val="00BD72DA"/>
    <w:rsid w:val="00BD72FB"/>
    <w:rsid w:val="00BE0398"/>
    <w:rsid w:val="00BE1FB1"/>
    <w:rsid w:val="00BE28CD"/>
    <w:rsid w:val="00BE3861"/>
    <w:rsid w:val="00BE3BDF"/>
    <w:rsid w:val="00BF09DD"/>
    <w:rsid w:val="00BF0C64"/>
    <w:rsid w:val="00BF3B92"/>
    <w:rsid w:val="00BF3F12"/>
    <w:rsid w:val="00BF54C1"/>
    <w:rsid w:val="00BF7F30"/>
    <w:rsid w:val="00C0016E"/>
    <w:rsid w:val="00C00754"/>
    <w:rsid w:val="00C030A3"/>
    <w:rsid w:val="00C047DF"/>
    <w:rsid w:val="00C04A31"/>
    <w:rsid w:val="00C0544A"/>
    <w:rsid w:val="00C06173"/>
    <w:rsid w:val="00C06445"/>
    <w:rsid w:val="00C074E8"/>
    <w:rsid w:val="00C10C68"/>
    <w:rsid w:val="00C13067"/>
    <w:rsid w:val="00C13516"/>
    <w:rsid w:val="00C146FE"/>
    <w:rsid w:val="00C153FE"/>
    <w:rsid w:val="00C161EE"/>
    <w:rsid w:val="00C1625D"/>
    <w:rsid w:val="00C1643D"/>
    <w:rsid w:val="00C16C0F"/>
    <w:rsid w:val="00C20FB2"/>
    <w:rsid w:val="00C21D41"/>
    <w:rsid w:val="00C21DA7"/>
    <w:rsid w:val="00C22167"/>
    <w:rsid w:val="00C25317"/>
    <w:rsid w:val="00C2638E"/>
    <w:rsid w:val="00C26653"/>
    <w:rsid w:val="00C27CE0"/>
    <w:rsid w:val="00C27EA4"/>
    <w:rsid w:val="00C30FBF"/>
    <w:rsid w:val="00C3293D"/>
    <w:rsid w:val="00C35AE8"/>
    <w:rsid w:val="00C37AD3"/>
    <w:rsid w:val="00C4035A"/>
    <w:rsid w:val="00C4137B"/>
    <w:rsid w:val="00C442F6"/>
    <w:rsid w:val="00C45DBA"/>
    <w:rsid w:val="00C50C6D"/>
    <w:rsid w:val="00C52465"/>
    <w:rsid w:val="00C52560"/>
    <w:rsid w:val="00C52CF6"/>
    <w:rsid w:val="00C53B2B"/>
    <w:rsid w:val="00C558F8"/>
    <w:rsid w:val="00C56B9A"/>
    <w:rsid w:val="00C57294"/>
    <w:rsid w:val="00C63296"/>
    <w:rsid w:val="00C644AD"/>
    <w:rsid w:val="00C64C66"/>
    <w:rsid w:val="00C65F85"/>
    <w:rsid w:val="00C662C8"/>
    <w:rsid w:val="00C67C28"/>
    <w:rsid w:val="00C71B21"/>
    <w:rsid w:val="00C73200"/>
    <w:rsid w:val="00C748E9"/>
    <w:rsid w:val="00C7689C"/>
    <w:rsid w:val="00C77249"/>
    <w:rsid w:val="00C816FF"/>
    <w:rsid w:val="00C865EC"/>
    <w:rsid w:val="00C87976"/>
    <w:rsid w:val="00C9015A"/>
    <w:rsid w:val="00C91187"/>
    <w:rsid w:val="00C93516"/>
    <w:rsid w:val="00C95A3C"/>
    <w:rsid w:val="00C95CB8"/>
    <w:rsid w:val="00CA0F46"/>
    <w:rsid w:val="00CA1AB7"/>
    <w:rsid w:val="00CA2642"/>
    <w:rsid w:val="00CA273C"/>
    <w:rsid w:val="00CA29DA"/>
    <w:rsid w:val="00CA4950"/>
    <w:rsid w:val="00CA6F7B"/>
    <w:rsid w:val="00CB09CE"/>
    <w:rsid w:val="00CB3BCF"/>
    <w:rsid w:val="00CB453A"/>
    <w:rsid w:val="00CC2922"/>
    <w:rsid w:val="00CC5E87"/>
    <w:rsid w:val="00CD1271"/>
    <w:rsid w:val="00CD1607"/>
    <w:rsid w:val="00CD18C6"/>
    <w:rsid w:val="00CD1D71"/>
    <w:rsid w:val="00CD1DA3"/>
    <w:rsid w:val="00CD6A0C"/>
    <w:rsid w:val="00CE03FA"/>
    <w:rsid w:val="00CE1685"/>
    <w:rsid w:val="00CE1980"/>
    <w:rsid w:val="00CE230E"/>
    <w:rsid w:val="00CE2A3E"/>
    <w:rsid w:val="00CE2C3A"/>
    <w:rsid w:val="00CE33BE"/>
    <w:rsid w:val="00CE771B"/>
    <w:rsid w:val="00CF1A58"/>
    <w:rsid w:val="00CF3A62"/>
    <w:rsid w:val="00CF3B07"/>
    <w:rsid w:val="00CF52DC"/>
    <w:rsid w:val="00CF5A93"/>
    <w:rsid w:val="00CF5ABF"/>
    <w:rsid w:val="00CF6D8C"/>
    <w:rsid w:val="00CF7DD0"/>
    <w:rsid w:val="00D00D2E"/>
    <w:rsid w:val="00D02B00"/>
    <w:rsid w:val="00D02CC3"/>
    <w:rsid w:val="00D02E3F"/>
    <w:rsid w:val="00D02EB9"/>
    <w:rsid w:val="00D03ACB"/>
    <w:rsid w:val="00D06135"/>
    <w:rsid w:val="00D1009D"/>
    <w:rsid w:val="00D10E19"/>
    <w:rsid w:val="00D11673"/>
    <w:rsid w:val="00D120DD"/>
    <w:rsid w:val="00D130EA"/>
    <w:rsid w:val="00D1430A"/>
    <w:rsid w:val="00D165F5"/>
    <w:rsid w:val="00D16704"/>
    <w:rsid w:val="00D169D1"/>
    <w:rsid w:val="00D16D61"/>
    <w:rsid w:val="00D21C0A"/>
    <w:rsid w:val="00D21F01"/>
    <w:rsid w:val="00D2245A"/>
    <w:rsid w:val="00D241FC"/>
    <w:rsid w:val="00D26918"/>
    <w:rsid w:val="00D274B1"/>
    <w:rsid w:val="00D30AAF"/>
    <w:rsid w:val="00D33298"/>
    <w:rsid w:val="00D34697"/>
    <w:rsid w:val="00D34FEA"/>
    <w:rsid w:val="00D35635"/>
    <w:rsid w:val="00D366E5"/>
    <w:rsid w:val="00D36887"/>
    <w:rsid w:val="00D36A57"/>
    <w:rsid w:val="00D42550"/>
    <w:rsid w:val="00D42D38"/>
    <w:rsid w:val="00D434B8"/>
    <w:rsid w:val="00D4463F"/>
    <w:rsid w:val="00D46BFC"/>
    <w:rsid w:val="00D500E0"/>
    <w:rsid w:val="00D507DE"/>
    <w:rsid w:val="00D50814"/>
    <w:rsid w:val="00D51A79"/>
    <w:rsid w:val="00D51E5D"/>
    <w:rsid w:val="00D520FE"/>
    <w:rsid w:val="00D52B12"/>
    <w:rsid w:val="00D53792"/>
    <w:rsid w:val="00D60A86"/>
    <w:rsid w:val="00D6291B"/>
    <w:rsid w:val="00D63F50"/>
    <w:rsid w:val="00D64B6F"/>
    <w:rsid w:val="00D64BF2"/>
    <w:rsid w:val="00D65866"/>
    <w:rsid w:val="00D700E1"/>
    <w:rsid w:val="00D718EF"/>
    <w:rsid w:val="00D71B1E"/>
    <w:rsid w:val="00D7336B"/>
    <w:rsid w:val="00D74950"/>
    <w:rsid w:val="00D76D45"/>
    <w:rsid w:val="00D76F74"/>
    <w:rsid w:val="00D801A0"/>
    <w:rsid w:val="00D80553"/>
    <w:rsid w:val="00D8081D"/>
    <w:rsid w:val="00D81245"/>
    <w:rsid w:val="00D813C0"/>
    <w:rsid w:val="00D82347"/>
    <w:rsid w:val="00D840AD"/>
    <w:rsid w:val="00D84E0E"/>
    <w:rsid w:val="00D86B4C"/>
    <w:rsid w:val="00D905BC"/>
    <w:rsid w:val="00D90E82"/>
    <w:rsid w:val="00D90F9A"/>
    <w:rsid w:val="00D9276C"/>
    <w:rsid w:val="00D92C24"/>
    <w:rsid w:val="00D92F19"/>
    <w:rsid w:val="00D96190"/>
    <w:rsid w:val="00D96BE3"/>
    <w:rsid w:val="00DA295A"/>
    <w:rsid w:val="00DA36C9"/>
    <w:rsid w:val="00DA4464"/>
    <w:rsid w:val="00DA4DE5"/>
    <w:rsid w:val="00DA5E2E"/>
    <w:rsid w:val="00DA77C7"/>
    <w:rsid w:val="00DB0BE8"/>
    <w:rsid w:val="00DB250F"/>
    <w:rsid w:val="00DB3C71"/>
    <w:rsid w:val="00DB518E"/>
    <w:rsid w:val="00DB62E9"/>
    <w:rsid w:val="00DB6BD7"/>
    <w:rsid w:val="00DB7919"/>
    <w:rsid w:val="00DB792E"/>
    <w:rsid w:val="00DC0592"/>
    <w:rsid w:val="00DC0DE5"/>
    <w:rsid w:val="00DC445E"/>
    <w:rsid w:val="00DC4B5E"/>
    <w:rsid w:val="00DC4D5E"/>
    <w:rsid w:val="00DC51EE"/>
    <w:rsid w:val="00DC587A"/>
    <w:rsid w:val="00DC683C"/>
    <w:rsid w:val="00DC75E7"/>
    <w:rsid w:val="00DD25B6"/>
    <w:rsid w:val="00DD2C53"/>
    <w:rsid w:val="00DD4DF4"/>
    <w:rsid w:val="00DD59B8"/>
    <w:rsid w:val="00DD5B48"/>
    <w:rsid w:val="00DD6F9C"/>
    <w:rsid w:val="00DD7AA5"/>
    <w:rsid w:val="00DD7F98"/>
    <w:rsid w:val="00DE0259"/>
    <w:rsid w:val="00DE1D1F"/>
    <w:rsid w:val="00DE1D20"/>
    <w:rsid w:val="00DE58F5"/>
    <w:rsid w:val="00DE7D0E"/>
    <w:rsid w:val="00DE7D1C"/>
    <w:rsid w:val="00DF0338"/>
    <w:rsid w:val="00DF0B78"/>
    <w:rsid w:val="00DF28E2"/>
    <w:rsid w:val="00DF2BCE"/>
    <w:rsid w:val="00DF2C98"/>
    <w:rsid w:val="00DF3B83"/>
    <w:rsid w:val="00DF71E2"/>
    <w:rsid w:val="00DF7AB2"/>
    <w:rsid w:val="00E02295"/>
    <w:rsid w:val="00E03074"/>
    <w:rsid w:val="00E03C6A"/>
    <w:rsid w:val="00E04A0F"/>
    <w:rsid w:val="00E072A4"/>
    <w:rsid w:val="00E10251"/>
    <w:rsid w:val="00E1044F"/>
    <w:rsid w:val="00E1093E"/>
    <w:rsid w:val="00E13987"/>
    <w:rsid w:val="00E17B8F"/>
    <w:rsid w:val="00E20AEB"/>
    <w:rsid w:val="00E20EF8"/>
    <w:rsid w:val="00E21F20"/>
    <w:rsid w:val="00E22709"/>
    <w:rsid w:val="00E228D9"/>
    <w:rsid w:val="00E23403"/>
    <w:rsid w:val="00E2386C"/>
    <w:rsid w:val="00E23CAD"/>
    <w:rsid w:val="00E255E0"/>
    <w:rsid w:val="00E30D5B"/>
    <w:rsid w:val="00E31F6B"/>
    <w:rsid w:val="00E328FF"/>
    <w:rsid w:val="00E3391C"/>
    <w:rsid w:val="00E37454"/>
    <w:rsid w:val="00E438F2"/>
    <w:rsid w:val="00E43938"/>
    <w:rsid w:val="00E447FE"/>
    <w:rsid w:val="00E45E78"/>
    <w:rsid w:val="00E47D1D"/>
    <w:rsid w:val="00E506E5"/>
    <w:rsid w:val="00E50FB0"/>
    <w:rsid w:val="00E51C7E"/>
    <w:rsid w:val="00E52EC5"/>
    <w:rsid w:val="00E53C97"/>
    <w:rsid w:val="00E540F0"/>
    <w:rsid w:val="00E55A70"/>
    <w:rsid w:val="00E56F0B"/>
    <w:rsid w:val="00E57A0C"/>
    <w:rsid w:val="00E6081A"/>
    <w:rsid w:val="00E6121A"/>
    <w:rsid w:val="00E61A05"/>
    <w:rsid w:val="00E62181"/>
    <w:rsid w:val="00E62E0A"/>
    <w:rsid w:val="00E6341C"/>
    <w:rsid w:val="00E645EA"/>
    <w:rsid w:val="00E64D67"/>
    <w:rsid w:val="00E67D40"/>
    <w:rsid w:val="00E71AAC"/>
    <w:rsid w:val="00E724C3"/>
    <w:rsid w:val="00E74E70"/>
    <w:rsid w:val="00E75BAB"/>
    <w:rsid w:val="00E77F42"/>
    <w:rsid w:val="00E8163D"/>
    <w:rsid w:val="00E819F0"/>
    <w:rsid w:val="00E836B0"/>
    <w:rsid w:val="00E843BB"/>
    <w:rsid w:val="00E877B0"/>
    <w:rsid w:val="00E90C5B"/>
    <w:rsid w:val="00E91E8C"/>
    <w:rsid w:val="00E93164"/>
    <w:rsid w:val="00E93366"/>
    <w:rsid w:val="00E93B5A"/>
    <w:rsid w:val="00E94377"/>
    <w:rsid w:val="00E94AEB"/>
    <w:rsid w:val="00E95F7F"/>
    <w:rsid w:val="00E961C8"/>
    <w:rsid w:val="00E963EB"/>
    <w:rsid w:val="00EA0A7C"/>
    <w:rsid w:val="00EA1D0F"/>
    <w:rsid w:val="00EA56F3"/>
    <w:rsid w:val="00EA5AF6"/>
    <w:rsid w:val="00EA5C64"/>
    <w:rsid w:val="00EA5C90"/>
    <w:rsid w:val="00EA7A38"/>
    <w:rsid w:val="00EB0278"/>
    <w:rsid w:val="00EB0BC5"/>
    <w:rsid w:val="00EB0FAC"/>
    <w:rsid w:val="00EB1109"/>
    <w:rsid w:val="00EB2043"/>
    <w:rsid w:val="00EB2668"/>
    <w:rsid w:val="00EB2A80"/>
    <w:rsid w:val="00EB2CF8"/>
    <w:rsid w:val="00EB3519"/>
    <w:rsid w:val="00EB3A6A"/>
    <w:rsid w:val="00EB40BD"/>
    <w:rsid w:val="00EB5A50"/>
    <w:rsid w:val="00EB645B"/>
    <w:rsid w:val="00EB6704"/>
    <w:rsid w:val="00EC2008"/>
    <w:rsid w:val="00EC2A3C"/>
    <w:rsid w:val="00EC2E0D"/>
    <w:rsid w:val="00EC2F2C"/>
    <w:rsid w:val="00EC453A"/>
    <w:rsid w:val="00EC5668"/>
    <w:rsid w:val="00EC6EA5"/>
    <w:rsid w:val="00ED0788"/>
    <w:rsid w:val="00ED1256"/>
    <w:rsid w:val="00ED3BD4"/>
    <w:rsid w:val="00ED3EC8"/>
    <w:rsid w:val="00ED6092"/>
    <w:rsid w:val="00ED6C05"/>
    <w:rsid w:val="00ED7A24"/>
    <w:rsid w:val="00EE0370"/>
    <w:rsid w:val="00EE0390"/>
    <w:rsid w:val="00EE1843"/>
    <w:rsid w:val="00EE223B"/>
    <w:rsid w:val="00EE4B4F"/>
    <w:rsid w:val="00EE634E"/>
    <w:rsid w:val="00EE6A64"/>
    <w:rsid w:val="00EE6ED7"/>
    <w:rsid w:val="00EE77B4"/>
    <w:rsid w:val="00EE7B59"/>
    <w:rsid w:val="00EF06D1"/>
    <w:rsid w:val="00EF0CB1"/>
    <w:rsid w:val="00EF3301"/>
    <w:rsid w:val="00EF6488"/>
    <w:rsid w:val="00EF6DBC"/>
    <w:rsid w:val="00EF72B0"/>
    <w:rsid w:val="00EF774F"/>
    <w:rsid w:val="00F020AF"/>
    <w:rsid w:val="00F020D9"/>
    <w:rsid w:val="00F0279C"/>
    <w:rsid w:val="00F0735E"/>
    <w:rsid w:val="00F07D62"/>
    <w:rsid w:val="00F11FAF"/>
    <w:rsid w:val="00F12CBB"/>
    <w:rsid w:val="00F13980"/>
    <w:rsid w:val="00F13C59"/>
    <w:rsid w:val="00F154C1"/>
    <w:rsid w:val="00F15F04"/>
    <w:rsid w:val="00F1710D"/>
    <w:rsid w:val="00F17984"/>
    <w:rsid w:val="00F17B74"/>
    <w:rsid w:val="00F2113B"/>
    <w:rsid w:val="00F237E9"/>
    <w:rsid w:val="00F268EC"/>
    <w:rsid w:val="00F271B3"/>
    <w:rsid w:val="00F27463"/>
    <w:rsid w:val="00F274D0"/>
    <w:rsid w:val="00F32184"/>
    <w:rsid w:val="00F3335B"/>
    <w:rsid w:val="00F3435D"/>
    <w:rsid w:val="00F34D16"/>
    <w:rsid w:val="00F35316"/>
    <w:rsid w:val="00F353A2"/>
    <w:rsid w:val="00F3559E"/>
    <w:rsid w:val="00F35897"/>
    <w:rsid w:val="00F36F41"/>
    <w:rsid w:val="00F413EF"/>
    <w:rsid w:val="00F4249D"/>
    <w:rsid w:val="00F42748"/>
    <w:rsid w:val="00F42ACD"/>
    <w:rsid w:val="00F42BD0"/>
    <w:rsid w:val="00F442E4"/>
    <w:rsid w:val="00F4540A"/>
    <w:rsid w:val="00F465C3"/>
    <w:rsid w:val="00F517F3"/>
    <w:rsid w:val="00F52947"/>
    <w:rsid w:val="00F54D35"/>
    <w:rsid w:val="00F55A01"/>
    <w:rsid w:val="00F56F10"/>
    <w:rsid w:val="00F578CA"/>
    <w:rsid w:val="00F57956"/>
    <w:rsid w:val="00F60369"/>
    <w:rsid w:val="00F6277C"/>
    <w:rsid w:val="00F62E15"/>
    <w:rsid w:val="00F64A9A"/>
    <w:rsid w:val="00F674F8"/>
    <w:rsid w:val="00F7193B"/>
    <w:rsid w:val="00F722E4"/>
    <w:rsid w:val="00F72D30"/>
    <w:rsid w:val="00F7309B"/>
    <w:rsid w:val="00F73BD8"/>
    <w:rsid w:val="00F749D3"/>
    <w:rsid w:val="00F758A0"/>
    <w:rsid w:val="00F75989"/>
    <w:rsid w:val="00F76057"/>
    <w:rsid w:val="00F768EB"/>
    <w:rsid w:val="00F777CF"/>
    <w:rsid w:val="00F80511"/>
    <w:rsid w:val="00F80BC1"/>
    <w:rsid w:val="00F80D07"/>
    <w:rsid w:val="00F8196C"/>
    <w:rsid w:val="00F81FC4"/>
    <w:rsid w:val="00F8267A"/>
    <w:rsid w:val="00F84169"/>
    <w:rsid w:val="00F85CB0"/>
    <w:rsid w:val="00F868F5"/>
    <w:rsid w:val="00F8727F"/>
    <w:rsid w:val="00F87387"/>
    <w:rsid w:val="00F87D33"/>
    <w:rsid w:val="00F90123"/>
    <w:rsid w:val="00F91229"/>
    <w:rsid w:val="00F914DE"/>
    <w:rsid w:val="00F934E0"/>
    <w:rsid w:val="00F93CCF"/>
    <w:rsid w:val="00F963B5"/>
    <w:rsid w:val="00F97137"/>
    <w:rsid w:val="00F97E20"/>
    <w:rsid w:val="00FA2043"/>
    <w:rsid w:val="00FA4F83"/>
    <w:rsid w:val="00FA6A0E"/>
    <w:rsid w:val="00FA75A5"/>
    <w:rsid w:val="00FB3D38"/>
    <w:rsid w:val="00FB473A"/>
    <w:rsid w:val="00FB50BC"/>
    <w:rsid w:val="00FB540D"/>
    <w:rsid w:val="00FB73CF"/>
    <w:rsid w:val="00FB76A8"/>
    <w:rsid w:val="00FB7E20"/>
    <w:rsid w:val="00FC0165"/>
    <w:rsid w:val="00FC091B"/>
    <w:rsid w:val="00FC0A93"/>
    <w:rsid w:val="00FC15B3"/>
    <w:rsid w:val="00FC1749"/>
    <w:rsid w:val="00FC24E2"/>
    <w:rsid w:val="00FC291D"/>
    <w:rsid w:val="00FD0FCE"/>
    <w:rsid w:val="00FD1424"/>
    <w:rsid w:val="00FD14CD"/>
    <w:rsid w:val="00FD1AFE"/>
    <w:rsid w:val="00FD1B7A"/>
    <w:rsid w:val="00FD237E"/>
    <w:rsid w:val="00FD30C7"/>
    <w:rsid w:val="00FD591B"/>
    <w:rsid w:val="00FD64C4"/>
    <w:rsid w:val="00FE4AC0"/>
    <w:rsid w:val="00FE6DF4"/>
    <w:rsid w:val="00FF0F9F"/>
    <w:rsid w:val="00FF2346"/>
    <w:rsid w:val="00FF24C6"/>
    <w:rsid w:val="00FF40FB"/>
    <w:rsid w:val="00FF42E6"/>
    <w:rsid w:val="00FF46B4"/>
    <w:rsid w:val="00FF69A4"/>
    <w:rsid w:val="00FF7C3D"/>
    <w:rsid w:val="230ADCD9"/>
    <w:rsid w:val="2408F422"/>
    <w:rsid w:val="41C73DBA"/>
    <w:rsid w:val="561AC0B5"/>
    <w:rsid w:val="60F8B850"/>
    <w:rsid w:val="7D766F9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00BB0"/>
  <w15:chartTrackingRefBased/>
  <w15:docId w15:val="{530BFABF-536D-461E-A4D0-5C4C9AB8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Noto Sans"/>
        <w:kern w:val="2"/>
        <w:sz w:val="22"/>
        <w:szCs w:val="22"/>
        <w:lang w:val="fr-FR"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93"/>
    <w:rPr>
      <w:rFonts w:ascii="Arial" w:hAnsi="Arial" w:cs="Noto Sans Display"/>
    </w:rPr>
  </w:style>
  <w:style w:type="paragraph" w:styleId="Heading1">
    <w:name w:val="heading 1"/>
    <w:basedOn w:val="Normal"/>
    <w:next w:val="Normal"/>
    <w:link w:val="Heading1Char"/>
    <w:uiPriority w:val="9"/>
    <w:qFormat/>
    <w:rsid w:val="004314FA"/>
    <w:pPr>
      <w:autoSpaceDE w:val="0"/>
      <w:autoSpaceDN w:val="0"/>
      <w:adjustRightInd w:val="0"/>
      <w:spacing w:before="0" w:after="340"/>
      <w:ind w:left="1843" w:right="1843"/>
      <w:jc w:val="center"/>
      <w:outlineLvl w:val="0"/>
    </w:pPr>
    <w:rPr>
      <w:rFonts w:eastAsia="SimSun" w:cs="Arial"/>
      <w:caps/>
      <w:color w:val="000000"/>
      <w:kern w:val="0"/>
      <w:sz w:val="17"/>
      <w:szCs w:val="17"/>
      <w:lang w:eastAsia="zh-CN"/>
      <w14:ligatures w14:val="none"/>
    </w:rPr>
  </w:style>
  <w:style w:type="paragraph" w:styleId="Heading2">
    <w:name w:val="heading 2"/>
    <w:basedOn w:val="Normal"/>
    <w:next w:val="Normal"/>
    <w:link w:val="Heading2Char"/>
    <w:uiPriority w:val="9"/>
    <w:unhideWhenUsed/>
    <w:qFormat/>
    <w:rsid w:val="004314FA"/>
    <w:pPr>
      <w:widowControl w:val="0"/>
      <w:kinsoku w:val="0"/>
      <w:spacing w:before="240" w:after="170" w:line="211" w:lineRule="auto"/>
      <w:outlineLvl w:val="1"/>
    </w:pPr>
    <w:rPr>
      <w:rFonts w:eastAsia="SimSun" w:cs="Arial"/>
      <w:caps/>
      <w:kern w:val="0"/>
      <w:sz w:val="17"/>
      <w:szCs w:val="17"/>
      <w:lang w:eastAsia="zh-CN"/>
      <w14:ligatures w14:val="none"/>
    </w:rPr>
  </w:style>
  <w:style w:type="paragraph" w:styleId="Heading3">
    <w:name w:val="heading 3"/>
    <w:basedOn w:val="Normal"/>
    <w:next w:val="Normal"/>
    <w:link w:val="Heading3Char"/>
    <w:uiPriority w:val="9"/>
    <w:unhideWhenUsed/>
    <w:qFormat/>
    <w:rsid w:val="005F2AB5"/>
    <w:pPr>
      <w:keepNext/>
      <w:widowControl w:val="0"/>
      <w:kinsoku w:val="0"/>
      <w:spacing w:before="0" w:after="170"/>
      <w:outlineLvl w:val="2"/>
    </w:pPr>
    <w:rPr>
      <w:rFonts w:eastAsia="SimSun" w:cs="Arial"/>
      <w:bCs/>
      <w:kern w:val="0"/>
      <w:sz w:val="17"/>
      <w:szCs w:val="17"/>
      <w:u w:val="single"/>
      <w14:ligatures w14:val="none"/>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A64C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CE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CE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4FA"/>
    <w:rPr>
      <w:rFonts w:ascii="Arial" w:eastAsia="SimSun" w:hAnsi="Arial" w:cs="Arial"/>
      <w:caps/>
      <w:color w:val="000000"/>
      <w:kern w:val="0"/>
      <w:sz w:val="17"/>
      <w:szCs w:val="17"/>
      <w:lang w:eastAsia="zh-CN"/>
      <w14:ligatures w14:val="none"/>
    </w:rPr>
  </w:style>
  <w:style w:type="character" w:customStyle="1" w:styleId="Heading2Char">
    <w:name w:val="Heading 2 Char"/>
    <w:basedOn w:val="DefaultParagraphFont"/>
    <w:link w:val="Heading2"/>
    <w:uiPriority w:val="9"/>
    <w:rsid w:val="004314FA"/>
    <w:rPr>
      <w:rFonts w:ascii="Arial" w:eastAsia="SimSun" w:hAnsi="Arial" w:cs="Arial"/>
      <w:caps/>
      <w:kern w:val="0"/>
      <w:sz w:val="17"/>
      <w:szCs w:val="17"/>
      <w:lang w:eastAsia="zh-CN"/>
      <w14:ligatures w14:val="none"/>
    </w:rPr>
  </w:style>
  <w:style w:type="character" w:customStyle="1" w:styleId="Heading3Char">
    <w:name w:val="Heading 3 Char"/>
    <w:basedOn w:val="DefaultParagraphFont"/>
    <w:link w:val="Heading3"/>
    <w:uiPriority w:val="9"/>
    <w:rsid w:val="005F2AB5"/>
    <w:rPr>
      <w:rFonts w:ascii="Arial" w:eastAsia="SimSun" w:hAnsi="Arial" w:cs="Arial"/>
      <w:bCs/>
      <w:kern w:val="0"/>
      <w:sz w:val="17"/>
      <w:szCs w:val="17"/>
      <w:u w:val="single"/>
      <w14:ligatures w14:val="none"/>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rPr>
  </w:style>
  <w:style w:type="character" w:customStyle="1" w:styleId="Heading7Char">
    <w:name w:val="Heading 7 Char"/>
    <w:basedOn w:val="DefaultParagraphFont"/>
    <w:link w:val="Heading7"/>
    <w:uiPriority w:val="9"/>
    <w:semiHidden/>
    <w:rsid w:val="00A64C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C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CE4"/>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A64C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A64CE4"/>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A64CE4"/>
    <w:pPr>
      <w:ind w:left="720"/>
      <w:contextualSpacing/>
    </w:pPr>
  </w:style>
  <w:style w:type="character" w:styleId="IntenseEmphasis">
    <w:name w:val="Intense Emphasis"/>
    <w:basedOn w:val="DefaultParagraphFont"/>
    <w:uiPriority w:val="21"/>
    <w:qFormat/>
    <w:rsid w:val="00A64CE4"/>
    <w:rPr>
      <w:i/>
      <w:iCs/>
      <w:color w:val="0F4761" w:themeColor="accent1" w:themeShade="BF"/>
    </w:rPr>
  </w:style>
  <w:style w:type="paragraph" w:styleId="IntenseQuote">
    <w:name w:val="Intense Quote"/>
    <w:basedOn w:val="Normal"/>
    <w:next w:val="Normal"/>
    <w:link w:val="IntenseQuoteChar"/>
    <w:uiPriority w:val="30"/>
    <w:qFormat/>
    <w:rsid w:val="00A64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CE4"/>
    <w:rPr>
      <w:rFonts w:ascii="Arial" w:hAnsi="Arial" w:cs="Noto Sans Display"/>
      <w:i/>
      <w:iCs/>
      <w:color w:val="0F4761" w:themeColor="accent1" w:themeShade="BF"/>
    </w:rPr>
  </w:style>
  <w:style w:type="character" w:styleId="IntenseReference">
    <w:name w:val="Intense Reference"/>
    <w:basedOn w:val="DefaultParagraphFont"/>
    <w:uiPriority w:val="32"/>
    <w:qFormat/>
    <w:rsid w:val="00A64CE4"/>
    <w:rPr>
      <w:b/>
      <w:bCs/>
      <w:smallCaps/>
      <w:color w:val="0F4761" w:themeColor="accent1" w:themeShade="BF"/>
      <w:spacing w:val="5"/>
    </w:rPr>
  </w:style>
  <w:style w:type="paragraph" w:styleId="Revision">
    <w:name w:val="Revision"/>
    <w:hidden/>
    <w:uiPriority w:val="99"/>
    <w:semiHidden/>
    <w:rsid w:val="00AC0AEE"/>
    <w:pPr>
      <w:spacing w:before="0" w:after="0"/>
    </w:pPr>
    <w:rPr>
      <w:rFonts w:ascii="Arial" w:hAnsi="Arial" w:cs="Noto Sans Display"/>
    </w:rPr>
  </w:style>
  <w:style w:type="character" w:styleId="CommentReference">
    <w:name w:val="annotation reference"/>
    <w:basedOn w:val="DefaultParagraphFont"/>
    <w:uiPriority w:val="99"/>
    <w:unhideWhenUsed/>
    <w:rsid w:val="00C27CE0"/>
    <w:rPr>
      <w:sz w:val="16"/>
      <w:szCs w:val="16"/>
    </w:rPr>
  </w:style>
  <w:style w:type="paragraph" w:styleId="CommentText">
    <w:name w:val="annotation text"/>
    <w:basedOn w:val="Normal"/>
    <w:link w:val="CommentTextChar"/>
    <w:uiPriority w:val="99"/>
    <w:unhideWhenUsed/>
    <w:rsid w:val="00C27CE0"/>
    <w:rPr>
      <w:sz w:val="20"/>
      <w:szCs w:val="20"/>
    </w:rPr>
  </w:style>
  <w:style w:type="character" w:customStyle="1" w:styleId="CommentTextChar">
    <w:name w:val="Comment Text Char"/>
    <w:basedOn w:val="DefaultParagraphFont"/>
    <w:link w:val="CommentText"/>
    <w:uiPriority w:val="99"/>
    <w:rsid w:val="00C27CE0"/>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C27CE0"/>
    <w:rPr>
      <w:b/>
      <w:bCs/>
    </w:rPr>
  </w:style>
  <w:style w:type="character" w:customStyle="1" w:styleId="CommentSubjectChar">
    <w:name w:val="Comment Subject Char"/>
    <w:basedOn w:val="CommentTextChar"/>
    <w:link w:val="CommentSubject"/>
    <w:uiPriority w:val="99"/>
    <w:semiHidden/>
    <w:rsid w:val="00C27CE0"/>
    <w:rPr>
      <w:rFonts w:ascii="Arial" w:hAnsi="Arial" w:cs="Noto Sans Display"/>
      <w:b/>
      <w:bCs/>
      <w:sz w:val="20"/>
      <w:szCs w:val="20"/>
    </w:rPr>
  </w:style>
  <w:style w:type="paragraph" w:styleId="TOCHeading">
    <w:name w:val="TOC Heading"/>
    <w:basedOn w:val="Heading1"/>
    <w:next w:val="Normal"/>
    <w:uiPriority w:val="39"/>
    <w:unhideWhenUsed/>
    <w:qFormat/>
    <w:rsid w:val="00535AD3"/>
    <w:pPr>
      <w:spacing w:before="240" w:after="0" w:line="259" w:lineRule="auto"/>
      <w:outlineLvl w:val="9"/>
    </w:pPr>
    <w:rPr>
      <w:rFonts w:asciiTheme="majorHAnsi" w:hAnsiTheme="majorHAnsi" w:cstheme="majorBidi"/>
      <w:color w:val="0F4761" w:themeColor="accent1" w:themeShade="BF"/>
      <w:sz w:val="32"/>
      <w:szCs w:val="32"/>
    </w:rPr>
  </w:style>
  <w:style w:type="paragraph" w:styleId="TOC1">
    <w:name w:val="toc 1"/>
    <w:basedOn w:val="Normal"/>
    <w:next w:val="Normal"/>
    <w:autoRedefine/>
    <w:uiPriority w:val="39"/>
    <w:unhideWhenUsed/>
    <w:rsid w:val="00535AD3"/>
    <w:pPr>
      <w:spacing w:after="100"/>
    </w:pPr>
  </w:style>
  <w:style w:type="character" w:styleId="Hyperlink">
    <w:name w:val="Hyperlink"/>
    <w:basedOn w:val="DefaultParagraphFont"/>
    <w:uiPriority w:val="99"/>
    <w:unhideWhenUsed/>
    <w:rsid w:val="00535AD3"/>
    <w:rPr>
      <w:color w:val="467886" w:themeColor="hyperlink"/>
      <w:u w:val="single"/>
    </w:rPr>
  </w:style>
  <w:style w:type="character" w:styleId="FootnoteReference">
    <w:name w:val="footnote reference"/>
    <w:basedOn w:val="DefaultParagraphFont"/>
    <w:uiPriority w:val="99"/>
    <w:unhideWhenUsed/>
    <w:rsid w:val="00535AD3"/>
    <w:rPr>
      <w:vertAlign w:val="superscript"/>
    </w:rPr>
  </w:style>
  <w:style w:type="table" w:styleId="TableGrid">
    <w:name w:val="Table Grid"/>
    <w:basedOn w:val="TableNormal"/>
    <w:rsid w:val="00F76057"/>
    <w:pPr>
      <w:suppressAutoHyphens/>
      <w:spacing w:before="0" w:after="0"/>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6C05"/>
    <w:rPr>
      <w:color w:val="605E5C"/>
      <w:shd w:val="clear" w:color="auto" w:fill="E1DFDD"/>
    </w:rPr>
  </w:style>
  <w:style w:type="character" w:styleId="FollowedHyperlink">
    <w:name w:val="FollowedHyperlink"/>
    <w:basedOn w:val="DefaultParagraphFont"/>
    <w:uiPriority w:val="99"/>
    <w:semiHidden/>
    <w:unhideWhenUsed/>
    <w:rsid w:val="004C1557"/>
    <w:rPr>
      <w:color w:val="96607D" w:themeColor="followedHyperlink"/>
      <w:u w:val="single"/>
    </w:rPr>
  </w:style>
  <w:style w:type="paragraph" w:styleId="TOC2">
    <w:name w:val="toc 2"/>
    <w:basedOn w:val="Normal"/>
    <w:next w:val="Normal"/>
    <w:autoRedefine/>
    <w:uiPriority w:val="39"/>
    <w:unhideWhenUsed/>
    <w:rsid w:val="00E1093E"/>
    <w:pPr>
      <w:spacing w:after="100"/>
      <w:ind w:left="220"/>
    </w:pPr>
  </w:style>
  <w:style w:type="paragraph" w:styleId="TOC3">
    <w:name w:val="toc 3"/>
    <w:basedOn w:val="Normal"/>
    <w:next w:val="Normal"/>
    <w:autoRedefine/>
    <w:uiPriority w:val="39"/>
    <w:unhideWhenUsed/>
    <w:rsid w:val="00E1093E"/>
    <w:pPr>
      <w:spacing w:after="100"/>
      <w:ind w:left="440"/>
    </w:pPr>
  </w:style>
  <w:style w:type="paragraph" w:customStyle="1" w:styleId="EPODocNormal">
    <w:name w:val="EPODocNormal"/>
    <w:basedOn w:val="Normal"/>
    <w:uiPriority w:val="99"/>
    <w:rsid w:val="00D96BE3"/>
    <w:pPr>
      <w:suppressAutoHyphens/>
      <w:spacing w:before="0" w:after="0"/>
      <w:ind w:left="1134"/>
    </w:pPr>
    <w:rPr>
      <w:rFonts w:eastAsia="MS Mincho"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30755">
      <w:bodyDiv w:val="1"/>
      <w:marLeft w:val="0"/>
      <w:marRight w:val="0"/>
      <w:marTop w:val="0"/>
      <w:marBottom w:val="0"/>
      <w:divBdr>
        <w:top w:val="none" w:sz="0" w:space="0" w:color="auto"/>
        <w:left w:val="none" w:sz="0" w:space="0" w:color="auto"/>
        <w:bottom w:val="none" w:sz="0" w:space="0" w:color="auto"/>
        <w:right w:val="none" w:sz="0" w:space="0" w:color="auto"/>
      </w:divBdr>
      <w:divsChild>
        <w:div w:id="120343635">
          <w:marLeft w:val="0"/>
          <w:marRight w:val="0"/>
          <w:marTop w:val="0"/>
          <w:marBottom w:val="0"/>
          <w:divBdr>
            <w:top w:val="none" w:sz="0" w:space="0" w:color="auto"/>
            <w:left w:val="none" w:sz="0" w:space="0" w:color="auto"/>
            <w:bottom w:val="none" w:sz="0" w:space="0" w:color="auto"/>
            <w:right w:val="none" w:sz="0" w:space="0" w:color="auto"/>
          </w:divBdr>
        </w:div>
        <w:div w:id="719784338">
          <w:marLeft w:val="0"/>
          <w:marRight w:val="0"/>
          <w:marTop w:val="0"/>
          <w:marBottom w:val="0"/>
          <w:divBdr>
            <w:top w:val="none" w:sz="0" w:space="0" w:color="auto"/>
            <w:left w:val="none" w:sz="0" w:space="0" w:color="auto"/>
            <w:bottom w:val="none" w:sz="0" w:space="0" w:color="auto"/>
            <w:right w:val="none" w:sz="0" w:space="0" w:color="auto"/>
          </w:divBdr>
        </w:div>
      </w:divsChild>
    </w:div>
    <w:div w:id="733354280">
      <w:bodyDiv w:val="1"/>
      <w:marLeft w:val="0"/>
      <w:marRight w:val="0"/>
      <w:marTop w:val="0"/>
      <w:marBottom w:val="0"/>
      <w:divBdr>
        <w:top w:val="none" w:sz="0" w:space="0" w:color="auto"/>
        <w:left w:val="none" w:sz="0" w:space="0" w:color="auto"/>
        <w:bottom w:val="none" w:sz="0" w:space="0" w:color="auto"/>
        <w:right w:val="none" w:sz="0" w:space="0" w:color="auto"/>
      </w:divBdr>
    </w:div>
    <w:div w:id="1543440918">
      <w:bodyDiv w:val="1"/>
      <w:marLeft w:val="0"/>
      <w:marRight w:val="0"/>
      <w:marTop w:val="0"/>
      <w:marBottom w:val="0"/>
      <w:divBdr>
        <w:top w:val="none" w:sz="0" w:space="0" w:color="auto"/>
        <w:left w:val="none" w:sz="0" w:space="0" w:color="auto"/>
        <w:bottom w:val="none" w:sz="0" w:space="0" w:color="auto"/>
        <w:right w:val="none" w:sz="0" w:space="0" w:color="auto"/>
      </w:divBdr>
    </w:div>
    <w:div w:id="1594824082">
      <w:bodyDiv w:val="1"/>
      <w:marLeft w:val="0"/>
      <w:marRight w:val="0"/>
      <w:marTop w:val="0"/>
      <w:marBottom w:val="0"/>
      <w:divBdr>
        <w:top w:val="none" w:sz="0" w:space="0" w:color="auto"/>
        <w:left w:val="none" w:sz="0" w:space="0" w:color="auto"/>
        <w:bottom w:val="none" w:sz="0" w:space="0" w:color="auto"/>
        <w:right w:val="none" w:sz="0" w:space="0" w:color="auto"/>
      </w:divBdr>
      <w:divsChild>
        <w:div w:id="923340407">
          <w:marLeft w:val="0"/>
          <w:marRight w:val="0"/>
          <w:marTop w:val="0"/>
          <w:marBottom w:val="0"/>
          <w:divBdr>
            <w:top w:val="none" w:sz="0" w:space="0" w:color="auto"/>
            <w:left w:val="none" w:sz="0" w:space="0" w:color="auto"/>
            <w:bottom w:val="none" w:sz="0" w:space="0" w:color="auto"/>
            <w:right w:val="none" w:sz="0" w:space="0" w:color="auto"/>
          </w:divBdr>
        </w:div>
        <w:div w:id="1788622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documents/d/standards/docs-fr-03-03-01.pdf" TargetMode="External"/><Relationship Id="rId18" Type="http://schemas.openxmlformats.org/officeDocument/2006/relationships/hyperlink" Target="https://www.wipo.int/documents/d/standards/docs-fr-03-36-01.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ipo.int/documents/d/standards/docs-fr-03-66-01.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fr-03-27-01.pdf" TargetMode="External"/><Relationship Id="rId25" Type="http://schemas.openxmlformats.org/officeDocument/2006/relationships/hyperlink" Target="https://www.wipo.int/documents/d/standards/docs-fr-03-96-01.pdf" TargetMode="External"/><Relationship Id="rId2" Type="http://schemas.openxmlformats.org/officeDocument/2006/relationships/customXml" Target="../customXml/item2.xml"/><Relationship Id="rId16" Type="http://schemas.openxmlformats.org/officeDocument/2006/relationships/hyperlink" Target="https://www.wipo.int/export/sites/www/standards/fr/pdf/03-26-01.pdf" TargetMode="External"/><Relationship Id="rId20" Type="http://schemas.openxmlformats.org/officeDocument/2006/relationships/hyperlink" Target="https://www.wipo.int/documents/d/standards/docs-fr-03-61-0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documents/d/standards/docs-fr-03-87-01.pdf" TargetMode="External"/><Relationship Id="rId5" Type="http://schemas.openxmlformats.org/officeDocument/2006/relationships/customXml" Target="../customXml/item5.xml"/><Relationship Id="rId15" Type="http://schemas.openxmlformats.org/officeDocument/2006/relationships/hyperlink" Target="https://www.wipo.int/documents/d/standards/docs-fr-03-16-01.pdf" TargetMode="External"/><Relationship Id="rId23" Type="http://schemas.openxmlformats.org/officeDocument/2006/relationships/hyperlink" Target="https://www.wipo.int/documents/d/standards/docs-fr-03-86-01.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wipo.int/documents/d/standards/docs-fr-03-60-01.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standards/docs-fr-03-09-01.pdf" TargetMode="External"/><Relationship Id="rId22" Type="http://schemas.openxmlformats.org/officeDocument/2006/relationships/hyperlink" Target="https://www.wipo.int/documents/d/standards/docs-fr-03-80-01.pdf"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1</Value>
      <Value>105</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Publications</TermName>
          <TermId xmlns="http://schemas.microsoft.com/office/infopath/2007/PartnerControls">351d4749-6841-4db0-8571-0d9e2b311a64</TermId>
        </TermInfo>
      </Terms>
    </oec7080f59824b85bfab9bab42c36e68>
    <_dlc_DocId xmlns="ec94eb93-2160-433d-bc9d-10bdc50beb83">ICSDBFP-360348501-19626</_dlc_DocId>
    <_dlc_DocIdUrl xmlns="ec94eb93-2160-433d-bc9d-10bdc50beb83">
      <Url>https://wipoprod.sharepoint.com/sites/SPS-INT-BFP-ICSD-CWS/_layouts/15/DocIdRedir.aspx?ID=ICSDBFP-360348501-19626</Url>
      <Description>ICSDBFP-360348501-19626</Description>
    </_dlc_DocIdUrl>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A37C-D6B9-49D7-8A5C-9B67DF765E6D}">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0D368847-D38A-4047-A7C0-D37050DE2BE1}">
  <ds:schemaRefs>
    <ds:schemaRef ds:uri="Microsoft.SharePoint.Taxonomy.ContentTypeSync"/>
  </ds:schemaRefs>
</ds:datastoreItem>
</file>

<file path=customXml/itemProps3.xml><?xml version="1.0" encoding="utf-8"?>
<ds:datastoreItem xmlns:ds="http://schemas.openxmlformats.org/officeDocument/2006/customXml" ds:itemID="{597C4415-60D8-4560-ACAB-332F2504D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5.xml><?xml version="1.0" encoding="utf-8"?>
<ds:datastoreItem xmlns:ds="http://schemas.openxmlformats.org/officeDocument/2006/customXml" ds:itemID="{C839EEF6-6526-4DF2-BF39-A453091CF133}">
  <ds:schemaRefs>
    <ds:schemaRef ds:uri="http://schemas.microsoft.com/sharepoint/events"/>
  </ds:schemaRefs>
</ds:datastoreItem>
</file>

<file path=customXml/itemProps6.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2547</Words>
  <Characters>14524</Characters>
  <Application>Microsoft Office Word</Application>
  <DocSecurity>0</DocSecurity>
  <Lines>121</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CWS/13/27 Annex I (French)</vt:lpstr>
      <vt:lpstr>CWS/13/27 Annex I (English)</vt:lpstr>
    </vt:vector>
  </TitlesOfParts>
  <Company>WIPO</Company>
  <LinksUpToDate>false</LinksUpToDate>
  <CharactersWithSpaces>17037</CharactersWithSpaces>
  <SharedDoc>false</SharedDoc>
  <HLinks>
    <vt:vector size="156" baseType="variant">
      <vt:variant>
        <vt:i4>2228257</vt:i4>
      </vt:variant>
      <vt:variant>
        <vt:i4>159</vt:i4>
      </vt:variant>
      <vt:variant>
        <vt:i4>0</vt:i4>
      </vt:variant>
      <vt:variant>
        <vt:i4>5</vt:i4>
      </vt:variant>
      <vt:variant>
        <vt:lpwstr>https://www.wipo.int/documents/d/standards/docs-en-03-96-01.pdf</vt:lpwstr>
      </vt:variant>
      <vt:variant>
        <vt:lpwstr/>
      </vt:variant>
      <vt:variant>
        <vt:i4>2293792</vt:i4>
      </vt:variant>
      <vt:variant>
        <vt:i4>156</vt:i4>
      </vt:variant>
      <vt:variant>
        <vt:i4>0</vt:i4>
      </vt:variant>
      <vt:variant>
        <vt:i4>5</vt:i4>
      </vt:variant>
      <vt:variant>
        <vt:lpwstr>https://www.wipo.int/documents/d/standards/docs-en-03-87-01.pdf</vt:lpwstr>
      </vt:variant>
      <vt:variant>
        <vt:lpwstr/>
      </vt:variant>
      <vt:variant>
        <vt:i4>2228256</vt:i4>
      </vt:variant>
      <vt:variant>
        <vt:i4>153</vt:i4>
      </vt:variant>
      <vt:variant>
        <vt:i4>0</vt:i4>
      </vt:variant>
      <vt:variant>
        <vt:i4>5</vt:i4>
      </vt:variant>
      <vt:variant>
        <vt:lpwstr>https://www.wipo.int/documents/d/standards/docs-en-03-86-01.pdf</vt:lpwstr>
      </vt:variant>
      <vt:variant>
        <vt:lpwstr/>
      </vt:variant>
      <vt:variant>
        <vt:i4>2359328</vt:i4>
      </vt:variant>
      <vt:variant>
        <vt:i4>150</vt:i4>
      </vt:variant>
      <vt:variant>
        <vt:i4>0</vt:i4>
      </vt:variant>
      <vt:variant>
        <vt:i4>5</vt:i4>
      </vt:variant>
      <vt:variant>
        <vt:lpwstr>https://www.wipo.int/documents/d/standards/docs-en-03-80-01.pdf</vt:lpwstr>
      </vt:variant>
      <vt:variant>
        <vt:lpwstr/>
      </vt:variant>
      <vt:variant>
        <vt:i4>2228270</vt:i4>
      </vt:variant>
      <vt:variant>
        <vt:i4>147</vt:i4>
      </vt:variant>
      <vt:variant>
        <vt:i4>0</vt:i4>
      </vt:variant>
      <vt:variant>
        <vt:i4>5</vt:i4>
      </vt:variant>
      <vt:variant>
        <vt:lpwstr>https://www.wipo.int/documents/d/standards/docs-en-03-66-01.pdf</vt:lpwstr>
      </vt:variant>
      <vt:variant>
        <vt:lpwstr/>
      </vt:variant>
      <vt:variant>
        <vt:i4>2424878</vt:i4>
      </vt:variant>
      <vt:variant>
        <vt:i4>144</vt:i4>
      </vt:variant>
      <vt:variant>
        <vt:i4>0</vt:i4>
      </vt:variant>
      <vt:variant>
        <vt:i4>5</vt:i4>
      </vt:variant>
      <vt:variant>
        <vt:lpwstr>https://www.wipo.int/documents/d/standards/docs-en-03-61-01.pdf</vt:lpwstr>
      </vt:variant>
      <vt:variant>
        <vt:lpwstr/>
      </vt:variant>
      <vt:variant>
        <vt:i4>2359342</vt:i4>
      </vt:variant>
      <vt:variant>
        <vt:i4>141</vt:i4>
      </vt:variant>
      <vt:variant>
        <vt:i4>0</vt:i4>
      </vt:variant>
      <vt:variant>
        <vt:i4>5</vt:i4>
      </vt:variant>
      <vt:variant>
        <vt:lpwstr>https://www.wipo.int/documents/d/standards/docs-en-03-60-01.pdf</vt:lpwstr>
      </vt:variant>
      <vt:variant>
        <vt:lpwstr/>
      </vt:variant>
      <vt:variant>
        <vt:i4>2228267</vt:i4>
      </vt:variant>
      <vt:variant>
        <vt:i4>138</vt:i4>
      </vt:variant>
      <vt:variant>
        <vt:i4>0</vt:i4>
      </vt:variant>
      <vt:variant>
        <vt:i4>5</vt:i4>
      </vt:variant>
      <vt:variant>
        <vt:lpwstr>https://www.wipo.int/documents/d/standards/docs-en-03-36-01.pdf</vt:lpwstr>
      </vt:variant>
      <vt:variant>
        <vt:lpwstr/>
      </vt:variant>
      <vt:variant>
        <vt:i4>2293802</vt:i4>
      </vt:variant>
      <vt:variant>
        <vt:i4>135</vt:i4>
      </vt:variant>
      <vt:variant>
        <vt:i4>0</vt:i4>
      </vt:variant>
      <vt:variant>
        <vt:i4>5</vt:i4>
      </vt:variant>
      <vt:variant>
        <vt:lpwstr>https://www.wipo.int/documents/d/standards/docs-en-03-27-01.pdf</vt:lpwstr>
      </vt:variant>
      <vt:variant>
        <vt:lpwstr/>
      </vt:variant>
      <vt:variant>
        <vt:i4>7929892</vt:i4>
      </vt:variant>
      <vt:variant>
        <vt:i4>132</vt:i4>
      </vt:variant>
      <vt:variant>
        <vt:i4>0</vt:i4>
      </vt:variant>
      <vt:variant>
        <vt:i4>5</vt:i4>
      </vt:variant>
      <vt:variant>
        <vt:lpwstr>https://www.wipo.int/export/sites/www/standards/en/pdf/03-26-01.pdf</vt:lpwstr>
      </vt:variant>
      <vt:variant>
        <vt:lpwstr/>
      </vt:variant>
      <vt:variant>
        <vt:i4>2228265</vt:i4>
      </vt:variant>
      <vt:variant>
        <vt:i4>129</vt:i4>
      </vt:variant>
      <vt:variant>
        <vt:i4>0</vt:i4>
      </vt:variant>
      <vt:variant>
        <vt:i4>5</vt:i4>
      </vt:variant>
      <vt:variant>
        <vt:lpwstr>https://www.wipo.int/documents/d/standards/docs-en-03-16-01.pdf</vt:lpwstr>
      </vt:variant>
      <vt:variant>
        <vt:lpwstr/>
      </vt:variant>
      <vt:variant>
        <vt:i4>2949160</vt:i4>
      </vt:variant>
      <vt:variant>
        <vt:i4>126</vt:i4>
      </vt:variant>
      <vt:variant>
        <vt:i4>0</vt:i4>
      </vt:variant>
      <vt:variant>
        <vt:i4>5</vt:i4>
      </vt:variant>
      <vt:variant>
        <vt:lpwstr>https://www.wipo.int/documents/d/standards/docs-en-03-09-01.pdf</vt:lpwstr>
      </vt:variant>
      <vt:variant>
        <vt:lpwstr/>
      </vt:variant>
      <vt:variant>
        <vt:i4>2555944</vt:i4>
      </vt:variant>
      <vt:variant>
        <vt:i4>123</vt:i4>
      </vt:variant>
      <vt:variant>
        <vt:i4>0</vt:i4>
      </vt:variant>
      <vt:variant>
        <vt:i4>5</vt:i4>
      </vt:variant>
      <vt:variant>
        <vt:lpwstr>https://www.wipo.int/documents/d/standards/docs-en-03-03-01.pdf</vt:lpwstr>
      </vt:variant>
      <vt:variant>
        <vt:lpwstr/>
      </vt:variant>
      <vt:variant>
        <vt:i4>1179709</vt:i4>
      </vt:variant>
      <vt:variant>
        <vt:i4>74</vt:i4>
      </vt:variant>
      <vt:variant>
        <vt:i4>0</vt:i4>
      </vt:variant>
      <vt:variant>
        <vt:i4>5</vt:i4>
      </vt:variant>
      <vt:variant>
        <vt:lpwstr/>
      </vt:variant>
      <vt:variant>
        <vt:lpwstr>_Toc209011746</vt:lpwstr>
      </vt:variant>
      <vt:variant>
        <vt:i4>1179709</vt:i4>
      </vt:variant>
      <vt:variant>
        <vt:i4>68</vt:i4>
      </vt:variant>
      <vt:variant>
        <vt:i4>0</vt:i4>
      </vt:variant>
      <vt:variant>
        <vt:i4>5</vt:i4>
      </vt:variant>
      <vt:variant>
        <vt:lpwstr/>
      </vt:variant>
      <vt:variant>
        <vt:lpwstr>_Toc209011745</vt:lpwstr>
      </vt:variant>
      <vt:variant>
        <vt:i4>1179709</vt:i4>
      </vt:variant>
      <vt:variant>
        <vt:i4>62</vt:i4>
      </vt:variant>
      <vt:variant>
        <vt:i4>0</vt:i4>
      </vt:variant>
      <vt:variant>
        <vt:i4>5</vt:i4>
      </vt:variant>
      <vt:variant>
        <vt:lpwstr/>
      </vt:variant>
      <vt:variant>
        <vt:lpwstr>_Toc209011744</vt:lpwstr>
      </vt:variant>
      <vt:variant>
        <vt:i4>1179709</vt:i4>
      </vt:variant>
      <vt:variant>
        <vt:i4>56</vt:i4>
      </vt:variant>
      <vt:variant>
        <vt:i4>0</vt:i4>
      </vt:variant>
      <vt:variant>
        <vt:i4>5</vt:i4>
      </vt:variant>
      <vt:variant>
        <vt:lpwstr/>
      </vt:variant>
      <vt:variant>
        <vt:lpwstr>_Toc209011743</vt:lpwstr>
      </vt:variant>
      <vt:variant>
        <vt:i4>1179709</vt:i4>
      </vt:variant>
      <vt:variant>
        <vt:i4>50</vt:i4>
      </vt:variant>
      <vt:variant>
        <vt:i4>0</vt:i4>
      </vt:variant>
      <vt:variant>
        <vt:i4>5</vt:i4>
      </vt:variant>
      <vt:variant>
        <vt:lpwstr/>
      </vt:variant>
      <vt:variant>
        <vt:lpwstr>_Toc209011742</vt:lpwstr>
      </vt:variant>
      <vt:variant>
        <vt:i4>1179709</vt:i4>
      </vt:variant>
      <vt:variant>
        <vt:i4>44</vt:i4>
      </vt:variant>
      <vt:variant>
        <vt:i4>0</vt:i4>
      </vt:variant>
      <vt:variant>
        <vt:i4>5</vt:i4>
      </vt:variant>
      <vt:variant>
        <vt:lpwstr/>
      </vt:variant>
      <vt:variant>
        <vt:lpwstr>_Toc209011741</vt:lpwstr>
      </vt:variant>
      <vt:variant>
        <vt:i4>1179709</vt:i4>
      </vt:variant>
      <vt:variant>
        <vt:i4>38</vt:i4>
      </vt:variant>
      <vt:variant>
        <vt:i4>0</vt:i4>
      </vt:variant>
      <vt:variant>
        <vt:i4>5</vt:i4>
      </vt:variant>
      <vt:variant>
        <vt:lpwstr/>
      </vt:variant>
      <vt:variant>
        <vt:lpwstr>_Toc209011740</vt:lpwstr>
      </vt:variant>
      <vt:variant>
        <vt:i4>1376317</vt:i4>
      </vt:variant>
      <vt:variant>
        <vt:i4>32</vt:i4>
      </vt:variant>
      <vt:variant>
        <vt:i4>0</vt:i4>
      </vt:variant>
      <vt:variant>
        <vt:i4>5</vt:i4>
      </vt:variant>
      <vt:variant>
        <vt:lpwstr/>
      </vt:variant>
      <vt:variant>
        <vt:lpwstr>_Toc209011739</vt:lpwstr>
      </vt:variant>
      <vt:variant>
        <vt:i4>1376317</vt:i4>
      </vt:variant>
      <vt:variant>
        <vt:i4>26</vt:i4>
      </vt:variant>
      <vt:variant>
        <vt:i4>0</vt:i4>
      </vt:variant>
      <vt:variant>
        <vt:i4>5</vt:i4>
      </vt:variant>
      <vt:variant>
        <vt:lpwstr/>
      </vt:variant>
      <vt:variant>
        <vt:lpwstr>_Toc209011738</vt:lpwstr>
      </vt:variant>
      <vt:variant>
        <vt:i4>1376317</vt:i4>
      </vt:variant>
      <vt:variant>
        <vt:i4>20</vt:i4>
      </vt:variant>
      <vt:variant>
        <vt:i4>0</vt:i4>
      </vt:variant>
      <vt:variant>
        <vt:i4>5</vt:i4>
      </vt:variant>
      <vt:variant>
        <vt:lpwstr/>
      </vt:variant>
      <vt:variant>
        <vt:lpwstr>_Toc209011737</vt:lpwstr>
      </vt:variant>
      <vt:variant>
        <vt:i4>1376317</vt:i4>
      </vt:variant>
      <vt:variant>
        <vt:i4>14</vt:i4>
      </vt:variant>
      <vt:variant>
        <vt:i4>0</vt:i4>
      </vt:variant>
      <vt:variant>
        <vt:i4>5</vt:i4>
      </vt:variant>
      <vt:variant>
        <vt:lpwstr/>
      </vt:variant>
      <vt:variant>
        <vt:lpwstr>_Toc209011736</vt:lpwstr>
      </vt:variant>
      <vt:variant>
        <vt:i4>1376317</vt:i4>
      </vt:variant>
      <vt:variant>
        <vt:i4>8</vt:i4>
      </vt:variant>
      <vt:variant>
        <vt:i4>0</vt:i4>
      </vt:variant>
      <vt:variant>
        <vt:i4>5</vt:i4>
      </vt:variant>
      <vt:variant>
        <vt:lpwstr/>
      </vt:variant>
      <vt:variant>
        <vt:lpwstr>_Toc209011735</vt:lpwstr>
      </vt:variant>
      <vt:variant>
        <vt:i4>1376317</vt:i4>
      </vt:variant>
      <vt:variant>
        <vt:i4>2</vt:i4>
      </vt:variant>
      <vt:variant>
        <vt:i4>0</vt:i4>
      </vt:variant>
      <vt:variant>
        <vt:i4>5</vt:i4>
      </vt:variant>
      <vt:variant>
        <vt:lpwstr/>
      </vt:variant>
      <vt:variant>
        <vt:lpwstr>_Toc209011734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CWS/13/27 Annex I (French)</dc:title>
  <dc:subject>Cadre et plateforme d’échange de données sur la propriété intellectuelle</dc:subject>
  <dc:creator>WIPO</dc:creator>
  <cp:keywords>WIPO CWS treizième session, Cadre et plateforme d’échange de données sur la propriété intellectuelle, Annexe</cp:keywords>
  <dc:description/>
  <cp:lastModifiedBy>EMMETT Claudia</cp:lastModifiedBy>
  <cp:revision>114</cp:revision>
  <cp:lastPrinted>2025-10-29T16:26:00Z</cp:lastPrinted>
  <dcterms:created xsi:type="dcterms:W3CDTF">2025-10-20T09:56:00Z</dcterms:created>
  <dcterms:modified xsi:type="dcterms:W3CDTF">2025-10-29T16:27:00Z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0x01010043A0F979BE30A3469F998CB749C11FBD00E3EF1C0FCFA26B4087379DC2A12DE885</vt:lpwstr>
  </property>
  <property fmtid="{D5CDD505-2E9C-101B-9397-08002B2CF9AE}" pid="3" name="BusinessUnit">
    <vt:lpwstr>4;#International Classifications and Standards Division|1bda9d19-f2c0-4f24-b9f1-c91ec6b8f041</vt:lpwstr>
  </property>
  <property fmtid="{D5CDD505-2E9C-101B-9397-08002B2CF9AE}" pid="4" name="RMClassification">
    <vt:lpwstr>105;#10 Publications|351d4749-6841-4db0-8571-0d9e2b311a64</vt:lpwstr>
  </property>
  <property fmtid="{D5CDD505-2E9C-101B-9397-08002B2CF9AE}" pid="5" name="Body1">
    <vt:lpwstr>3;#Committee on WIPO Standards|505ec630-c8e5-4e30-8a4a-e8d9be6ccbb1</vt:lpwstr>
  </property>
  <property fmtid="{D5CDD505-2E9C-101B-9397-08002B2CF9AE}" pid="6" name="Languages">
    <vt:lpwstr>1;#English|950e6fa2-2df0-4983-a604-54e57c7a6d93</vt:lpwstr>
  </property>
  <property fmtid="{D5CDD505-2E9C-101B-9397-08002B2CF9AE}" pid="7" name="gbd88f87496145e58da10973a57b07b8">
    <vt:lpwstr>Committee on WIPO Standards|505ec630-c8e5-4e30-8a4a-e8d9be6ccbb1</vt:lpwstr>
  </property>
  <property fmtid="{D5CDD505-2E9C-101B-9397-08002B2CF9AE}" pid="8" name="_dlc_DocIdItemGuid">
    <vt:lpwstr>a3114a78-1628-491c-9390-88e3ef189658</vt:lpwstr>
  </property>
  <property fmtid="{D5CDD505-2E9C-101B-9397-08002B2CF9AE}" pid="9" name="MediaServiceImageTags">
    <vt:lpwstr/>
  </property>
  <property fmtid="{D5CDD505-2E9C-101B-9397-08002B2CF9AE}" pid="10" name="m4535404f5974080b635c68c1acaf1ab">
    <vt:lpwstr/>
  </property>
  <property fmtid="{D5CDD505-2E9C-101B-9397-08002B2CF9AE}" pid="11" name="lcf76f155ced4ddcb4097134ff3c332f">
    <vt:lpwstr/>
  </property>
  <property fmtid="{D5CDD505-2E9C-101B-9397-08002B2CF9AE}" pid="12" name="ECCM_Year">
    <vt:lpwstr/>
  </property>
  <property fmtid="{D5CDD505-2E9C-101B-9397-08002B2CF9AE}" pid="13" name="k5f91d7f67f54ee29b509143279df90f">
    <vt:lpwstr/>
  </property>
  <property fmtid="{D5CDD505-2E9C-101B-9397-08002B2CF9AE}" pid="14" name="IPTopics">
    <vt:lpwstr/>
  </property>
  <property fmtid="{D5CDD505-2E9C-101B-9397-08002B2CF9AE}" pid="15" name="docLang">
    <vt:lpwstr>en</vt:lpwstr>
  </property>
  <property fmtid="{D5CDD505-2E9C-101B-9397-08002B2CF9AE}" pid="16" name="MSIP_Label_20773ee6-353b-4fb9-a59d-0b94c8c67bea_Enabled">
    <vt:lpwstr>true</vt:lpwstr>
  </property>
  <property fmtid="{D5CDD505-2E9C-101B-9397-08002B2CF9AE}" pid="17" name="MSIP_Label_20773ee6-353b-4fb9-a59d-0b94c8c67bea_SetDate">
    <vt:lpwstr>2025-10-21T12:06:51Z</vt:lpwstr>
  </property>
  <property fmtid="{D5CDD505-2E9C-101B-9397-08002B2CF9AE}" pid="18" name="MSIP_Label_20773ee6-353b-4fb9-a59d-0b94c8c67bea_Method">
    <vt:lpwstr>Privileged</vt:lpwstr>
  </property>
  <property fmtid="{D5CDD505-2E9C-101B-9397-08002B2CF9AE}" pid="19" name="MSIP_Label_20773ee6-353b-4fb9-a59d-0b94c8c67bea_Name">
    <vt:lpwstr>No markings</vt:lpwstr>
  </property>
  <property fmtid="{D5CDD505-2E9C-101B-9397-08002B2CF9AE}" pid="20" name="MSIP_Label_20773ee6-353b-4fb9-a59d-0b94c8c67bea_SiteId">
    <vt:lpwstr>faa31b06-8ccc-48c9-867f-f7510dd11c02</vt:lpwstr>
  </property>
  <property fmtid="{D5CDD505-2E9C-101B-9397-08002B2CF9AE}" pid="21" name="MSIP_Label_20773ee6-353b-4fb9-a59d-0b94c8c67bea_ActionId">
    <vt:lpwstr>ad2369c4-a71b-416f-8fd2-a30da7fd5c82</vt:lpwstr>
  </property>
  <property fmtid="{D5CDD505-2E9C-101B-9397-08002B2CF9AE}" pid="22" name="MSIP_Label_20773ee6-353b-4fb9-a59d-0b94c8c67bea_ContentBits">
    <vt:lpwstr>0</vt:lpwstr>
  </property>
  <property fmtid="{D5CDD505-2E9C-101B-9397-08002B2CF9AE}" pid="23" name="MSIP_Label_20773ee6-353b-4fb9-a59d-0b94c8c67bea_Tag">
    <vt:lpwstr>10, 0, 1, 1</vt:lpwstr>
  </property>
</Properties>
</file>