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565DD" w14:textId="77777777" w:rsidR="008B2CC1" w:rsidRPr="00290DCD" w:rsidRDefault="00DB0349" w:rsidP="00DB0349">
      <w:pPr>
        <w:spacing w:after="120"/>
        <w:jc w:val="right"/>
      </w:pPr>
      <w:r w:rsidRPr="00290DCD">
        <w:rPr>
          <w:noProof/>
          <w:lang w:eastAsia="en-US"/>
        </w:rPr>
        <w:drawing>
          <wp:inline distT="0" distB="0" distL="0" distR="0" wp14:anchorId="35459DD8" wp14:editId="4AC52D74">
            <wp:extent cx="2948267" cy="1332000"/>
            <wp:effectExtent l="0" t="0" r="5080" b="1905"/>
            <wp:docPr id="4" name="Picture 4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IPO_logo_F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267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87BCF" w:rsidRPr="00290DCD">
        <w:rPr>
          <w:rFonts w:ascii="Arial Black" w:hAnsi="Arial Black"/>
          <w:caps/>
          <w:noProof/>
          <w:sz w:val="15"/>
          <w:szCs w:val="15"/>
          <w:lang w:eastAsia="en-US"/>
        </w:rPr>
        <mc:AlternateContent>
          <mc:Choice Requires="wps">
            <w:drawing>
              <wp:inline distT="0" distB="0" distL="0" distR="0" wp14:anchorId="096D87A5" wp14:editId="49F989E0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E08B04B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5E11A2E7" w14:textId="6F79774E" w:rsidR="008B2CC1" w:rsidRPr="00290DCD" w:rsidRDefault="00197881" w:rsidP="00DB0349">
      <w:pPr>
        <w:jc w:val="right"/>
        <w:rPr>
          <w:rFonts w:ascii="Arial Black" w:hAnsi="Arial Black"/>
          <w:caps/>
          <w:sz w:val="15"/>
          <w:szCs w:val="15"/>
        </w:rPr>
      </w:pPr>
      <w:r w:rsidRPr="00290DCD">
        <w:rPr>
          <w:rFonts w:ascii="Arial Black" w:hAnsi="Arial Black"/>
          <w:caps/>
          <w:sz w:val="15"/>
          <w:szCs w:val="15"/>
        </w:rPr>
        <w:t>CWS/1</w:t>
      </w:r>
      <w:r w:rsidR="005A3309" w:rsidRPr="00290DCD">
        <w:rPr>
          <w:rFonts w:ascii="Arial Black" w:hAnsi="Arial Black"/>
          <w:caps/>
          <w:sz w:val="15"/>
          <w:szCs w:val="15"/>
        </w:rPr>
        <w:t>3</w:t>
      </w:r>
      <w:r w:rsidRPr="00290DCD">
        <w:rPr>
          <w:rFonts w:ascii="Arial Black" w:hAnsi="Arial Black"/>
          <w:caps/>
          <w:sz w:val="15"/>
          <w:szCs w:val="15"/>
        </w:rPr>
        <w:t>/</w:t>
      </w:r>
      <w:bookmarkStart w:id="0" w:name="Code"/>
      <w:bookmarkEnd w:id="0"/>
      <w:r w:rsidR="003963E7">
        <w:rPr>
          <w:rFonts w:ascii="Arial Black" w:hAnsi="Arial Black"/>
          <w:caps/>
          <w:sz w:val="15"/>
          <w:szCs w:val="15"/>
        </w:rPr>
        <w:t>25</w:t>
      </w:r>
      <w:r w:rsidR="003F5C09">
        <w:rPr>
          <w:rFonts w:ascii="Arial Black" w:hAnsi="Arial Black"/>
          <w:caps/>
          <w:sz w:val="15"/>
          <w:szCs w:val="15"/>
        </w:rPr>
        <w:t xml:space="preserve"> Rev.</w:t>
      </w:r>
    </w:p>
    <w:p w14:paraId="65A36D07" w14:textId="1E4E7A6D" w:rsidR="008B2CC1" w:rsidRPr="00290DCD" w:rsidRDefault="00DB0349" w:rsidP="00DB0349">
      <w:pPr>
        <w:jc w:val="right"/>
        <w:rPr>
          <w:rFonts w:ascii="Arial Black" w:hAnsi="Arial Black"/>
          <w:caps/>
          <w:sz w:val="15"/>
          <w:szCs w:val="15"/>
        </w:rPr>
      </w:pPr>
      <w:r w:rsidRPr="00290DCD">
        <w:rPr>
          <w:rFonts w:ascii="Arial Black" w:hAnsi="Arial Black"/>
          <w:caps/>
          <w:sz w:val="15"/>
          <w:szCs w:val="15"/>
        </w:rPr>
        <w:t>Original</w:t>
      </w:r>
      <w:r w:rsidR="00B33994">
        <w:rPr>
          <w:rFonts w:ascii="Arial Black" w:hAnsi="Arial Black"/>
          <w:caps/>
          <w:sz w:val="15"/>
          <w:szCs w:val="15"/>
        </w:rPr>
        <w:t> :</w:t>
      </w:r>
      <w:r w:rsidRPr="00290DCD">
        <w:rPr>
          <w:rFonts w:ascii="Arial Black" w:hAnsi="Arial Black"/>
          <w:caps/>
          <w:sz w:val="15"/>
          <w:szCs w:val="15"/>
        </w:rPr>
        <w:t xml:space="preserve"> </w:t>
      </w:r>
      <w:bookmarkStart w:id="1" w:name="Original"/>
      <w:r w:rsidR="003963E7">
        <w:rPr>
          <w:rFonts w:ascii="Arial Black" w:hAnsi="Arial Black"/>
          <w:caps/>
          <w:sz w:val="15"/>
          <w:szCs w:val="15"/>
        </w:rPr>
        <w:t>anglais</w:t>
      </w:r>
    </w:p>
    <w:bookmarkEnd w:id="1"/>
    <w:p w14:paraId="499AA213" w14:textId="1977D7D4" w:rsidR="008B2CC1" w:rsidRPr="00290DCD" w:rsidRDefault="00B66A77" w:rsidP="00DB0349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D</w:t>
      </w:r>
      <w:r w:rsidR="00DB0349" w:rsidRPr="00290DCD">
        <w:rPr>
          <w:rFonts w:ascii="Arial Black" w:hAnsi="Arial Black"/>
          <w:caps/>
          <w:sz w:val="15"/>
          <w:szCs w:val="15"/>
        </w:rPr>
        <w:t>ate</w:t>
      </w:r>
      <w:r w:rsidR="00B33994">
        <w:rPr>
          <w:rFonts w:ascii="Arial Black" w:hAnsi="Arial Black"/>
          <w:caps/>
          <w:sz w:val="15"/>
          <w:szCs w:val="15"/>
        </w:rPr>
        <w:t> :</w:t>
      </w:r>
      <w:r w:rsidR="00DB0349" w:rsidRPr="00290DCD">
        <w:rPr>
          <w:rFonts w:ascii="Arial Black" w:hAnsi="Arial Black"/>
          <w:caps/>
          <w:sz w:val="15"/>
          <w:szCs w:val="15"/>
        </w:rPr>
        <w:t xml:space="preserve"> </w:t>
      </w:r>
      <w:bookmarkStart w:id="2" w:name="Date"/>
      <w:r w:rsidR="003F5C09">
        <w:rPr>
          <w:rFonts w:ascii="Arial Black" w:hAnsi="Arial Black"/>
          <w:caps/>
          <w:sz w:val="15"/>
          <w:szCs w:val="15"/>
        </w:rPr>
        <w:t>14</w:t>
      </w:r>
      <w:r w:rsidR="003963E7">
        <w:rPr>
          <w:rFonts w:ascii="Arial Black" w:hAnsi="Arial Black"/>
          <w:caps/>
          <w:sz w:val="15"/>
          <w:szCs w:val="15"/>
        </w:rPr>
        <w:t> </w:t>
      </w:r>
      <w:r w:rsidR="003F5C09">
        <w:rPr>
          <w:rFonts w:ascii="Arial Black" w:hAnsi="Arial Black"/>
          <w:caps/>
          <w:sz w:val="15"/>
          <w:szCs w:val="15"/>
        </w:rPr>
        <w:t>Octobre</w:t>
      </w:r>
      <w:r w:rsidR="003963E7">
        <w:rPr>
          <w:rFonts w:ascii="Arial Black" w:hAnsi="Arial Black"/>
          <w:caps/>
          <w:sz w:val="15"/>
          <w:szCs w:val="15"/>
        </w:rPr>
        <w:t> 2025</w:t>
      </w:r>
    </w:p>
    <w:bookmarkEnd w:id="2"/>
    <w:p w14:paraId="4C488865" w14:textId="16627C9A" w:rsidR="00C40E15" w:rsidRPr="00290DCD" w:rsidRDefault="00197881" w:rsidP="00DB0349">
      <w:pPr>
        <w:spacing w:after="600"/>
        <w:rPr>
          <w:b/>
          <w:sz w:val="28"/>
          <w:szCs w:val="28"/>
        </w:rPr>
      </w:pPr>
      <w:r w:rsidRPr="00290DCD">
        <w:rPr>
          <w:b/>
          <w:sz w:val="28"/>
          <w:szCs w:val="28"/>
        </w:rPr>
        <w:t>Comité des normes de l</w:t>
      </w:r>
      <w:r w:rsidR="00B33994">
        <w:rPr>
          <w:b/>
          <w:sz w:val="28"/>
          <w:szCs w:val="28"/>
        </w:rPr>
        <w:t>’</w:t>
      </w:r>
      <w:r w:rsidRPr="00290DCD">
        <w:rPr>
          <w:b/>
          <w:sz w:val="28"/>
          <w:szCs w:val="28"/>
        </w:rPr>
        <w:t>OMPI (CWS)</w:t>
      </w:r>
    </w:p>
    <w:p w14:paraId="15A56E33" w14:textId="747F3FC3" w:rsidR="008B2CC1" w:rsidRPr="00290DCD" w:rsidRDefault="0099108F" w:rsidP="008B2CC1">
      <w:pPr>
        <w:rPr>
          <w:b/>
          <w:sz w:val="28"/>
          <w:szCs w:val="24"/>
        </w:rPr>
      </w:pPr>
      <w:r w:rsidRPr="00290DCD">
        <w:rPr>
          <w:b/>
          <w:sz w:val="24"/>
        </w:rPr>
        <w:t>Treiz</w:t>
      </w:r>
      <w:r w:rsidR="00B33994">
        <w:rPr>
          <w:b/>
          <w:sz w:val="24"/>
        </w:rPr>
        <w:t>ième session</w:t>
      </w:r>
    </w:p>
    <w:p w14:paraId="06815666" w14:textId="77777777" w:rsidR="008B2CC1" w:rsidRPr="00290DCD" w:rsidRDefault="00197881" w:rsidP="00DB0349">
      <w:pPr>
        <w:spacing w:after="720"/>
        <w:rPr>
          <w:b/>
          <w:sz w:val="28"/>
          <w:szCs w:val="24"/>
        </w:rPr>
      </w:pPr>
      <w:r w:rsidRPr="00290DCD">
        <w:rPr>
          <w:b/>
          <w:sz w:val="24"/>
        </w:rPr>
        <w:t>Genève,</w:t>
      </w:r>
      <w:r w:rsidR="001352EC" w:rsidRPr="00290DCD">
        <w:rPr>
          <w:b/>
          <w:sz w:val="24"/>
        </w:rPr>
        <w:t xml:space="preserve"> 1</w:t>
      </w:r>
      <w:r w:rsidR="0099108F" w:rsidRPr="00290DCD">
        <w:rPr>
          <w:b/>
          <w:sz w:val="24"/>
        </w:rPr>
        <w:t>0</w:t>
      </w:r>
      <w:r w:rsidR="001352EC" w:rsidRPr="00290DCD">
        <w:rPr>
          <w:b/>
          <w:sz w:val="24"/>
        </w:rPr>
        <w:t xml:space="preserve"> – </w:t>
      </w:r>
      <w:r w:rsidR="0099108F" w:rsidRPr="00290DCD">
        <w:rPr>
          <w:b/>
          <w:sz w:val="24"/>
        </w:rPr>
        <w:t>14 nov</w:t>
      </w:r>
      <w:r w:rsidR="001352EC" w:rsidRPr="00290DCD">
        <w:rPr>
          <w:b/>
          <w:sz w:val="24"/>
        </w:rPr>
        <w:t>embre</w:t>
      </w:r>
      <w:r w:rsidR="0099108F" w:rsidRPr="00290DCD">
        <w:rPr>
          <w:b/>
          <w:sz w:val="24"/>
        </w:rPr>
        <w:t> </w:t>
      </w:r>
      <w:r w:rsidR="001352EC" w:rsidRPr="00290DCD">
        <w:rPr>
          <w:b/>
          <w:sz w:val="24"/>
        </w:rPr>
        <w:t>202</w:t>
      </w:r>
      <w:r w:rsidR="0099108F" w:rsidRPr="00290DCD">
        <w:rPr>
          <w:b/>
          <w:sz w:val="24"/>
        </w:rPr>
        <w:t>5</w:t>
      </w:r>
    </w:p>
    <w:p w14:paraId="76EE435F" w14:textId="7C3EA796" w:rsidR="00B33994" w:rsidRDefault="003963E7" w:rsidP="003963E7">
      <w:pPr>
        <w:spacing w:after="360"/>
        <w:rPr>
          <w:caps/>
          <w:sz w:val="24"/>
        </w:rPr>
      </w:pPr>
      <w:bookmarkStart w:id="3" w:name="Prepared"/>
      <w:r>
        <w:rPr>
          <w:caps/>
          <w:sz w:val="24"/>
        </w:rPr>
        <w:t>Mise à jour de la partie 4 du Manuel de l</w:t>
      </w:r>
      <w:r w:rsidR="00B33994">
        <w:rPr>
          <w:caps/>
          <w:sz w:val="24"/>
        </w:rPr>
        <w:t>’</w:t>
      </w:r>
      <w:r>
        <w:rPr>
          <w:caps/>
          <w:sz w:val="24"/>
        </w:rPr>
        <w:t>OMPI intitulée “Documentation minimale</w:t>
      </w:r>
      <w:r w:rsidR="00B33994">
        <w:rPr>
          <w:caps/>
          <w:sz w:val="24"/>
        </w:rPr>
        <w:t xml:space="preserve"> du PCT</w:t>
      </w:r>
      <w:r>
        <w:rPr>
          <w:caps/>
          <w:sz w:val="24"/>
        </w:rPr>
        <w:t>”</w:t>
      </w:r>
    </w:p>
    <w:p w14:paraId="05A1349E" w14:textId="3FCEADCC" w:rsidR="003963E7" w:rsidRDefault="003963E7" w:rsidP="003963E7">
      <w:pPr>
        <w:spacing w:after="960"/>
        <w:rPr>
          <w:i/>
          <w:iCs/>
        </w:rPr>
      </w:pPr>
      <w:r>
        <w:rPr>
          <w:i/>
        </w:rPr>
        <w:t xml:space="preserve">Document établi par le </w:t>
      </w:r>
      <w:bookmarkEnd w:id="3"/>
      <w:r>
        <w:rPr>
          <w:i/>
        </w:rPr>
        <w:t>Bureau international</w:t>
      </w:r>
    </w:p>
    <w:p w14:paraId="146C5596" w14:textId="77777777" w:rsidR="003963E7" w:rsidRDefault="003963E7" w:rsidP="0099109B">
      <w:pPr>
        <w:pStyle w:val="Heading2"/>
      </w:pPr>
      <w:r>
        <w:t>Résumé</w:t>
      </w:r>
    </w:p>
    <w:p w14:paraId="25020FA7" w14:textId="68400BCA" w:rsidR="00B33994" w:rsidRDefault="003963E7" w:rsidP="0099109B">
      <w:pPr>
        <w:pStyle w:val="ONUMFS"/>
      </w:pPr>
      <w:r>
        <w:t xml:space="preserve">Le Secrétariat mettra à jour la partie 4.1 du </w:t>
      </w:r>
      <w:r>
        <w:rPr>
          <w:i/>
        </w:rPr>
        <w:t>Manuel de l</w:t>
      </w:r>
      <w:r w:rsidR="00B33994">
        <w:rPr>
          <w:i/>
        </w:rPr>
        <w:t>’</w:t>
      </w:r>
      <w:r>
        <w:rPr>
          <w:i/>
        </w:rPr>
        <w:t>OMPI sur l</w:t>
      </w:r>
      <w:r w:rsidR="00B33994">
        <w:rPr>
          <w:i/>
        </w:rPr>
        <w:t>’</w:t>
      </w:r>
      <w:r>
        <w:rPr>
          <w:i/>
        </w:rPr>
        <w:t>information et la documentation en matière de propriété intellectuelle</w:t>
      </w:r>
      <w:r>
        <w:t xml:space="preserve"> à la suite des modifications apportées à la définition de la documentation minimale du Traité de coopération en matière de brevets (PCT) qui prendront effet le</w:t>
      </w:r>
      <w:r w:rsidR="00B33994">
        <w:t xml:space="preserve"> 1</w:t>
      </w:r>
      <w:r w:rsidR="00B33994" w:rsidRPr="00B33994">
        <w:rPr>
          <w:vertAlign w:val="superscript"/>
        </w:rPr>
        <w:t>er</w:t>
      </w:r>
      <w:r w:rsidR="00B33994">
        <w:t> janvier 20</w:t>
      </w:r>
      <w:r>
        <w:t xml:space="preserve">26.  Le Secrétariat profite également de cette occasion pour passer à un format plus </w:t>
      </w:r>
      <w:r w:rsidR="00B33994">
        <w:t>“a</w:t>
      </w:r>
      <w:r>
        <w:t>xé sur le numériqu</w:t>
      </w:r>
      <w:r w:rsidR="00B33994">
        <w:t>e”</w:t>
      </w:r>
      <w:r>
        <w:t xml:space="preserve"> et plus accessible pour présenter ces informations.</w:t>
      </w:r>
    </w:p>
    <w:p w14:paraId="20263E5E" w14:textId="275FE5DD" w:rsidR="003963E7" w:rsidRDefault="003963E7" w:rsidP="0099109B">
      <w:pPr>
        <w:pStyle w:val="Heading2"/>
      </w:pPr>
      <w:r>
        <w:t>Rappel</w:t>
      </w:r>
    </w:p>
    <w:p w14:paraId="76337130" w14:textId="18C5C666" w:rsidR="003963E7" w:rsidRDefault="003963E7" w:rsidP="0099109B">
      <w:pPr>
        <w:pStyle w:val="ONUMFS"/>
      </w:pPr>
      <w:r>
        <w:t>À sa cinquante</w:t>
      </w:r>
      <w:r w:rsidR="0099109B">
        <w:noBreakHyphen/>
      </w:r>
      <w:r>
        <w:t>cinqu</w:t>
      </w:r>
      <w:r w:rsidR="00B33994">
        <w:t>ième session</w:t>
      </w:r>
      <w:r>
        <w:t xml:space="preserve"> (24</w:t>
      </w:r>
      <w:r>
        <w:rPr>
          <w:vertAlign w:val="superscript"/>
        </w:rPr>
        <w:t>e</w:t>
      </w:r>
      <w:r>
        <w:t xml:space="preserve"> session ordinaire) tenue en </w:t>
      </w:r>
      <w:r w:rsidR="00B33994">
        <w:t>juillet 20</w:t>
      </w:r>
      <w:r>
        <w:t>23, l</w:t>
      </w:r>
      <w:r w:rsidR="00B33994">
        <w:t>’</w:t>
      </w:r>
      <w:r>
        <w:t>Assemblée de l</w:t>
      </w:r>
      <w:r w:rsidR="00B33994">
        <w:t>’</w:t>
      </w:r>
      <w:r>
        <w:t>Union</w:t>
      </w:r>
      <w:r w:rsidR="00B33994">
        <w:t xml:space="preserve"> du PCT</w:t>
      </w:r>
      <w:r>
        <w:t xml:space="preserve"> a adopté les modifications apportées aux règles 34, 36 et 63, ainsi qu</w:t>
      </w:r>
      <w:r w:rsidR="00B33994">
        <w:t>’</w:t>
      </w:r>
      <w:r>
        <w:t>un mémorandum d</w:t>
      </w:r>
      <w:r w:rsidR="00B33994">
        <w:t>’</w:t>
      </w:r>
      <w:r>
        <w:t>accord concernant l</w:t>
      </w:r>
      <w:r w:rsidR="00B33994">
        <w:t>’</w:t>
      </w:r>
      <w:r>
        <w:t>interprétation des règles 36 et 63 (voir le document</w:t>
      </w:r>
      <w:r w:rsidR="0099109B">
        <w:t> </w:t>
      </w:r>
      <w:r>
        <w:t>PCT/A/55/2 et le paragraphe 32 du document</w:t>
      </w:r>
      <w:r w:rsidR="0099109B">
        <w:t> </w:t>
      </w:r>
      <w:r>
        <w:t>PCT/A/55/4).  Ces modifications concernent la définition de la documentation minimale</w:t>
      </w:r>
      <w:r w:rsidR="00B33994">
        <w:t xml:space="preserve"> du PCT</w:t>
      </w:r>
      <w:r>
        <w:t xml:space="preserve"> qu</w:t>
      </w:r>
      <w:r w:rsidR="00B33994">
        <w:t>’</w:t>
      </w:r>
      <w:r>
        <w:t>une administration chargée de la recherche internationale doit consulter lors de la recherche internationale et les exigences</w:t>
      </w:r>
      <w:r w:rsidR="0099109B">
        <w:t> </w:t>
      </w:r>
      <w:r>
        <w:t>minimales auxquelles l</w:t>
      </w:r>
      <w:r w:rsidR="00B33994">
        <w:t>’</w:t>
      </w:r>
      <w:r>
        <w:t>administration chargée de la recherche internationale et l</w:t>
      </w:r>
      <w:r w:rsidR="00B33994">
        <w:t>’</w:t>
      </w:r>
      <w:r>
        <w:t>administration chargée de l</w:t>
      </w:r>
      <w:r w:rsidR="00B33994">
        <w:t>’</w:t>
      </w:r>
      <w:r>
        <w:t>examen préliminaire international doivent satisfai</w:t>
      </w:r>
      <w:r w:rsidR="0099109B">
        <w:t>re.  Le</w:t>
      </w:r>
      <w:r>
        <w:t>s modifications apportées aux instructions administratives</w:t>
      </w:r>
      <w:r w:rsidR="00B33994">
        <w:t xml:space="preserve"> du PCT</w:t>
      </w:r>
      <w:r>
        <w:t xml:space="preserve"> afin de préciser les exigences visées dans ces règles, </w:t>
      </w:r>
      <w:r w:rsidR="00B33994">
        <w:t>y compris</w:t>
      </w:r>
      <w:r>
        <w:t xml:space="preserve"> une nouvelle </w:t>
      </w:r>
      <w:r w:rsidR="00B33994">
        <w:t>annexe H</w:t>
      </w:r>
      <w:r>
        <w:t xml:space="preserve">, ont été promulguées en </w:t>
      </w:r>
      <w:r w:rsidR="00B33994">
        <w:t>juin 20</w:t>
      </w:r>
      <w:r>
        <w:t>24 dans la circulaire</w:t>
      </w:r>
      <w:r w:rsidR="0099109B">
        <w:t> </w:t>
      </w:r>
      <w:r>
        <w:t>C. PCT 1672.  Ces modifications entreront en vigueur le</w:t>
      </w:r>
      <w:r w:rsidR="00B33994">
        <w:t xml:space="preserve"> 1</w:t>
      </w:r>
      <w:r w:rsidR="00B33994" w:rsidRPr="00B33994">
        <w:rPr>
          <w:vertAlign w:val="superscript"/>
        </w:rPr>
        <w:t>er</w:t>
      </w:r>
      <w:r w:rsidR="00B33994">
        <w:t> janvier 20</w:t>
      </w:r>
      <w:r>
        <w:t>26.  En vertu de ces dispositions, un office sera tenu de mettre ses collections de brevets et de modèles d</w:t>
      </w:r>
      <w:r w:rsidR="00B33994">
        <w:t>’</w:t>
      </w:r>
      <w:r>
        <w:t>utilité à la disposition de toutes les administrations chargées de la recherche internationale, conformément aux exigences techniques et en matière d</w:t>
      </w:r>
      <w:r w:rsidR="00B33994">
        <w:t>’</w:t>
      </w:r>
      <w:r>
        <w:t>accessibilité énoncées à l</w:t>
      </w:r>
      <w:r w:rsidR="00B33994">
        <w:t>’annexe H</w:t>
      </w:r>
      <w:r>
        <w:t xml:space="preserve"> pour les documents faisant partie de la documentation minimale</w:t>
      </w:r>
      <w:r w:rsidR="00B33994">
        <w:t xml:space="preserve"> du PCT</w:t>
      </w:r>
      <w:r>
        <w:t>.</w:t>
      </w:r>
    </w:p>
    <w:p w14:paraId="1C05B85E" w14:textId="5254B015" w:rsidR="00B33994" w:rsidRDefault="003963E7" w:rsidP="0099109B">
      <w:pPr>
        <w:pStyle w:val="ONUMFS"/>
      </w:pPr>
      <w:r>
        <w:lastRenderedPageBreak/>
        <w:t xml:space="preserve">Le </w:t>
      </w:r>
      <w:r>
        <w:rPr>
          <w:i/>
        </w:rPr>
        <w:t>Manuel de l</w:t>
      </w:r>
      <w:r w:rsidR="00B33994">
        <w:rPr>
          <w:i/>
        </w:rPr>
        <w:t>’</w:t>
      </w:r>
      <w:r>
        <w:rPr>
          <w:i/>
        </w:rPr>
        <w:t>OMPI sur l</w:t>
      </w:r>
      <w:r w:rsidR="00B33994">
        <w:rPr>
          <w:i/>
        </w:rPr>
        <w:t>’</w:t>
      </w:r>
      <w:r>
        <w:rPr>
          <w:i/>
        </w:rPr>
        <w:t>information et la documentation en matière de propriété intellectuelle</w:t>
      </w:r>
      <w:r>
        <w:t xml:space="preserve"> (ci</w:t>
      </w:r>
      <w:r w:rsidR="0099109B">
        <w:noBreakHyphen/>
      </w:r>
      <w:r>
        <w:t>après dénommé “Manuel de l</w:t>
      </w:r>
      <w:r w:rsidR="00B33994">
        <w:t>’</w:t>
      </w:r>
      <w:r>
        <w:t>OMPI”) contient des documents de référence sur l</w:t>
      </w:r>
      <w:r w:rsidR="00B33994">
        <w:t>’</w:t>
      </w:r>
      <w:r>
        <w:t xml:space="preserve">information en matière de propriété intellectuelle, </w:t>
      </w:r>
      <w:r w:rsidR="00B33994">
        <w:t>y compris</w:t>
      </w:r>
      <w:r>
        <w:t xml:space="preserve"> les normes et les directives de l</w:t>
      </w:r>
      <w:r w:rsidR="00B33994">
        <w:t>’</w:t>
      </w:r>
      <w:r>
        <w:t>O</w:t>
      </w:r>
      <w:r w:rsidR="0099109B">
        <w:t>MPI.  La</w:t>
      </w:r>
      <w:r>
        <w:t xml:space="preserve"> partie 4 du Manuel de l</w:t>
      </w:r>
      <w:r w:rsidR="00B33994">
        <w:t>’</w:t>
      </w:r>
      <w:r>
        <w:t>OMPI définit la portée de la collection de documents comprise dans la documentation minimale</w:t>
      </w:r>
      <w:r w:rsidR="00B33994">
        <w:t xml:space="preserve"> du </w:t>
      </w:r>
      <w:r w:rsidR="0099109B">
        <w:t>PCT.  Pl</w:t>
      </w:r>
      <w:r>
        <w:t>us précisément, la partie 4.1 fournit un inventaire des documents de brevet et la partie 4.2 contient une liste des éléments publiés de la littérature autre que celle des brevets, conformément à la règle 34.1 du règlement d</w:t>
      </w:r>
      <w:r w:rsidR="00B33994">
        <w:t>’</w:t>
      </w:r>
      <w:r>
        <w:t>exécution</w:t>
      </w:r>
      <w:r w:rsidR="00B33994">
        <w:t xml:space="preserve"> du PCT</w:t>
      </w:r>
      <w:r>
        <w:t>.</w:t>
      </w:r>
    </w:p>
    <w:p w14:paraId="098080AB" w14:textId="435E8449" w:rsidR="003963E7" w:rsidRDefault="003963E7" w:rsidP="0099109B">
      <w:pPr>
        <w:pStyle w:val="Heading2"/>
      </w:pPr>
      <w:r>
        <w:t>Mises à jour proposées pour la partie 4.1</w:t>
      </w:r>
    </w:p>
    <w:p w14:paraId="7083D7DA" w14:textId="69745491" w:rsidR="00B33994" w:rsidRDefault="003963E7" w:rsidP="0099109B">
      <w:pPr>
        <w:pStyle w:val="ONUMFS"/>
      </w:pPr>
      <w:r>
        <w:t>À la suite des modifications apportées au règlement d</w:t>
      </w:r>
      <w:r w:rsidR="00B33994">
        <w:t>’</w:t>
      </w:r>
      <w:r>
        <w:t>exécution</w:t>
      </w:r>
      <w:r w:rsidR="00B33994">
        <w:t xml:space="preserve"> du PCT</w:t>
      </w:r>
      <w:r>
        <w:t>, le Bureau international mettra à jour la partie 4.1 du Manuel de l</w:t>
      </w:r>
      <w:r w:rsidR="00B33994">
        <w:t>’</w:t>
      </w:r>
      <w:r>
        <w:t>OMPI de sorte qu</w:t>
      </w:r>
      <w:r w:rsidR="00B33994">
        <w:t>’</w:t>
      </w:r>
      <w:r>
        <w:t>elle indique exactement les documents à inclure dans la documentation minimale</w:t>
      </w:r>
      <w:r w:rsidR="00B33994">
        <w:t xml:space="preserve"> du PCT</w:t>
      </w:r>
      <w:r>
        <w:t xml:space="preserve"> lorsque les nouvelles règles entreront en vigueur le</w:t>
      </w:r>
      <w:r w:rsidR="00B33994">
        <w:t xml:space="preserve"> 1</w:t>
      </w:r>
      <w:r w:rsidR="00B33994" w:rsidRPr="00B33994">
        <w:rPr>
          <w:vertAlign w:val="superscript"/>
        </w:rPr>
        <w:t>er</w:t>
      </w:r>
      <w:r w:rsidR="00B33994">
        <w:t> janvier 20</w:t>
      </w:r>
      <w:r>
        <w:t>26.  Les mises à jour porteront sur tous les documents relatifs aux modèles d</w:t>
      </w:r>
      <w:r w:rsidR="00B33994">
        <w:t>’</w:t>
      </w:r>
      <w:r>
        <w:t>utilité ayant été mis à disposition par les offices, ainsi que les collections de brevets provenant d</w:t>
      </w:r>
      <w:r w:rsidR="00B33994">
        <w:t>’</w:t>
      </w:r>
      <w:r>
        <w:t>autres offices ou organisatio</w:t>
      </w:r>
      <w:r w:rsidR="0099109B">
        <w:t>ns.  La</w:t>
      </w:r>
      <w:r>
        <w:t xml:space="preserve"> mise à jour de la partie 4.2 du Manuel de l</w:t>
      </w:r>
      <w:r w:rsidR="00B33994">
        <w:t>’</w:t>
      </w:r>
      <w:r>
        <w:t xml:space="preserve">OMPI est prévue </w:t>
      </w:r>
      <w:r w:rsidR="00B33994">
        <w:t>pour 2026</w:t>
      </w:r>
      <w:r>
        <w:t>.</w:t>
      </w:r>
    </w:p>
    <w:p w14:paraId="563ED42C" w14:textId="48DA6E0E" w:rsidR="00B33994" w:rsidRDefault="003963E7" w:rsidP="0099109B">
      <w:pPr>
        <w:pStyle w:val="ONUMFS"/>
      </w:pPr>
      <w:r>
        <w:t>Pour information, à compter du</w:t>
      </w:r>
      <w:r w:rsidR="00B33994">
        <w:t xml:space="preserve"> 1</w:t>
      </w:r>
      <w:r w:rsidR="00B33994" w:rsidRPr="00B33994">
        <w:rPr>
          <w:vertAlign w:val="superscript"/>
        </w:rPr>
        <w:t>er</w:t>
      </w:r>
      <w:r w:rsidR="00B33994">
        <w:t> janvier 20</w:t>
      </w:r>
      <w:r>
        <w:t>26, les documents de brevets et les documents relatifs à des modèles d</w:t>
      </w:r>
      <w:r w:rsidR="00B33994">
        <w:t>’</w:t>
      </w:r>
      <w:r>
        <w:t>utilité fournis par les 39 offices ou organisations</w:t>
      </w:r>
      <w:r w:rsidRPr="00D206D4">
        <w:rPr>
          <w:rStyle w:val="FootnoteReference"/>
          <w:szCs w:val="22"/>
        </w:rPr>
        <w:footnoteReference w:id="2"/>
      </w:r>
      <w:r>
        <w:t xml:space="preserve"> ci</w:t>
      </w:r>
      <w:r w:rsidR="0099109B">
        <w:noBreakHyphen/>
      </w:r>
      <w:r>
        <w:t>après sont considérés comme des contributions à la documentation minimale</w:t>
      </w:r>
      <w:r w:rsidR="00B33994">
        <w:t xml:space="preserve"> du PCT</w:t>
      </w:r>
      <w:r>
        <w:t>.  Ceux indiqués par un astérisque (*) n</w:t>
      </w:r>
      <w:r w:rsidR="00B33994">
        <w:t>’</w:t>
      </w:r>
      <w:r>
        <w:t>étaient pas considérés dans la mise à jour précédente comme faisant partie de la documentation minimale</w:t>
      </w:r>
      <w:r w:rsidR="00B33994">
        <w:t xml:space="preserve"> du PCT :</w:t>
      </w:r>
      <w:r>
        <w:t xml:space="preserve"> Allemagne (DE), ancien Reichspatentamt allemand (DE), </w:t>
      </w:r>
      <w:r w:rsidR="00B33994">
        <w:t>Arabie saoudite</w:t>
      </w:r>
      <w:r>
        <w:t xml:space="preserve"> (SA)*, Australie (AU), Autriche (AT), Brésil (BR)*, Canada (CA), Chili (CL)*, Chine (CN), Conseil de coopération du Golfe (GC), Danemark (DK)*, Égypte (EY)*, Espagne (ES)*, États</w:t>
      </w:r>
      <w:r w:rsidR="0099109B">
        <w:noBreakHyphen/>
      </w:r>
      <w:r>
        <w:t>Unis d</w:t>
      </w:r>
      <w:r w:rsidR="00B33994">
        <w:t>’</w:t>
      </w:r>
      <w:r>
        <w:t>Amérique (US), (Ex</w:t>
      </w:r>
      <w:r w:rsidR="0099109B">
        <w:noBreakHyphen/>
      </w:r>
      <w:r>
        <w:t>)République démocratique allemande (DD), (Ex</w:t>
      </w:r>
      <w:r w:rsidR="0099109B">
        <w:noBreakHyphen/>
      </w:r>
      <w:r>
        <w:t>)Union soviétique (SU), Fédération de Russie (RU), Finlande (FI)*, France (FR), Hongrie</w:t>
      </w:r>
      <w:r w:rsidR="0099109B">
        <w:t> </w:t>
      </w:r>
      <w:r>
        <w:t>(HU)*, Islande (IS)*, Inde (IN)*, Israël (IL)*, Bureau international de l</w:t>
      </w:r>
      <w:r w:rsidR="00B33994">
        <w:t>’</w:t>
      </w:r>
      <w:r>
        <w:t>OMPI (WO), Japon</w:t>
      </w:r>
      <w:r w:rsidR="0099109B">
        <w:t> </w:t>
      </w:r>
      <w:r>
        <w:t>(JP), Norvège (NO)*, Office européen des brevets (EP), Office eurasien des brevets (EA), Organisation africaine de la propriété intellectuelle (OA), Organisation régionale africaine de la propriété industrielle (AP), Philippines (PH)*, Pologne (PL)*, République de Corée (KR), République slovaque (SK)*, République tchèque (CZ)*, Royaume</w:t>
      </w:r>
      <w:r w:rsidR="0099109B">
        <w:noBreakHyphen/>
      </w:r>
      <w:r>
        <w:t>Uni (GB), Singapour (SG)*, Suède (SE)*, Suisse (en français et en allemand uniquement) (CH), Turquie (TR)* et Ukraine</w:t>
      </w:r>
      <w:r w:rsidR="0099109B">
        <w:t> </w:t>
      </w:r>
      <w:r>
        <w:t>(UA)*.</w:t>
      </w:r>
    </w:p>
    <w:p w14:paraId="71A3E29E" w14:textId="28F96E23" w:rsidR="003963E7" w:rsidRDefault="003963E7" w:rsidP="0099109B">
      <w:pPr>
        <w:pStyle w:val="ONUMFS"/>
      </w:pPr>
      <w:r>
        <w:t>Actuellement, le Manuel de l</w:t>
      </w:r>
      <w:r w:rsidR="00B33994">
        <w:t>’</w:t>
      </w:r>
      <w:r>
        <w:t>OMPI consiste en un ensemble de documents PDF publiés sur le site</w:t>
      </w:r>
      <w:r w:rsidR="00023391">
        <w:t> </w:t>
      </w:r>
      <w:r>
        <w:t>Web de l</w:t>
      </w:r>
      <w:r w:rsidR="00B33994">
        <w:t>’</w:t>
      </w:r>
      <w:r>
        <w:t>OMPI à l</w:t>
      </w:r>
      <w:r w:rsidR="00B33994">
        <w:t>’</w:t>
      </w:r>
      <w:r>
        <w:t>adresse suivante</w:t>
      </w:r>
      <w:r w:rsidR="00B33994">
        <w:t> :</w:t>
      </w:r>
      <w:r>
        <w:t xml:space="preserve"> </w:t>
      </w:r>
      <w:hyperlink r:id="rId8">
        <w:r>
          <w:rPr>
            <w:rStyle w:val="Hyperlink"/>
          </w:rPr>
          <w:t>https://www.wipo.int/fr/web/standards/handbook</w:t>
        </w:r>
      </w:hyperlink>
      <w:r>
        <w:t>.  Au lieu de mises à jour du document PDF existant, qui consiste en un grand tableau s</w:t>
      </w:r>
      <w:r w:rsidR="00B33994">
        <w:t>’</w:t>
      </w:r>
      <w:r>
        <w:t xml:space="preserve">étendant sur plusieurs pages, le Bureau international propose une publication </w:t>
      </w:r>
      <w:r w:rsidR="00B33994">
        <w:t>“</w:t>
      </w:r>
      <w:r>
        <w:t>axée sur le numérique</w:t>
      </w:r>
      <w:r w:rsidR="00B33994">
        <w:t>”</w:t>
      </w:r>
      <w:r>
        <w:t xml:space="preserve"> de l</w:t>
      </w:r>
      <w:r w:rsidR="00B33994">
        <w:t>’</w:t>
      </w:r>
      <w:r>
        <w:t>inventaire actualisé des documents relatifs aux brevets et aux modèles d</w:t>
      </w:r>
      <w:r w:rsidR="00B33994">
        <w:t>’</w:t>
      </w:r>
      <w:r>
        <w:t>utili</w:t>
      </w:r>
      <w:r w:rsidR="0099109B">
        <w:t>té.  La</w:t>
      </w:r>
      <w:r>
        <w:t xml:space="preserve"> nouvelle </w:t>
      </w:r>
      <w:r w:rsidR="00B33994">
        <w:t>page W</w:t>
      </w:r>
      <w:r>
        <w:t>eb de la partie 4.1 comportera un tableau dynamique se prêtant à la recherche et au tri, qui améliorera l</w:t>
      </w:r>
      <w:r w:rsidR="00B33994">
        <w:t>’</w:t>
      </w:r>
      <w:r>
        <w:t>expérience utilisateur et l</w:t>
      </w:r>
      <w:r w:rsidR="00B33994">
        <w:t>’</w:t>
      </w:r>
      <w:r>
        <w:t>accessibili</w:t>
      </w:r>
      <w:r w:rsidR="0099109B">
        <w:t>té.  Le</w:t>
      </w:r>
      <w:r>
        <w:t xml:space="preserve"> contenu de cette </w:t>
      </w:r>
      <w:r w:rsidR="00B33994">
        <w:t>page W</w:t>
      </w:r>
      <w:r>
        <w:t>eb est reproduit dans l</w:t>
      </w:r>
      <w:r w:rsidR="00B33994">
        <w:t>’</w:t>
      </w:r>
      <w:r>
        <w:t>annexe du présent docume</w:t>
      </w:r>
      <w:r w:rsidR="0099109B">
        <w:t>nt.  Le</w:t>
      </w:r>
      <w:r>
        <w:t xml:space="preserve">s modifications apportées au texte existant sont indiquées en mode </w:t>
      </w:r>
      <w:r w:rsidR="00B33994">
        <w:t>“</w:t>
      </w:r>
      <w:r>
        <w:t>suivi des modifications</w:t>
      </w:r>
      <w:r w:rsidR="00B33994">
        <w:t>”</w:t>
      </w:r>
      <w:r>
        <w:t xml:space="preserve">.  Le tableau dynamique mentionné est accessible au moyen du lien figurant au paragraphe 4 de la </w:t>
      </w:r>
      <w:r w:rsidR="00B33994">
        <w:t>page W</w:t>
      </w:r>
      <w:r>
        <w:t>eb</w:t>
      </w:r>
      <w:r>
        <w:rPr>
          <w:i/>
        </w:rPr>
        <w:t>.</w:t>
      </w:r>
      <w:r w:rsidRPr="0099109B">
        <w:t xml:space="preserve">  </w:t>
      </w:r>
      <w:r>
        <w:t xml:space="preserve">Après la publication du nouveau format numérique de la partie 4.1, prévue en </w:t>
      </w:r>
      <w:r w:rsidR="00B33994">
        <w:t>décembre 20</w:t>
      </w:r>
      <w:r>
        <w:t xml:space="preserve">25, le tableau sera mis à jour de manière à </w:t>
      </w:r>
      <w:r w:rsidRPr="0099109B">
        <w:rPr>
          <w:szCs w:val="22"/>
        </w:rPr>
        <w:t xml:space="preserve">faire apparaître les documents de brevet </w:t>
      </w:r>
      <w:r w:rsidRPr="0099109B">
        <w:rPr>
          <w:rStyle w:val="CommentReference"/>
          <w:sz w:val="22"/>
          <w:szCs w:val="22"/>
        </w:rPr>
        <w:t>et les documents relatifs à des modèles d</w:t>
      </w:r>
      <w:r w:rsidR="00B33994" w:rsidRPr="0099109B">
        <w:rPr>
          <w:rStyle w:val="CommentReference"/>
          <w:sz w:val="22"/>
          <w:szCs w:val="22"/>
        </w:rPr>
        <w:t>’</w:t>
      </w:r>
      <w:r w:rsidRPr="0099109B">
        <w:rPr>
          <w:rStyle w:val="CommentReference"/>
          <w:sz w:val="22"/>
          <w:szCs w:val="22"/>
        </w:rPr>
        <w:t xml:space="preserve">utilité </w:t>
      </w:r>
      <w:r w:rsidRPr="0099109B">
        <w:rPr>
          <w:szCs w:val="22"/>
        </w:rPr>
        <w:t>qui feront partie de</w:t>
      </w:r>
      <w:r>
        <w:t xml:space="preserve"> la documentation minimale PCT à compter du</w:t>
      </w:r>
      <w:r w:rsidR="00B33994">
        <w:t xml:space="preserve"> 1</w:t>
      </w:r>
      <w:r w:rsidR="00B33994" w:rsidRPr="00B33994">
        <w:rPr>
          <w:vertAlign w:val="superscript"/>
        </w:rPr>
        <w:t>er</w:t>
      </w:r>
      <w:r w:rsidR="00B33994">
        <w:t> janvier 20</w:t>
      </w:r>
      <w:r>
        <w:t>26.</w:t>
      </w:r>
    </w:p>
    <w:p w14:paraId="3DF338F8" w14:textId="05BB96A3" w:rsidR="003963E7" w:rsidRPr="0099109B" w:rsidRDefault="003963E7" w:rsidP="0099109B">
      <w:pPr>
        <w:pStyle w:val="ONUMFS"/>
        <w:ind w:left="5533"/>
        <w:rPr>
          <w:i/>
        </w:rPr>
      </w:pPr>
      <w:r w:rsidRPr="0099109B">
        <w:rPr>
          <w:i/>
        </w:rPr>
        <w:t>Le CWS est invité</w:t>
      </w:r>
    </w:p>
    <w:p w14:paraId="36DD5DA8" w14:textId="77777777" w:rsidR="003963E7" w:rsidRPr="0099109B" w:rsidRDefault="003963E7" w:rsidP="0099109B">
      <w:pPr>
        <w:pStyle w:val="ONUMFS"/>
        <w:numPr>
          <w:ilvl w:val="1"/>
          <w:numId w:val="6"/>
        </w:numPr>
        <w:ind w:left="5533" w:firstLine="704"/>
        <w:rPr>
          <w:i/>
        </w:rPr>
      </w:pPr>
      <w:r w:rsidRPr="003F5C09">
        <w:rPr>
          <w:i/>
        </w:rPr>
        <w:t xml:space="preserve">à </w:t>
      </w:r>
      <w:r w:rsidRPr="0099109B">
        <w:rPr>
          <w:i/>
        </w:rPr>
        <w:t>prendre note du contenu du présent document et</w:t>
      </w:r>
    </w:p>
    <w:p w14:paraId="57D86E49" w14:textId="526748C9" w:rsidR="00B33994" w:rsidRPr="0099109B" w:rsidRDefault="003963E7" w:rsidP="0099109B">
      <w:pPr>
        <w:pStyle w:val="ONUMFS"/>
        <w:numPr>
          <w:ilvl w:val="1"/>
          <w:numId w:val="6"/>
        </w:numPr>
        <w:ind w:left="5533" w:firstLine="704"/>
        <w:rPr>
          <w:i/>
        </w:rPr>
      </w:pPr>
      <w:r w:rsidRPr="0099109B">
        <w:rPr>
          <w:i/>
        </w:rPr>
        <w:t>à vérifier le contenu et à approuver le format des mises à jour proposées pour la partie 4.1 du Manuel de l</w:t>
      </w:r>
      <w:r w:rsidR="00B33994" w:rsidRPr="0099109B">
        <w:rPr>
          <w:i/>
        </w:rPr>
        <w:t>’</w:t>
      </w:r>
      <w:r w:rsidRPr="0099109B">
        <w:rPr>
          <w:i/>
        </w:rPr>
        <w:t>OMPI, telles qu</w:t>
      </w:r>
      <w:r w:rsidR="00B33994" w:rsidRPr="0099109B">
        <w:rPr>
          <w:i/>
        </w:rPr>
        <w:t>’</w:t>
      </w:r>
      <w:r w:rsidRPr="0099109B">
        <w:rPr>
          <w:i/>
        </w:rPr>
        <w:t>elles sont reproduites dans l</w:t>
      </w:r>
      <w:r w:rsidR="00B33994" w:rsidRPr="0099109B">
        <w:rPr>
          <w:i/>
        </w:rPr>
        <w:t>’</w:t>
      </w:r>
      <w:r w:rsidRPr="0099109B">
        <w:rPr>
          <w:i/>
        </w:rPr>
        <w:t>annexe du présent document.</w:t>
      </w:r>
    </w:p>
    <w:p w14:paraId="43DAA054" w14:textId="07FB9107" w:rsidR="0099108F" w:rsidRPr="003963E7" w:rsidRDefault="003963E7" w:rsidP="003963E7">
      <w:pPr>
        <w:pStyle w:val="Endofdocument-Annex"/>
      </w:pPr>
      <w:r w:rsidRPr="003963E7">
        <w:t>[L</w:t>
      </w:r>
      <w:r w:rsidR="00B33994">
        <w:t>’</w:t>
      </w:r>
      <w:r w:rsidRPr="003963E7">
        <w:t>annexe suit]</w:t>
      </w:r>
    </w:p>
    <w:sectPr w:rsidR="0099108F" w:rsidRPr="003963E7" w:rsidSect="00B33994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CCA6B" w14:textId="77777777" w:rsidR="006A74DD" w:rsidRPr="00290DCD" w:rsidRDefault="006A74DD">
      <w:r w:rsidRPr="00290DCD">
        <w:separator/>
      </w:r>
    </w:p>
  </w:endnote>
  <w:endnote w:type="continuationSeparator" w:id="0">
    <w:p w14:paraId="21987F1E" w14:textId="77777777" w:rsidR="006A74DD" w:rsidRPr="00290DCD" w:rsidRDefault="006A74DD" w:rsidP="00D45252">
      <w:pPr>
        <w:rPr>
          <w:sz w:val="17"/>
          <w:szCs w:val="17"/>
        </w:rPr>
      </w:pPr>
      <w:r w:rsidRPr="00290DCD">
        <w:rPr>
          <w:sz w:val="17"/>
          <w:szCs w:val="17"/>
        </w:rPr>
        <w:separator/>
      </w:r>
    </w:p>
    <w:p w14:paraId="7251670E" w14:textId="77777777" w:rsidR="006A74DD" w:rsidRPr="00290DCD" w:rsidRDefault="006A74DD" w:rsidP="00D45252">
      <w:pPr>
        <w:spacing w:after="60"/>
        <w:rPr>
          <w:sz w:val="17"/>
          <w:szCs w:val="17"/>
        </w:rPr>
      </w:pPr>
      <w:r w:rsidRPr="00290DCD">
        <w:rPr>
          <w:sz w:val="17"/>
          <w:szCs w:val="17"/>
        </w:rPr>
        <w:t>[Suite de la note de la page précédente]</w:t>
      </w:r>
    </w:p>
  </w:endnote>
  <w:endnote w:type="continuationNotice" w:id="1">
    <w:p w14:paraId="5F421398" w14:textId="77777777" w:rsidR="006A74DD" w:rsidRPr="00290DCD" w:rsidRDefault="006A74DD" w:rsidP="009D30E6">
      <w:pPr>
        <w:spacing w:before="60"/>
        <w:jc w:val="right"/>
        <w:rPr>
          <w:sz w:val="17"/>
          <w:szCs w:val="17"/>
        </w:rPr>
      </w:pPr>
      <w:r w:rsidRPr="00290DCD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A5D63" w14:textId="77777777" w:rsidR="006A74DD" w:rsidRPr="00290DCD" w:rsidRDefault="006A74DD">
      <w:r w:rsidRPr="00290DCD">
        <w:separator/>
      </w:r>
    </w:p>
  </w:footnote>
  <w:footnote w:type="continuationSeparator" w:id="0">
    <w:p w14:paraId="3F189300" w14:textId="77777777" w:rsidR="006A74DD" w:rsidRPr="00290DCD" w:rsidRDefault="006A74DD" w:rsidP="007461F1">
      <w:r w:rsidRPr="00290DCD">
        <w:separator/>
      </w:r>
    </w:p>
    <w:p w14:paraId="2CCC3B99" w14:textId="77777777" w:rsidR="006A74DD" w:rsidRPr="00290DCD" w:rsidRDefault="006A74DD" w:rsidP="007461F1">
      <w:pPr>
        <w:spacing w:after="60"/>
        <w:rPr>
          <w:sz w:val="17"/>
          <w:szCs w:val="17"/>
        </w:rPr>
      </w:pPr>
      <w:r w:rsidRPr="00290DCD">
        <w:rPr>
          <w:sz w:val="17"/>
          <w:szCs w:val="17"/>
        </w:rPr>
        <w:t>[Suite de la note de la page précédente]</w:t>
      </w:r>
    </w:p>
  </w:footnote>
  <w:footnote w:type="continuationNotice" w:id="1">
    <w:p w14:paraId="3BF2088D" w14:textId="77777777" w:rsidR="006A74DD" w:rsidRPr="00290DCD" w:rsidRDefault="006A74DD" w:rsidP="007461F1">
      <w:pPr>
        <w:spacing w:before="60"/>
        <w:jc w:val="right"/>
        <w:rPr>
          <w:sz w:val="17"/>
          <w:szCs w:val="17"/>
        </w:rPr>
      </w:pPr>
      <w:r w:rsidRPr="00290DCD">
        <w:rPr>
          <w:sz w:val="17"/>
          <w:szCs w:val="17"/>
        </w:rPr>
        <w:t>[Suite de la note page suivante]</w:t>
      </w:r>
    </w:p>
  </w:footnote>
  <w:footnote w:id="2">
    <w:p w14:paraId="29E4B267" w14:textId="3D686C06" w:rsidR="003963E7" w:rsidRDefault="003963E7" w:rsidP="003963E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99109B">
        <w:tab/>
      </w:r>
      <w:r>
        <w:t>À tout moment, un office ne figurant pas sur cette liste peut demander l</w:t>
      </w:r>
      <w:r w:rsidR="00C70B31">
        <w:t>’</w:t>
      </w:r>
      <w:r>
        <w:t>incorporation de ses documents de brevet et de modèle d</w:t>
      </w:r>
      <w:r w:rsidR="00C70B31">
        <w:t>’</w:t>
      </w:r>
      <w:r>
        <w:t>utilité dans la documentation minimale</w:t>
      </w:r>
      <w:r w:rsidR="00C70B31">
        <w:t xml:space="preserve"> du PCT</w:t>
      </w:r>
      <w:r>
        <w:t xml:space="preserve"> s</w:t>
      </w:r>
      <w:r w:rsidR="00C70B31">
        <w:t>’</w:t>
      </w:r>
      <w:r>
        <w:t>il a satisfait aux nouvelles exigences techniques et en matière d</w:t>
      </w:r>
      <w:r w:rsidR="00C70B31">
        <w:t>’</w:t>
      </w:r>
      <w:r>
        <w:t>accessibilité décrites à l</w:t>
      </w:r>
      <w:r w:rsidR="00C70B31">
        <w:t>’annexe H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10087" w14:textId="5D03EA70" w:rsidR="00F16975" w:rsidRPr="00290DCD" w:rsidRDefault="003963E7" w:rsidP="00477D6B">
    <w:pPr>
      <w:jc w:val="right"/>
    </w:pPr>
    <w:bookmarkStart w:id="4" w:name="Code2"/>
    <w:bookmarkEnd w:id="4"/>
    <w:r>
      <w:t>CWS/13/25</w:t>
    </w:r>
    <w:r w:rsidR="003F5C09">
      <w:t xml:space="preserve"> Rev.</w:t>
    </w:r>
  </w:p>
  <w:p w14:paraId="1E6DF364" w14:textId="77777777" w:rsidR="004F4E31" w:rsidRPr="00290DCD" w:rsidRDefault="00F16975" w:rsidP="0099108F">
    <w:pPr>
      <w:spacing w:after="480"/>
      <w:jc w:val="right"/>
    </w:pPr>
    <w:r w:rsidRPr="00290DCD">
      <w:t>page</w:t>
    </w:r>
    <w:r w:rsidR="0099108F" w:rsidRPr="00290DCD">
      <w:t> </w:t>
    </w:r>
    <w:r w:rsidRPr="00290DCD">
      <w:fldChar w:fldCharType="begin"/>
    </w:r>
    <w:r w:rsidRPr="00290DCD">
      <w:instrText xml:space="preserve"> PAGE  \* MERGEFORMAT </w:instrText>
    </w:r>
    <w:r w:rsidRPr="00290DCD">
      <w:fldChar w:fldCharType="separate"/>
    </w:r>
    <w:r w:rsidR="004F4E31" w:rsidRPr="00290DCD">
      <w:t>2</w:t>
    </w:r>
    <w:r w:rsidRPr="00290DCD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00767C9"/>
    <w:multiLevelType w:val="multilevel"/>
    <w:tmpl w:val="0D26AE40"/>
    <w:lvl w:ilvl="0">
      <w:start w:val="1"/>
      <w:numFmt w:val="lowerLetter"/>
      <w:lvlText w:val="(%1)"/>
      <w:lvlJc w:val="left"/>
      <w:pPr>
        <w:tabs>
          <w:tab w:val="num" w:pos="6239"/>
        </w:tabs>
        <w:ind w:left="5672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6806"/>
        </w:tabs>
        <w:ind w:left="6239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7373"/>
        </w:tabs>
        <w:ind w:left="6806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7940"/>
        </w:tabs>
        <w:ind w:left="7373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8507"/>
        </w:tabs>
        <w:ind w:left="7940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9074"/>
        </w:tabs>
        <w:ind w:left="8507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9641"/>
        </w:tabs>
        <w:ind w:left="9074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10207"/>
        </w:tabs>
        <w:ind w:left="9641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10774"/>
        </w:tabs>
        <w:ind w:left="10207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8548192">
    <w:abstractNumId w:val="2"/>
  </w:num>
  <w:num w:numId="2" w16cid:durableId="1870607316">
    <w:abstractNumId w:val="5"/>
  </w:num>
  <w:num w:numId="3" w16cid:durableId="844322595">
    <w:abstractNumId w:val="0"/>
  </w:num>
  <w:num w:numId="4" w16cid:durableId="1456631763">
    <w:abstractNumId w:val="6"/>
  </w:num>
  <w:num w:numId="5" w16cid:durableId="628778745">
    <w:abstractNumId w:val="1"/>
  </w:num>
  <w:num w:numId="6" w16cid:durableId="670451745">
    <w:abstractNumId w:val="3"/>
  </w:num>
  <w:num w:numId="7" w16cid:durableId="13092899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3E7"/>
    <w:rsid w:val="00011B7D"/>
    <w:rsid w:val="00023391"/>
    <w:rsid w:val="00075432"/>
    <w:rsid w:val="00092138"/>
    <w:rsid w:val="000F5E56"/>
    <w:rsid w:val="001352EC"/>
    <w:rsid w:val="001362EE"/>
    <w:rsid w:val="00157E3C"/>
    <w:rsid w:val="001832A6"/>
    <w:rsid w:val="00195C6E"/>
    <w:rsid w:val="00197881"/>
    <w:rsid w:val="001B266A"/>
    <w:rsid w:val="001D3D56"/>
    <w:rsid w:val="00240654"/>
    <w:rsid w:val="002634C4"/>
    <w:rsid w:val="00290DCD"/>
    <w:rsid w:val="002D4918"/>
    <w:rsid w:val="002E4D1A"/>
    <w:rsid w:val="002F16BC"/>
    <w:rsid w:val="002F4E68"/>
    <w:rsid w:val="00315FCA"/>
    <w:rsid w:val="003845C1"/>
    <w:rsid w:val="003963E7"/>
    <w:rsid w:val="003A1BCD"/>
    <w:rsid w:val="003F5C09"/>
    <w:rsid w:val="004008A2"/>
    <w:rsid w:val="004025DF"/>
    <w:rsid w:val="00423E3E"/>
    <w:rsid w:val="00427AF4"/>
    <w:rsid w:val="00451920"/>
    <w:rsid w:val="004647DA"/>
    <w:rsid w:val="00477D6B"/>
    <w:rsid w:val="004D6471"/>
    <w:rsid w:val="004F4E31"/>
    <w:rsid w:val="00525B63"/>
    <w:rsid w:val="00547476"/>
    <w:rsid w:val="00561DB8"/>
    <w:rsid w:val="00567A4C"/>
    <w:rsid w:val="00576171"/>
    <w:rsid w:val="005A3309"/>
    <w:rsid w:val="005E6516"/>
    <w:rsid w:val="00605827"/>
    <w:rsid w:val="00676936"/>
    <w:rsid w:val="006A74DD"/>
    <w:rsid w:val="006B0DB5"/>
    <w:rsid w:val="006E4243"/>
    <w:rsid w:val="007461F1"/>
    <w:rsid w:val="007C04C6"/>
    <w:rsid w:val="007D6961"/>
    <w:rsid w:val="007F07CB"/>
    <w:rsid w:val="00810CEF"/>
    <w:rsid w:val="0081208D"/>
    <w:rsid w:val="008236DE"/>
    <w:rsid w:val="00842A13"/>
    <w:rsid w:val="008B18A3"/>
    <w:rsid w:val="008B2CC1"/>
    <w:rsid w:val="008B7418"/>
    <w:rsid w:val="008E7930"/>
    <w:rsid w:val="0090731E"/>
    <w:rsid w:val="00966A22"/>
    <w:rsid w:val="00974CD6"/>
    <w:rsid w:val="0099108F"/>
    <w:rsid w:val="0099109B"/>
    <w:rsid w:val="009D30E6"/>
    <w:rsid w:val="009E3F6F"/>
    <w:rsid w:val="009F499F"/>
    <w:rsid w:val="00A02BD3"/>
    <w:rsid w:val="00A65E7E"/>
    <w:rsid w:val="00AA1F20"/>
    <w:rsid w:val="00AC0AE4"/>
    <w:rsid w:val="00AD61DB"/>
    <w:rsid w:val="00B33994"/>
    <w:rsid w:val="00B6177F"/>
    <w:rsid w:val="00B66A77"/>
    <w:rsid w:val="00B87BCF"/>
    <w:rsid w:val="00BA62D4"/>
    <w:rsid w:val="00BC3FC3"/>
    <w:rsid w:val="00C153FD"/>
    <w:rsid w:val="00C23A89"/>
    <w:rsid w:val="00C40E15"/>
    <w:rsid w:val="00C664C8"/>
    <w:rsid w:val="00C70B31"/>
    <w:rsid w:val="00C76A79"/>
    <w:rsid w:val="00C84066"/>
    <w:rsid w:val="00CA15F5"/>
    <w:rsid w:val="00CA72C1"/>
    <w:rsid w:val="00CF0460"/>
    <w:rsid w:val="00D45252"/>
    <w:rsid w:val="00D71B4D"/>
    <w:rsid w:val="00D75C1E"/>
    <w:rsid w:val="00D93D55"/>
    <w:rsid w:val="00DB0349"/>
    <w:rsid w:val="00DD6A16"/>
    <w:rsid w:val="00E0091A"/>
    <w:rsid w:val="00E203AA"/>
    <w:rsid w:val="00E527A5"/>
    <w:rsid w:val="00E76456"/>
    <w:rsid w:val="00EE71CB"/>
    <w:rsid w:val="00F16975"/>
    <w:rsid w:val="00F55952"/>
    <w:rsid w:val="00F66152"/>
    <w:rsid w:val="00FE26AD"/>
    <w:rsid w:val="00FF4371"/>
    <w:rsid w:val="00FF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07FB14"/>
  <w15:docId w15:val="{460A78EA-B980-4765-BAC0-C378B8F38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val="fr-FR"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3963E7"/>
    <w:pPr>
      <w:spacing w:before="720"/>
      <w:ind w:left="5534"/>
    </w:p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character" w:styleId="FootnoteReference">
    <w:name w:val="footnote reference"/>
    <w:basedOn w:val="DefaultParagraphFont"/>
    <w:uiPriority w:val="99"/>
    <w:semiHidden/>
    <w:unhideWhenUsed/>
    <w:rsid w:val="003963E7"/>
    <w:rPr>
      <w:vertAlign w:val="superscript"/>
    </w:rPr>
  </w:style>
  <w:style w:type="character" w:styleId="Hyperlink">
    <w:name w:val="Hyperlink"/>
    <w:basedOn w:val="DefaultParagraphFont"/>
    <w:unhideWhenUsed/>
    <w:rsid w:val="003963E7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963E7"/>
    <w:rPr>
      <w:sz w:val="16"/>
      <w:szCs w:val="16"/>
    </w:rPr>
  </w:style>
  <w:style w:type="paragraph" w:customStyle="1" w:styleId="List0">
    <w:name w:val="List0"/>
    <w:basedOn w:val="Normal"/>
    <w:uiPriority w:val="99"/>
    <w:rsid w:val="003963E7"/>
    <w:pPr>
      <w:keepLines/>
      <w:spacing w:after="170"/>
    </w:pPr>
    <w:rPr>
      <w:rFonts w:eastAsia="DengXian"/>
      <w:sz w:val="17"/>
      <w:szCs w:val="17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963E7"/>
    <w:rPr>
      <w:rFonts w:ascii="Arial" w:eastAsia="SimSun" w:hAnsi="Arial" w:cs="Arial"/>
      <w:sz w:val="18"/>
      <w:lang w:val="fr-FR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po.int/fr/web/standards/handboo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_13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CWS_13 (F).dotm</Template>
  <TotalTime>13</TotalTime>
  <Pages>1</Pages>
  <Words>941</Words>
  <Characters>5365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>CWS/13/25 Rev. (French)</vt:lpstr>
      <vt:lpstr>    Résumé</vt:lpstr>
      <vt:lpstr>    Rappel</vt:lpstr>
      <vt:lpstr>    Mises à jour proposées pour la partie 4.1</vt:lpstr>
    </vt:vector>
  </TitlesOfParts>
  <Company>WIPO</Company>
  <LinksUpToDate>false</LinksUpToDate>
  <CharactersWithSpaces>6294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CWS/13/25 Rev. (French)</dc:title>
  <dc:subject>Mise à jour de la partie 4 du Manuel de l’OMPI intitulée “Documentation minimale du PCT” </dc:subject>
  <dc:creator>WIPO</dc:creator>
  <cp:keywords>WIPO CWS treizième session, partie 4, Manuel de l’OMPI, Documentation minimale du PCT</cp:keywords>
  <cp:lastModifiedBy>WIPO</cp:lastModifiedBy>
  <cp:revision>8</cp:revision>
  <cp:lastPrinted>2025-10-14T11:21:00Z</cp:lastPrinted>
  <dcterms:created xsi:type="dcterms:W3CDTF">2025-09-10T09:17:00Z</dcterms:created>
  <dcterms:modified xsi:type="dcterms:W3CDTF">2025-10-14T11:21:00Z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4be00795-0332-471b-bc48-392ea471087a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2025-06-12T13:23:13Z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717d40da-50e5-4df9-b411-3e5ab47e1f7b</vt:lpwstr>
  </property>
  <property fmtid="{D5CDD505-2E9C-101B-9397-08002B2CF9AE}" pid="14" name="MSIP_Label_20773ee6-353b-4fb9-a59d-0b94c8c67bea_ContentBits">
    <vt:lpwstr>0</vt:lpwstr>
  </property>
  <property fmtid="{D5CDD505-2E9C-101B-9397-08002B2CF9AE}" pid="15" name="MSIP_Label_20773ee6-353b-4fb9-a59d-0b94c8c67bea_Tag">
    <vt:lpwstr>10, 0, 1, 1</vt:lpwstr>
  </property>
</Properties>
</file>