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22A0" w14:textId="77777777" w:rsidR="008B2CC1" w:rsidRPr="00810C56" w:rsidRDefault="00DB0349" w:rsidP="00DB0349">
      <w:pPr>
        <w:spacing w:after="120"/>
        <w:jc w:val="right"/>
      </w:pPr>
      <w:r w:rsidRPr="00810C56">
        <w:rPr>
          <w:noProof/>
          <w:lang w:eastAsia="en-US"/>
        </w:rPr>
        <w:drawing>
          <wp:inline distT="0" distB="0" distL="0" distR="0" wp14:anchorId="51D50F41" wp14:editId="75B7230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10C56">
        <w:rPr>
          <w:rFonts w:ascii="Arial Black" w:hAnsi="Arial Black"/>
          <w:caps/>
          <w:noProof/>
          <w:sz w:val="15"/>
          <w:szCs w:val="15"/>
          <w:lang w:eastAsia="en-US"/>
        </w:rPr>
        <mc:AlternateContent>
          <mc:Choice Requires="wps">
            <w:drawing>
              <wp:inline distT="0" distB="0" distL="0" distR="0" wp14:anchorId="0DC7AB66" wp14:editId="4007123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8E393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412580" w14:textId="638C3489" w:rsidR="008B2CC1" w:rsidRPr="00810C56" w:rsidRDefault="00197881" w:rsidP="00DB0349">
      <w:pPr>
        <w:jc w:val="right"/>
        <w:rPr>
          <w:rFonts w:ascii="Arial Black" w:hAnsi="Arial Black"/>
          <w:caps/>
          <w:sz w:val="15"/>
          <w:szCs w:val="15"/>
        </w:rPr>
      </w:pPr>
      <w:r w:rsidRPr="00810C56">
        <w:rPr>
          <w:rFonts w:ascii="Arial Black" w:hAnsi="Arial Black"/>
          <w:caps/>
          <w:sz w:val="15"/>
          <w:szCs w:val="15"/>
        </w:rPr>
        <w:t>CWS/1</w:t>
      </w:r>
      <w:r w:rsidR="005A3309" w:rsidRPr="00810C56">
        <w:rPr>
          <w:rFonts w:ascii="Arial Black" w:hAnsi="Arial Black"/>
          <w:caps/>
          <w:sz w:val="15"/>
          <w:szCs w:val="15"/>
        </w:rPr>
        <w:t>3</w:t>
      </w:r>
      <w:r w:rsidRPr="00810C56">
        <w:rPr>
          <w:rFonts w:ascii="Arial Black" w:hAnsi="Arial Black"/>
          <w:caps/>
          <w:sz w:val="15"/>
          <w:szCs w:val="15"/>
        </w:rPr>
        <w:t>/</w:t>
      </w:r>
      <w:bookmarkStart w:id="0" w:name="Code"/>
      <w:bookmarkEnd w:id="0"/>
      <w:r w:rsidR="00395B9E" w:rsidRPr="00810C56">
        <w:rPr>
          <w:rFonts w:ascii="Arial Black" w:hAnsi="Arial Black"/>
          <w:caps/>
          <w:sz w:val="15"/>
          <w:szCs w:val="15"/>
        </w:rPr>
        <w:t>22</w:t>
      </w:r>
      <w:r w:rsidR="001B3FAF">
        <w:rPr>
          <w:rFonts w:ascii="Arial Black" w:hAnsi="Arial Black"/>
          <w:caps/>
          <w:sz w:val="15"/>
          <w:szCs w:val="15"/>
        </w:rPr>
        <w:t> Corr.</w:t>
      </w:r>
    </w:p>
    <w:p w14:paraId="71487404" w14:textId="1CDC49D8" w:rsidR="008B2CC1" w:rsidRPr="00810C56" w:rsidRDefault="00DB0349" w:rsidP="00DB0349">
      <w:pPr>
        <w:jc w:val="right"/>
        <w:rPr>
          <w:rFonts w:ascii="Arial Black" w:hAnsi="Arial Black"/>
          <w:caps/>
          <w:sz w:val="15"/>
          <w:szCs w:val="15"/>
        </w:rPr>
      </w:pPr>
      <w:r w:rsidRPr="00810C56">
        <w:rPr>
          <w:rFonts w:ascii="Arial Black" w:hAnsi="Arial Black"/>
          <w:caps/>
          <w:sz w:val="15"/>
          <w:szCs w:val="15"/>
        </w:rPr>
        <w:t>Original</w:t>
      </w:r>
      <w:r w:rsidR="00FD2442" w:rsidRPr="00810C56">
        <w:rPr>
          <w:rFonts w:ascii="Arial Black" w:hAnsi="Arial Black"/>
          <w:caps/>
          <w:sz w:val="15"/>
          <w:szCs w:val="15"/>
        </w:rPr>
        <w:t> :</w:t>
      </w:r>
      <w:r w:rsidRPr="00810C56">
        <w:rPr>
          <w:rFonts w:ascii="Arial Black" w:hAnsi="Arial Black"/>
          <w:caps/>
          <w:sz w:val="15"/>
          <w:szCs w:val="15"/>
        </w:rPr>
        <w:t xml:space="preserve"> </w:t>
      </w:r>
      <w:bookmarkStart w:id="1" w:name="Original"/>
      <w:r w:rsidR="00395B9E" w:rsidRPr="00810C56">
        <w:rPr>
          <w:rFonts w:ascii="Arial Black" w:hAnsi="Arial Black"/>
          <w:caps/>
          <w:sz w:val="15"/>
          <w:szCs w:val="15"/>
        </w:rPr>
        <w:t>anglais</w:t>
      </w:r>
    </w:p>
    <w:bookmarkEnd w:id="1"/>
    <w:p w14:paraId="0397B977" w14:textId="09505165" w:rsidR="008B2CC1" w:rsidRPr="00810C56" w:rsidRDefault="00B66A77" w:rsidP="00DB0349">
      <w:pPr>
        <w:spacing w:after="1200"/>
        <w:jc w:val="right"/>
        <w:rPr>
          <w:rFonts w:ascii="Arial Black" w:hAnsi="Arial Black"/>
          <w:caps/>
          <w:sz w:val="15"/>
          <w:szCs w:val="15"/>
        </w:rPr>
      </w:pPr>
      <w:r w:rsidRPr="00810C56">
        <w:rPr>
          <w:rFonts w:ascii="Arial Black" w:hAnsi="Arial Black"/>
          <w:caps/>
          <w:sz w:val="15"/>
          <w:szCs w:val="15"/>
        </w:rPr>
        <w:t>D</w:t>
      </w:r>
      <w:r w:rsidR="00DB0349" w:rsidRPr="00810C56">
        <w:rPr>
          <w:rFonts w:ascii="Arial Black" w:hAnsi="Arial Black"/>
          <w:caps/>
          <w:sz w:val="15"/>
          <w:szCs w:val="15"/>
        </w:rPr>
        <w:t>ate</w:t>
      </w:r>
      <w:r w:rsidR="00FD2442" w:rsidRPr="00810C56">
        <w:rPr>
          <w:rFonts w:ascii="Arial Black" w:hAnsi="Arial Black"/>
          <w:caps/>
          <w:sz w:val="15"/>
          <w:szCs w:val="15"/>
        </w:rPr>
        <w:t> :</w:t>
      </w:r>
      <w:r w:rsidR="00DB0349" w:rsidRPr="00810C56">
        <w:rPr>
          <w:rFonts w:ascii="Arial Black" w:hAnsi="Arial Black"/>
          <w:caps/>
          <w:sz w:val="15"/>
          <w:szCs w:val="15"/>
        </w:rPr>
        <w:t xml:space="preserve"> </w:t>
      </w:r>
      <w:bookmarkStart w:id="2" w:name="Date"/>
      <w:r w:rsidR="00395B9E" w:rsidRPr="00810C56">
        <w:rPr>
          <w:rFonts w:ascii="Arial Black" w:hAnsi="Arial Black"/>
          <w:caps/>
          <w:sz w:val="15"/>
          <w:szCs w:val="15"/>
        </w:rPr>
        <w:t>2</w:t>
      </w:r>
      <w:r w:rsidR="001B3FAF">
        <w:rPr>
          <w:rFonts w:ascii="Arial Black" w:hAnsi="Arial Black"/>
          <w:caps/>
          <w:sz w:val="15"/>
          <w:szCs w:val="15"/>
        </w:rPr>
        <w:t>4</w:t>
      </w:r>
      <w:r w:rsidR="00395B9E" w:rsidRPr="00810C56">
        <w:rPr>
          <w:rFonts w:ascii="Arial Black" w:hAnsi="Arial Black"/>
          <w:caps/>
          <w:sz w:val="15"/>
          <w:szCs w:val="15"/>
        </w:rPr>
        <w:t> </w:t>
      </w:r>
      <w:r w:rsidR="001B3FAF">
        <w:rPr>
          <w:rFonts w:ascii="Arial Black" w:hAnsi="Arial Black"/>
          <w:caps/>
          <w:sz w:val="15"/>
          <w:szCs w:val="15"/>
        </w:rPr>
        <w:t>octobre</w:t>
      </w:r>
      <w:r w:rsidR="00395B9E" w:rsidRPr="00810C56">
        <w:rPr>
          <w:rFonts w:ascii="Arial Black" w:hAnsi="Arial Black"/>
          <w:caps/>
          <w:sz w:val="15"/>
          <w:szCs w:val="15"/>
        </w:rPr>
        <w:t> 2025</w:t>
      </w:r>
    </w:p>
    <w:bookmarkEnd w:id="2"/>
    <w:p w14:paraId="6EB2AF05" w14:textId="29F3B081" w:rsidR="00C40E15" w:rsidRPr="00810C56" w:rsidRDefault="00197881" w:rsidP="00DB0349">
      <w:pPr>
        <w:spacing w:after="600"/>
        <w:rPr>
          <w:b/>
          <w:sz w:val="28"/>
          <w:szCs w:val="28"/>
        </w:rPr>
      </w:pPr>
      <w:r w:rsidRPr="00810C56">
        <w:rPr>
          <w:b/>
          <w:sz w:val="28"/>
          <w:szCs w:val="28"/>
        </w:rPr>
        <w:t>Comité des normes de l</w:t>
      </w:r>
      <w:r w:rsidR="00FD2442" w:rsidRPr="00810C56">
        <w:rPr>
          <w:b/>
          <w:sz w:val="28"/>
          <w:szCs w:val="28"/>
        </w:rPr>
        <w:t>’</w:t>
      </w:r>
      <w:r w:rsidRPr="00810C56">
        <w:rPr>
          <w:b/>
          <w:sz w:val="28"/>
          <w:szCs w:val="28"/>
        </w:rPr>
        <w:t>OMPI (CWS)</w:t>
      </w:r>
    </w:p>
    <w:p w14:paraId="57F133C6" w14:textId="1A1A44E7" w:rsidR="008B2CC1" w:rsidRPr="00810C56" w:rsidRDefault="0099108F" w:rsidP="008B2CC1">
      <w:pPr>
        <w:rPr>
          <w:b/>
          <w:sz w:val="28"/>
          <w:szCs w:val="24"/>
        </w:rPr>
      </w:pPr>
      <w:r w:rsidRPr="00810C56">
        <w:rPr>
          <w:b/>
          <w:sz w:val="24"/>
        </w:rPr>
        <w:t>Treiz</w:t>
      </w:r>
      <w:r w:rsidR="00FD2442" w:rsidRPr="00810C56">
        <w:rPr>
          <w:b/>
          <w:sz w:val="24"/>
        </w:rPr>
        <w:t>ième session</w:t>
      </w:r>
    </w:p>
    <w:p w14:paraId="5B5C0E91" w14:textId="77777777" w:rsidR="008B2CC1" w:rsidRPr="00810C56" w:rsidRDefault="00197881" w:rsidP="00DB0349">
      <w:pPr>
        <w:spacing w:after="720"/>
        <w:rPr>
          <w:b/>
          <w:sz w:val="28"/>
          <w:szCs w:val="24"/>
        </w:rPr>
      </w:pPr>
      <w:r w:rsidRPr="00810C56">
        <w:rPr>
          <w:b/>
          <w:sz w:val="24"/>
        </w:rPr>
        <w:t>Genève,</w:t>
      </w:r>
      <w:r w:rsidR="001352EC" w:rsidRPr="00810C56">
        <w:rPr>
          <w:b/>
          <w:sz w:val="24"/>
        </w:rPr>
        <w:t xml:space="preserve"> 1</w:t>
      </w:r>
      <w:r w:rsidR="0099108F" w:rsidRPr="00810C56">
        <w:rPr>
          <w:b/>
          <w:sz w:val="24"/>
        </w:rPr>
        <w:t>0</w:t>
      </w:r>
      <w:r w:rsidR="001352EC" w:rsidRPr="00810C56">
        <w:rPr>
          <w:b/>
          <w:sz w:val="24"/>
        </w:rPr>
        <w:t xml:space="preserve"> – </w:t>
      </w:r>
      <w:r w:rsidR="0099108F" w:rsidRPr="00810C56">
        <w:rPr>
          <w:b/>
          <w:sz w:val="24"/>
        </w:rPr>
        <w:t>14 nov</w:t>
      </w:r>
      <w:r w:rsidR="001352EC" w:rsidRPr="00810C56">
        <w:rPr>
          <w:b/>
          <w:sz w:val="24"/>
        </w:rPr>
        <w:t>embre</w:t>
      </w:r>
      <w:r w:rsidR="0099108F" w:rsidRPr="00810C56">
        <w:rPr>
          <w:b/>
          <w:sz w:val="24"/>
        </w:rPr>
        <w:t> </w:t>
      </w:r>
      <w:r w:rsidR="001352EC" w:rsidRPr="00810C56">
        <w:rPr>
          <w:b/>
          <w:sz w:val="24"/>
        </w:rPr>
        <w:t>202</w:t>
      </w:r>
      <w:r w:rsidR="0099108F" w:rsidRPr="00810C56">
        <w:rPr>
          <w:b/>
          <w:sz w:val="24"/>
        </w:rPr>
        <w:t>5</w:t>
      </w:r>
    </w:p>
    <w:p w14:paraId="1A3FD429" w14:textId="1D281E17" w:rsidR="00395B9E" w:rsidRPr="00810C56" w:rsidRDefault="00395B9E" w:rsidP="00395B9E">
      <w:pPr>
        <w:spacing w:after="360" w:line="259" w:lineRule="auto"/>
      </w:pPr>
      <w:bookmarkStart w:id="3" w:name="TitleOfDoc"/>
      <w:r w:rsidRPr="00810C56">
        <w:rPr>
          <w:caps/>
          <w:sz w:val="24"/>
        </w:rPr>
        <w:t>Norme ST.37 de l</w:t>
      </w:r>
      <w:r w:rsidR="00FD2442" w:rsidRPr="00810C56">
        <w:rPr>
          <w:caps/>
          <w:sz w:val="24"/>
        </w:rPr>
        <w:t>’</w:t>
      </w:r>
      <w:r w:rsidRPr="00810C56">
        <w:rPr>
          <w:caps/>
          <w:sz w:val="24"/>
        </w:rPr>
        <w:t>OMPI et portail d</w:t>
      </w:r>
      <w:r w:rsidR="00FD2442" w:rsidRPr="00810C56">
        <w:rPr>
          <w:caps/>
          <w:sz w:val="24"/>
        </w:rPr>
        <w:t>’</w:t>
      </w:r>
      <w:r w:rsidRPr="00810C56">
        <w:rPr>
          <w:caps/>
          <w:sz w:val="24"/>
        </w:rPr>
        <w:t>accès aux fichiers d</w:t>
      </w:r>
      <w:r w:rsidR="00FD2442" w:rsidRPr="00810C56">
        <w:rPr>
          <w:caps/>
          <w:sz w:val="24"/>
        </w:rPr>
        <w:t>’</w:t>
      </w:r>
      <w:r w:rsidRPr="00810C56">
        <w:rPr>
          <w:caps/>
          <w:sz w:val="24"/>
        </w:rPr>
        <w:t>autorité</w:t>
      </w:r>
    </w:p>
    <w:p w14:paraId="1DBAFA6B" w14:textId="77777777" w:rsidR="00395B9E" w:rsidRPr="00810C56" w:rsidRDefault="00395B9E" w:rsidP="00395B9E">
      <w:pPr>
        <w:spacing w:after="960"/>
        <w:rPr>
          <w:i/>
          <w:iCs/>
        </w:rPr>
      </w:pPr>
      <w:bookmarkStart w:id="4" w:name="Prepared"/>
      <w:bookmarkEnd w:id="3"/>
      <w:r w:rsidRPr="00810C56">
        <w:rPr>
          <w:i/>
        </w:rPr>
        <w:t>Document établi par le Bureau international</w:t>
      </w:r>
      <w:bookmarkEnd w:id="4"/>
    </w:p>
    <w:p w14:paraId="2925A653" w14:textId="77777777" w:rsidR="00395B9E" w:rsidRPr="00810C56" w:rsidRDefault="00395B9E" w:rsidP="00FD2442">
      <w:pPr>
        <w:pStyle w:val="Heading2"/>
      </w:pPr>
      <w:r w:rsidRPr="00810C56">
        <w:t>Résumé</w:t>
      </w:r>
    </w:p>
    <w:p w14:paraId="27D0BDD9" w14:textId="17A1194D" w:rsidR="00FD2442" w:rsidRPr="00810C56" w:rsidRDefault="00395B9E" w:rsidP="00FD2442">
      <w:pPr>
        <w:pStyle w:val="ONUMFS"/>
        <w:rPr>
          <w:spacing w:val="-2"/>
        </w:rPr>
      </w:pPr>
      <w:r w:rsidRPr="00810C56">
        <w:rPr>
          <w:spacing w:val="-2"/>
        </w:rPr>
        <w:t>Les fichiers d</w:t>
      </w:r>
      <w:r w:rsidR="00FD2442" w:rsidRPr="00810C56">
        <w:rPr>
          <w:spacing w:val="-2"/>
        </w:rPr>
        <w:t>’</w:t>
      </w:r>
      <w:r w:rsidRPr="00810C56">
        <w:rPr>
          <w:spacing w:val="-2"/>
        </w:rPr>
        <w:t>autorité conformes à la norme ST.37 de l</w:t>
      </w:r>
      <w:r w:rsidR="00FD2442" w:rsidRPr="00810C56">
        <w:rPr>
          <w:spacing w:val="-2"/>
        </w:rPr>
        <w:t>’</w:t>
      </w:r>
      <w:r w:rsidRPr="00810C56">
        <w:rPr>
          <w:spacing w:val="-2"/>
        </w:rPr>
        <w:t>OMPI fournis par les offices sont publiés sur le portail d</w:t>
      </w:r>
      <w:r w:rsidR="00FD2442" w:rsidRPr="00810C56">
        <w:rPr>
          <w:spacing w:val="-2"/>
        </w:rPr>
        <w:t>’</w:t>
      </w:r>
      <w:r w:rsidRPr="00810C56">
        <w:rPr>
          <w:spacing w:val="-2"/>
        </w:rPr>
        <w:t>accès aux fichiers d</w:t>
      </w:r>
      <w:r w:rsidR="00FD2442" w:rsidRPr="00810C56">
        <w:rPr>
          <w:spacing w:val="-2"/>
        </w:rPr>
        <w:t>’</w:t>
      </w:r>
      <w:r w:rsidRPr="00810C56">
        <w:rPr>
          <w:spacing w:val="-2"/>
        </w:rPr>
        <w:t>autori</w:t>
      </w:r>
      <w:r w:rsidR="00810C56" w:rsidRPr="00810C56">
        <w:rPr>
          <w:spacing w:val="-2"/>
        </w:rPr>
        <w:t xml:space="preserve">té.  À </w:t>
      </w:r>
      <w:r w:rsidRPr="00810C56">
        <w:rPr>
          <w:spacing w:val="-2"/>
        </w:rPr>
        <w:t>l</w:t>
      </w:r>
      <w:r w:rsidR="00FD2442" w:rsidRPr="00810C56">
        <w:rPr>
          <w:spacing w:val="-2"/>
        </w:rPr>
        <w:t>’</w:t>
      </w:r>
      <w:r w:rsidRPr="00810C56">
        <w:rPr>
          <w:spacing w:val="-2"/>
        </w:rPr>
        <w:t>heure actuelle, 35 offices ou organisations transmettent des fichiers d</w:t>
      </w:r>
      <w:r w:rsidR="00FD2442" w:rsidRPr="00810C56">
        <w:rPr>
          <w:spacing w:val="-2"/>
        </w:rPr>
        <w:t>’</w:t>
      </w:r>
      <w:r w:rsidRPr="00810C56">
        <w:rPr>
          <w:spacing w:val="-2"/>
        </w:rPr>
        <w:t>autorité au Bureau international pour qu</w:t>
      </w:r>
      <w:r w:rsidR="00FD2442" w:rsidRPr="00810C56">
        <w:rPr>
          <w:spacing w:val="-2"/>
        </w:rPr>
        <w:t>’</w:t>
      </w:r>
      <w:r w:rsidRPr="00810C56">
        <w:rPr>
          <w:spacing w:val="-2"/>
        </w:rPr>
        <w:t>ils soient publiés sur le porta</w:t>
      </w:r>
      <w:r w:rsidR="00810C56" w:rsidRPr="00810C56">
        <w:rPr>
          <w:spacing w:val="-2"/>
        </w:rPr>
        <w:t>il.  Le</w:t>
      </w:r>
      <w:r w:rsidRPr="00810C56">
        <w:rPr>
          <w:spacing w:val="-2"/>
        </w:rPr>
        <w:t>s administrations chargées de la recherche internationale désignées par le Bureau international et les autres offices qui soumettront des documents de brevet dans le cadre de l</w:t>
      </w:r>
      <w:r w:rsidR="00FD2442" w:rsidRPr="00810C56">
        <w:rPr>
          <w:spacing w:val="-2"/>
        </w:rPr>
        <w:t>’</w:t>
      </w:r>
      <w:r w:rsidRPr="00810C56">
        <w:rPr>
          <w:spacing w:val="-2"/>
        </w:rPr>
        <w:t>inventaire des documents compris dans la documentation minimale du PCT devront fournir un fichier d</w:t>
      </w:r>
      <w:r w:rsidR="00FD2442" w:rsidRPr="00810C56">
        <w:rPr>
          <w:spacing w:val="-2"/>
        </w:rPr>
        <w:t>’</w:t>
      </w:r>
      <w:r w:rsidRPr="00810C56">
        <w:rPr>
          <w:spacing w:val="-2"/>
        </w:rPr>
        <w:t>autorité conforme à la norme ST.37 de l</w:t>
      </w:r>
      <w:r w:rsidR="00FD2442" w:rsidRPr="00810C56">
        <w:rPr>
          <w:spacing w:val="-2"/>
        </w:rPr>
        <w:t>’</w:t>
      </w:r>
      <w:r w:rsidRPr="00810C56">
        <w:rPr>
          <w:spacing w:val="-2"/>
        </w:rPr>
        <w:t>OMPI à compter du</w:t>
      </w:r>
      <w:r w:rsidR="00FD2442" w:rsidRPr="00810C56">
        <w:rPr>
          <w:spacing w:val="-2"/>
        </w:rPr>
        <w:t xml:space="preserve"> 1</w:t>
      </w:r>
      <w:r w:rsidR="00FD2442" w:rsidRPr="00810C56">
        <w:rPr>
          <w:spacing w:val="-2"/>
          <w:vertAlign w:val="superscript"/>
        </w:rPr>
        <w:t>er</w:t>
      </w:r>
      <w:r w:rsidR="00FD2442" w:rsidRPr="00810C56">
        <w:rPr>
          <w:spacing w:val="-2"/>
        </w:rPr>
        <w:t> janvier 20</w:t>
      </w:r>
      <w:r w:rsidRPr="00810C56">
        <w:rPr>
          <w:spacing w:val="-2"/>
        </w:rPr>
        <w:t>26.  Le nombre de fichiers d</w:t>
      </w:r>
      <w:r w:rsidR="00FD2442" w:rsidRPr="00810C56">
        <w:rPr>
          <w:spacing w:val="-2"/>
        </w:rPr>
        <w:t>’</w:t>
      </w:r>
      <w:r w:rsidRPr="00810C56">
        <w:rPr>
          <w:spacing w:val="-2"/>
        </w:rPr>
        <w:t>autorité disponibles sur le portail devrait donc augmenter.</w:t>
      </w:r>
    </w:p>
    <w:p w14:paraId="27D462C4" w14:textId="309A3ADB" w:rsidR="00395B9E" w:rsidRPr="00810C56" w:rsidRDefault="00395B9E" w:rsidP="00FD2442">
      <w:pPr>
        <w:pStyle w:val="Heading2"/>
      </w:pPr>
      <w:r w:rsidRPr="00810C56">
        <w:t>Informations générales</w:t>
      </w:r>
    </w:p>
    <w:p w14:paraId="0BCADBAB" w14:textId="502EDB50" w:rsidR="00FD2442" w:rsidRPr="00810C56" w:rsidRDefault="00395B9E" w:rsidP="00FD2442">
      <w:pPr>
        <w:pStyle w:val="ONUMFS"/>
      </w:pPr>
      <w:r w:rsidRPr="00810C56">
        <w:t>La norme ST.37 de l</w:t>
      </w:r>
      <w:r w:rsidR="00FD2442" w:rsidRPr="00810C56">
        <w:t>’</w:t>
      </w:r>
      <w:r w:rsidRPr="00810C56">
        <w:t>OMPI fournit un ensemble de recommandations concernant les éléments fondamentaux et les formats autorisés pour les fichiers d</w:t>
      </w:r>
      <w:r w:rsidR="00FD2442" w:rsidRPr="00810C56">
        <w:t>’</w:t>
      </w:r>
      <w:r w:rsidRPr="00810C56">
        <w:t xml:space="preserve">autorité en matière de brevets.  Elle a été adoptée </w:t>
      </w:r>
      <w:r w:rsidR="00FD2442" w:rsidRPr="00810C56">
        <w:t>en 2017</w:t>
      </w:r>
      <w:r w:rsidRPr="00810C56">
        <w:t xml:space="preserve"> à la cinqu</w:t>
      </w:r>
      <w:r w:rsidR="00FD2442" w:rsidRPr="00810C56">
        <w:t>ième session</w:t>
      </w:r>
      <w:r w:rsidRPr="00810C56">
        <w:t xml:space="preserve"> du Comité des normes de l</w:t>
      </w:r>
      <w:r w:rsidR="00FD2442" w:rsidRPr="00810C56">
        <w:t>’</w:t>
      </w:r>
      <w:r w:rsidRPr="00810C56">
        <w:t>OMPI</w:t>
      </w:r>
      <w:r w:rsidR="00FD2442" w:rsidRPr="00810C56">
        <w:t> </w:t>
      </w:r>
      <w:r w:rsidRPr="00810C56">
        <w:t xml:space="preserve">(CWS) (voir le paragraphe 60 du </w:t>
      </w:r>
      <w:r w:rsidR="00FD2442" w:rsidRPr="00810C56">
        <w:t>document</w:t>
      </w:r>
      <w:r w:rsidR="00810C56">
        <w:t> </w:t>
      </w:r>
      <w:r w:rsidR="00FD2442" w:rsidRPr="00810C56">
        <w:t>CW</w:t>
      </w:r>
      <w:r w:rsidRPr="00810C56">
        <w:t>S/5/22).  Pour de plus amples précisions sur la dernière révision de la norme ST.37 de l</w:t>
      </w:r>
      <w:r w:rsidR="00FD2442" w:rsidRPr="00810C56">
        <w:t>’</w:t>
      </w:r>
      <w:r w:rsidRPr="00810C56">
        <w:t xml:space="preserve">OMPI proposée à la présente session, voir le </w:t>
      </w:r>
      <w:r w:rsidR="00FD2442" w:rsidRPr="00810C56">
        <w:t>document</w:t>
      </w:r>
      <w:r w:rsidR="00810C56">
        <w:t> </w:t>
      </w:r>
      <w:r w:rsidR="00FD2442" w:rsidRPr="00810C56">
        <w:t>CW</w:t>
      </w:r>
      <w:r w:rsidRPr="00810C56">
        <w:t>S/13/17.</w:t>
      </w:r>
    </w:p>
    <w:p w14:paraId="12F23DC9" w14:textId="34EB9C66" w:rsidR="00FD2442" w:rsidRPr="00810C56" w:rsidRDefault="00395B9E" w:rsidP="00FD2442">
      <w:pPr>
        <w:pStyle w:val="ONUMFS"/>
      </w:pPr>
      <w:r w:rsidRPr="00810C56">
        <w:t>À la suite de l</w:t>
      </w:r>
      <w:r w:rsidR="00FD2442" w:rsidRPr="00810C56">
        <w:t>’</w:t>
      </w:r>
      <w:r w:rsidRPr="00810C56">
        <w:t>adoption de cette norme, le Bureau international a proposé la création d</w:t>
      </w:r>
      <w:r w:rsidR="00FD2442" w:rsidRPr="00810C56">
        <w:t>’</w:t>
      </w:r>
      <w:r w:rsidRPr="00810C56">
        <w:t>un portail sur lequel seraient publiés les fichiers d</w:t>
      </w:r>
      <w:r w:rsidR="00FD2442" w:rsidRPr="00810C56">
        <w:t>’</w:t>
      </w:r>
      <w:r w:rsidRPr="00810C56">
        <w:t>autorité soumis par les offices (voir les paragraphes 8 et</w:t>
      </w:r>
      <w:r w:rsidR="001B3FAF">
        <w:t> </w:t>
      </w:r>
      <w:r w:rsidRPr="00810C56">
        <w:t>9 ainsi que l</w:t>
      </w:r>
      <w:r w:rsidR="00FD2442" w:rsidRPr="00810C56">
        <w:t>’</w:t>
      </w:r>
      <w:r w:rsidRPr="00810C56">
        <w:t xml:space="preserve">annexe du </w:t>
      </w:r>
      <w:r w:rsidR="00FD2442" w:rsidRPr="00810C56">
        <w:t>document</w:t>
      </w:r>
      <w:r w:rsidR="00810C56">
        <w:t> </w:t>
      </w:r>
      <w:r w:rsidR="00FD2442" w:rsidRPr="00810C56">
        <w:t>CW</w:t>
      </w:r>
      <w:r w:rsidRPr="00810C56">
        <w:t>S/6/18).  Le portail d</w:t>
      </w:r>
      <w:r w:rsidR="00FD2442" w:rsidRPr="00810C56">
        <w:t>’</w:t>
      </w:r>
      <w:r w:rsidRPr="00810C56">
        <w:t>accès aux fichiers d</w:t>
      </w:r>
      <w:r w:rsidR="00FD2442" w:rsidRPr="00810C56">
        <w:t>’</w:t>
      </w:r>
      <w:r w:rsidRPr="00810C56">
        <w:t xml:space="preserve">autorité a été mis en ligne en </w:t>
      </w:r>
      <w:r w:rsidR="00FD2442" w:rsidRPr="00810C56">
        <w:t>avril 20</w:t>
      </w:r>
      <w:r w:rsidRPr="00810C56">
        <w:t>19 et 18 offices de propriété intellectuelle ont transmis leurs fichiers d</w:t>
      </w:r>
      <w:r w:rsidR="00FD2442" w:rsidRPr="00810C56">
        <w:t>’</w:t>
      </w:r>
      <w:r w:rsidRPr="00810C56">
        <w:t>autorité conformes à la norme ST.37 de l</w:t>
      </w:r>
      <w:r w:rsidR="00FD2442" w:rsidRPr="00810C56">
        <w:t>’</w:t>
      </w:r>
      <w:r w:rsidRPr="00810C56">
        <w:t>OMPI (voir les paragraphes 7 et</w:t>
      </w:r>
      <w:r w:rsidR="00894993">
        <w:t> </w:t>
      </w:r>
      <w:r w:rsidRPr="00810C56">
        <w:t xml:space="preserve">8 du </w:t>
      </w:r>
      <w:r w:rsidR="00FD2442" w:rsidRPr="00810C56">
        <w:t>document</w:t>
      </w:r>
      <w:r w:rsidR="00810C56">
        <w:t> </w:t>
      </w:r>
      <w:r w:rsidR="00FD2442" w:rsidRPr="00810C56">
        <w:t>CW</w:t>
      </w:r>
      <w:r w:rsidRPr="00810C56">
        <w:t>S/7/16).  Le portail d</w:t>
      </w:r>
      <w:r w:rsidR="00FD2442" w:rsidRPr="00810C56">
        <w:t>’</w:t>
      </w:r>
      <w:r w:rsidRPr="00810C56">
        <w:t>accès aux fichiers d</w:t>
      </w:r>
      <w:r w:rsidR="00FD2442" w:rsidRPr="00810C56">
        <w:t>’</w:t>
      </w:r>
      <w:r w:rsidRPr="00810C56">
        <w:t>autorité peut être consulté à l</w:t>
      </w:r>
      <w:r w:rsidR="00FD2442" w:rsidRPr="00810C56">
        <w:t>’</w:t>
      </w:r>
      <w:r w:rsidRPr="00810C56">
        <w:t>adresse suivante</w:t>
      </w:r>
      <w:r w:rsidR="00FD2442" w:rsidRPr="00810C56">
        <w:t> :</w:t>
      </w:r>
      <w:r w:rsidRPr="00810C56">
        <w:t xml:space="preserve"> </w:t>
      </w:r>
      <w:hyperlink r:id="rId8" w:history="1">
        <w:r w:rsidRPr="00810C56">
          <w:rPr>
            <w:rStyle w:val="Hyperlink"/>
          </w:rPr>
          <w:t>https://www.wipo.int/fr/web/standards/authority_file</w:t>
        </w:r>
      </w:hyperlink>
      <w:r w:rsidRPr="00810C56">
        <w:t>.</w:t>
      </w:r>
    </w:p>
    <w:p w14:paraId="0DA247DD" w14:textId="6398DD31" w:rsidR="00FD2442" w:rsidRPr="00810C56" w:rsidRDefault="00FD2442" w:rsidP="00FD2442">
      <w:pPr>
        <w:pStyle w:val="ONUMFS"/>
      </w:pPr>
      <w:r w:rsidRPr="00810C56">
        <w:lastRenderedPageBreak/>
        <w:t>C</w:t>
      </w:r>
      <w:r w:rsidR="00395B9E" w:rsidRPr="00810C56">
        <w:t>haque année, au mois de février, le Secrétariat demande officiellement des mises à jour des fichiers d</w:t>
      </w:r>
      <w:r w:rsidRPr="00810C56">
        <w:t>’</w:t>
      </w:r>
      <w:r w:rsidR="00395B9E" w:rsidRPr="00810C56">
        <w:t>autorité, ou la fourniture de nouveaux fichiers, par la voie d</w:t>
      </w:r>
      <w:r w:rsidRPr="00810C56">
        <w:t>’</w:t>
      </w:r>
      <w:r w:rsidR="00395B9E" w:rsidRPr="00810C56">
        <w:t>une circulaire</w:t>
      </w:r>
      <w:r w:rsidRPr="00810C56">
        <w:t xml:space="preserve"> du CWS</w:t>
      </w:r>
      <w:r w:rsidR="00395B9E" w:rsidRPr="00810C56">
        <w:t>.  Les offices doivent fournir au moins une fois par an une mise à jour de leur fichier d</w:t>
      </w:r>
      <w:r w:rsidRPr="00810C56">
        <w:t>’</w:t>
      </w:r>
      <w:r w:rsidR="00395B9E" w:rsidRPr="00810C56">
        <w:t>autorité en matière de breve</w:t>
      </w:r>
      <w:r w:rsidR="00810C56" w:rsidRPr="00810C56">
        <w:t xml:space="preserve">ts.  À </w:t>
      </w:r>
      <w:r w:rsidR="00395B9E" w:rsidRPr="00810C56">
        <w:t>chaque session</w:t>
      </w:r>
      <w:r w:rsidRPr="00810C56">
        <w:t xml:space="preserve"> du CWS</w:t>
      </w:r>
      <w:r w:rsidR="00395B9E" w:rsidRPr="00810C56">
        <w:t>, le Bureau international fait le point sur la mise à jour du portail d</w:t>
      </w:r>
      <w:r w:rsidRPr="00810C56">
        <w:t>’</w:t>
      </w:r>
      <w:r w:rsidR="00395B9E" w:rsidRPr="00810C56">
        <w:t>accès aux fichiers d</w:t>
      </w:r>
      <w:r w:rsidRPr="00810C56">
        <w:t>’</w:t>
      </w:r>
      <w:r w:rsidR="00395B9E" w:rsidRPr="00810C56">
        <w:t>autorité.</w:t>
      </w:r>
    </w:p>
    <w:p w14:paraId="433C7B6D" w14:textId="76EB460B" w:rsidR="00FD2442" w:rsidRPr="00810C56" w:rsidRDefault="00395B9E" w:rsidP="00FD2442">
      <w:pPr>
        <w:pStyle w:val="ONUMFS"/>
      </w:pPr>
      <w:r w:rsidRPr="00810C56">
        <w:t>L</w:t>
      </w:r>
      <w:r w:rsidR="00FD2442" w:rsidRPr="00810C56">
        <w:t>’</w:t>
      </w:r>
      <w:r w:rsidRPr="00810C56">
        <w:t>Équipe d</w:t>
      </w:r>
      <w:r w:rsidR="00FD2442" w:rsidRPr="00810C56">
        <w:t>’</w:t>
      </w:r>
      <w:r w:rsidRPr="00810C56">
        <w:t>experts chargée de la documentation minimale</w:t>
      </w:r>
      <w:r w:rsidR="00FD2442" w:rsidRPr="00810C56">
        <w:t xml:space="preserve"> du PCT</w:t>
      </w:r>
      <w:r w:rsidRPr="00810C56">
        <w:t>, qui gère l</w:t>
      </w:r>
      <w:r w:rsidR="00FD2442" w:rsidRPr="00810C56">
        <w:t>’</w:t>
      </w:r>
      <w:r w:rsidRPr="00810C56">
        <w:t>inventaire des documents compris dans la documentation minimale du PCT, est convenue que tous les offices ou toutes les organisations qui fournissent des documents dans le cadre de la documentation minimale</w:t>
      </w:r>
      <w:r w:rsidR="00FD2442" w:rsidRPr="00810C56">
        <w:t xml:space="preserve"> du PCT</w:t>
      </w:r>
      <w:r w:rsidRPr="00810C56">
        <w:t xml:space="preserve"> devront soumettre un fichier d</w:t>
      </w:r>
      <w:r w:rsidR="00FD2442" w:rsidRPr="00810C56">
        <w:t>’</w:t>
      </w:r>
      <w:r w:rsidRPr="00810C56">
        <w:t>autorité conforme à la norme ST.37 de l</w:t>
      </w:r>
      <w:r w:rsidR="00FD2442" w:rsidRPr="00810C56">
        <w:t>’</w:t>
      </w:r>
      <w:r w:rsidRPr="00810C56">
        <w:t>OMPI lorsque le nouveau règlement d</w:t>
      </w:r>
      <w:r w:rsidR="00FD2442" w:rsidRPr="00810C56">
        <w:t>’</w:t>
      </w:r>
      <w:r w:rsidRPr="00810C56">
        <w:t>exécution</w:t>
      </w:r>
      <w:r w:rsidR="00FD2442" w:rsidRPr="00810C56">
        <w:t xml:space="preserve"> du PCT</w:t>
      </w:r>
      <w:r w:rsidRPr="00810C56">
        <w:t xml:space="preserve"> entrera en vigueur le</w:t>
      </w:r>
      <w:r w:rsidR="00FD2442" w:rsidRPr="00810C56">
        <w:t xml:space="preserve"> 1</w:t>
      </w:r>
      <w:r w:rsidR="00FD2442" w:rsidRPr="00810C56">
        <w:rPr>
          <w:vertAlign w:val="superscript"/>
        </w:rPr>
        <w:t>er</w:t>
      </w:r>
      <w:r w:rsidR="00FD2442" w:rsidRPr="00810C56">
        <w:t> janvier 20</w:t>
      </w:r>
      <w:r w:rsidRPr="00810C56">
        <w:t>26 (voir le paragraphe 14 et l</w:t>
      </w:r>
      <w:r w:rsidR="00FD2442" w:rsidRPr="00810C56">
        <w:t>’</w:t>
      </w:r>
      <w:r w:rsidRPr="00810C56">
        <w:t xml:space="preserve">appendice du </w:t>
      </w:r>
      <w:r w:rsidR="00FD2442" w:rsidRPr="00810C56">
        <w:t>document</w:t>
      </w:r>
      <w:r w:rsidR="00810C56">
        <w:t> </w:t>
      </w:r>
      <w:r w:rsidR="00FD2442" w:rsidRPr="00810C56">
        <w:t>PC</w:t>
      </w:r>
      <w:r w:rsidRPr="00810C56">
        <w:t>T/MIA/30/2).  Ainsi, le nombre de fichiers d</w:t>
      </w:r>
      <w:r w:rsidR="00FD2442" w:rsidRPr="00810C56">
        <w:t>’</w:t>
      </w:r>
      <w:r w:rsidRPr="00810C56">
        <w:t xml:space="preserve">autorité disponibles sur le portail devrait augmenter, en particulier en </w:t>
      </w:r>
      <w:r w:rsidR="00FD2442" w:rsidRPr="00810C56">
        <w:t>mars 20</w:t>
      </w:r>
      <w:r w:rsidRPr="00810C56">
        <w:t>26, date de la première mise à jour suivant l</w:t>
      </w:r>
      <w:r w:rsidR="00FD2442" w:rsidRPr="00810C56">
        <w:t>’</w:t>
      </w:r>
      <w:r w:rsidRPr="00810C56">
        <w:t>entrée en vigueur du nouveau règlement d</w:t>
      </w:r>
      <w:r w:rsidR="00FD2442" w:rsidRPr="00810C56">
        <w:t>’</w:t>
      </w:r>
      <w:r w:rsidRPr="00810C56">
        <w:t>exécution.  Pour de plus amples précisions sur la mise à jour proposée de la partie 4 du Manuel de l</w:t>
      </w:r>
      <w:r w:rsidR="00FD2442" w:rsidRPr="00810C56">
        <w:t>’</w:t>
      </w:r>
      <w:r w:rsidRPr="00810C56">
        <w:t>OMPI sur l</w:t>
      </w:r>
      <w:r w:rsidR="00FD2442" w:rsidRPr="00810C56">
        <w:t>’</w:t>
      </w:r>
      <w:r w:rsidRPr="00810C56">
        <w:t xml:space="preserve">information et la documentation en matière de propriété intellectuelle, voir le </w:t>
      </w:r>
      <w:r w:rsidR="00FD2442" w:rsidRPr="00810C56">
        <w:t>document</w:t>
      </w:r>
      <w:r w:rsidR="00810C56">
        <w:t> </w:t>
      </w:r>
      <w:r w:rsidR="00FD2442" w:rsidRPr="00810C56">
        <w:t>CW</w:t>
      </w:r>
      <w:r w:rsidRPr="00810C56">
        <w:t>S/13/25.</w:t>
      </w:r>
    </w:p>
    <w:p w14:paraId="121038D8" w14:textId="2FB1ADC0" w:rsidR="00395B9E" w:rsidRPr="00810C56" w:rsidRDefault="00395B9E" w:rsidP="00FD2442">
      <w:pPr>
        <w:pStyle w:val="Heading2"/>
      </w:pPr>
      <w:r w:rsidRPr="00810C56">
        <w:t>Portail d</w:t>
      </w:r>
      <w:r w:rsidR="00FD2442" w:rsidRPr="00810C56">
        <w:t>’</w:t>
      </w:r>
      <w:r w:rsidRPr="00810C56">
        <w:t>accès aux fichiers d</w:t>
      </w:r>
      <w:r w:rsidR="00FD2442" w:rsidRPr="00810C56">
        <w:t>’</w:t>
      </w:r>
      <w:r w:rsidRPr="00810C56">
        <w:t>autorité</w:t>
      </w:r>
    </w:p>
    <w:p w14:paraId="0064BBB5" w14:textId="6262B213" w:rsidR="00FD2442" w:rsidRPr="00810C56" w:rsidRDefault="00395B9E" w:rsidP="00FD2442">
      <w:pPr>
        <w:pStyle w:val="ONUMFS"/>
        <w:spacing w:after="120"/>
      </w:pPr>
      <w:r w:rsidRPr="00810C56">
        <w:t>À ce jour, 35 fichiers sont disponibles sur le portail d</w:t>
      </w:r>
      <w:r w:rsidR="00FD2442" w:rsidRPr="00810C56">
        <w:t>’</w:t>
      </w:r>
      <w:r w:rsidRPr="00810C56">
        <w:t>accès aux fichiers d</w:t>
      </w:r>
      <w:r w:rsidR="00FD2442" w:rsidRPr="00810C56">
        <w:t>’</w:t>
      </w:r>
      <w:r w:rsidRPr="00810C56">
        <w:t>autorité.  L</w:t>
      </w:r>
      <w:r w:rsidR="00FD2442" w:rsidRPr="00810C56">
        <w:t>’</w:t>
      </w:r>
      <w:r w:rsidRPr="00810C56">
        <w:t>office dont le nom est suivi d</w:t>
      </w:r>
      <w:r w:rsidR="00FD2442" w:rsidRPr="00810C56">
        <w:t>’</w:t>
      </w:r>
      <w:r w:rsidRPr="00810C56">
        <w:t xml:space="preserve">un astérisque (*) a été ajouté </w:t>
      </w:r>
      <w:r w:rsidR="00FD2442" w:rsidRPr="00810C56">
        <w:t>en 2025 :</w:t>
      </w:r>
    </w:p>
    <w:p w14:paraId="1CEAA66A" w14:textId="0257E123" w:rsidR="00395B9E" w:rsidRPr="00810C56" w:rsidRDefault="00395B9E" w:rsidP="00FD2442">
      <w:pPr>
        <w:pStyle w:val="ONUMFS"/>
        <w:numPr>
          <w:ilvl w:val="0"/>
          <w:numId w:val="11"/>
        </w:numPr>
        <w:tabs>
          <w:tab w:val="clear" w:pos="567"/>
          <w:tab w:val="num" w:pos="1134"/>
        </w:tabs>
        <w:spacing w:after="0"/>
        <w:ind w:left="567"/>
      </w:pPr>
      <w:r w:rsidRPr="00810C56">
        <w:t>Autriche (AT);</w:t>
      </w:r>
    </w:p>
    <w:p w14:paraId="70FEECD3" w14:textId="77777777" w:rsidR="00395B9E" w:rsidRPr="00810C56" w:rsidRDefault="00395B9E" w:rsidP="00FD2442">
      <w:pPr>
        <w:pStyle w:val="ONUMFS"/>
        <w:numPr>
          <w:ilvl w:val="0"/>
          <w:numId w:val="11"/>
        </w:numPr>
        <w:tabs>
          <w:tab w:val="clear" w:pos="567"/>
          <w:tab w:val="num" w:pos="1134"/>
        </w:tabs>
        <w:spacing w:after="0"/>
        <w:ind w:left="567"/>
      </w:pPr>
      <w:r w:rsidRPr="00810C56">
        <w:t>Australie (AU);</w:t>
      </w:r>
    </w:p>
    <w:p w14:paraId="7ED03CF4" w14:textId="77777777" w:rsidR="00395B9E" w:rsidRPr="00810C56" w:rsidRDefault="00395B9E" w:rsidP="00FD2442">
      <w:pPr>
        <w:pStyle w:val="ONUMFS"/>
        <w:numPr>
          <w:ilvl w:val="0"/>
          <w:numId w:val="11"/>
        </w:numPr>
        <w:tabs>
          <w:tab w:val="clear" w:pos="567"/>
          <w:tab w:val="num" w:pos="1134"/>
        </w:tabs>
        <w:spacing w:after="0"/>
        <w:ind w:left="567"/>
      </w:pPr>
      <w:r w:rsidRPr="00810C56">
        <w:t>Bulgarie (BG);</w:t>
      </w:r>
    </w:p>
    <w:p w14:paraId="15BF68D6" w14:textId="77777777" w:rsidR="00395B9E" w:rsidRPr="00810C56" w:rsidRDefault="00395B9E" w:rsidP="00FD2442">
      <w:pPr>
        <w:pStyle w:val="ONUMFS"/>
        <w:numPr>
          <w:ilvl w:val="0"/>
          <w:numId w:val="11"/>
        </w:numPr>
        <w:tabs>
          <w:tab w:val="clear" w:pos="567"/>
          <w:tab w:val="num" w:pos="1134"/>
        </w:tabs>
        <w:spacing w:after="0"/>
        <w:ind w:left="567"/>
      </w:pPr>
      <w:r w:rsidRPr="00810C56">
        <w:t>Brésil (BR);</w:t>
      </w:r>
    </w:p>
    <w:p w14:paraId="6B258785" w14:textId="77777777" w:rsidR="00395B9E" w:rsidRPr="00810C56" w:rsidRDefault="00395B9E" w:rsidP="00FD2442">
      <w:pPr>
        <w:pStyle w:val="ONUMFS"/>
        <w:numPr>
          <w:ilvl w:val="0"/>
          <w:numId w:val="11"/>
        </w:numPr>
        <w:tabs>
          <w:tab w:val="clear" w:pos="567"/>
          <w:tab w:val="num" w:pos="1134"/>
        </w:tabs>
        <w:spacing w:after="0"/>
        <w:ind w:left="567"/>
      </w:pPr>
      <w:r w:rsidRPr="00810C56">
        <w:t>Canada (CA);</w:t>
      </w:r>
    </w:p>
    <w:p w14:paraId="19CCF8D9" w14:textId="77777777" w:rsidR="00395B9E" w:rsidRPr="00810C56" w:rsidRDefault="00395B9E" w:rsidP="00FD2442">
      <w:pPr>
        <w:pStyle w:val="ONUMFS"/>
        <w:numPr>
          <w:ilvl w:val="0"/>
          <w:numId w:val="11"/>
        </w:numPr>
        <w:tabs>
          <w:tab w:val="clear" w:pos="567"/>
          <w:tab w:val="num" w:pos="1134"/>
        </w:tabs>
        <w:spacing w:after="0"/>
        <w:ind w:left="567"/>
      </w:pPr>
      <w:r w:rsidRPr="00810C56">
        <w:t>Chine (CN);</w:t>
      </w:r>
    </w:p>
    <w:p w14:paraId="6773564D" w14:textId="77777777" w:rsidR="00395B9E" w:rsidRPr="00810C56" w:rsidRDefault="00395B9E" w:rsidP="00FD2442">
      <w:pPr>
        <w:pStyle w:val="ONUMFS"/>
        <w:numPr>
          <w:ilvl w:val="0"/>
          <w:numId w:val="11"/>
        </w:numPr>
        <w:tabs>
          <w:tab w:val="clear" w:pos="567"/>
          <w:tab w:val="num" w:pos="1134"/>
        </w:tabs>
        <w:spacing w:after="0"/>
        <w:ind w:left="567"/>
      </w:pPr>
      <w:r w:rsidRPr="00810C56">
        <w:t>République tchèque (CZ);</w:t>
      </w:r>
    </w:p>
    <w:p w14:paraId="4EC2AE06" w14:textId="77777777" w:rsidR="00395B9E" w:rsidRPr="00810C56" w:rsidRDefault="00395B9E" w:rsidP="00FD2442">
      <w:pPr>
        <w:pStyle w:val="ONUMFS"/>
        <w:numPr>
          <w:ilvl w:val="0"/>
          <w:numId w:val="11"/>
        </w:numPr>
        <w:tabs>
          <w:tab w:val="clear" w:pos="567"/>
          <w:tab w:val="num" w:pos="1134"/>
        </w:tabs>
        <w:spacing w:after="0"/>
        <w:ind w:left="567"/>
      </w:pPr>
      <w:r w:rsidRPr="00810C56">
        <w:t>Allemagne (DE);</w:t>
      </w:r>
    </w:p>
    <w:p w14:paraId="1D9B0528" w14:textId="77777777" w:rsidR="00395B9E" w:rsidRPr="00810C56" w:rsidRDefault="00395B9E" w:rsidP="00FD2442">
      <w:pPr>
        <w:pStyle w:val="ONUMFS"/>
        <w:numPr>
          <w:ilvl w:val="0"/>
          <w:numId w:val="11"/>
        </w:numPr>
        <w:tabs>
          <w:tab w:val="clear" w:pos="567"/>
          <w:tab w:val="num" w:pos="1134"/>
        </w:tabs>
        <w:spacing w:after="0"/>
        <w:ind w:left="567"/>
      </w:pPr>
      <w:r w:rsidRPr="00810C56">
        <w:t>Organisation eurasienne des brevets (EA);</w:t>
      </w:r>
    </w:p>
    <w:p w14:paraId="5F21955D" w14:textId="77777777" w:rsidR="00395B9E" w:rsidRPr="00810C56" w:rsidRDefault="00395B9E" w:rsidP="00FD2442">
      <w:pPr>
        <w:pStyle w:val="ONUMFS"/>
        <w:numPr>
          <w:ilvl w:val="0"/>
          <w:numId w:val="11"/>
        </w:numPr>
        <w:tabs>
          <w:tab w:val="clear" w:pos="567"/>
          <w:tab w:val="num" w:pos="1134"/>
        </w:tabs>
        <w:spacing w:after="0"/>
        <w:ind w:left="567"/>
      </w:pPr>
      <w:r w:rsidRPr="00810C56">
        <w:t>Office européen des brevets (EP);</w:t>
      </w:r>
    </w:p>
    <w:p w14:paraId="266BF5B7" w14:textId="77777777" w:rsidR="00395B9E" w:rsidRPr="00810C56" w:rsidRDefault="00395B9E" w:rsidP="00FD2442">
      <w:pPr>
        <w:pStyle w:val="ONUMFS"/>
        <w:numPr>
          <w:ilvl w:val="0"/>
          <w:numId w:val="11"/>
        </w:numPr>
        <w:tabs>
          <w:tab w:val="clear" w:pos="567"/>
          <w:tab w:val="num" w:pos="1134"/>
        </w:tabs>
        <w:spacing w:after="0"/>
        <w:ind w:left="567"/>
      </w:pPr>
      <w:r w:rsidRPr="00810C56">
        <w:t>Espagne (ES);</w:t>
      </w:r>
    </w:p>
    <w:p w14:paraId="16BE3AA9" w14:textId="77777777" w:rsidR="00395B9E" w:rsidRPr="00810C56" w:rsidRDefault="00395B9E" w:rsidP="00FD2442">
      <w:pPr>
        <w:pStyle w:val="ONUMFS"/>
        <w:numPr>
          <w:ilvl w:val="0"/>
          <w:numId w:val="11"/>
        </w:numPr>
        <w:tabs>
          <w:tab w:val="clear" w:pos="567"/>
          <w:tab w:val="num" w:pos="1134"/>
        </w:tabs>
        <w:spacing w:after="0"/>
        <w:ind w:left="567"/>
      </w:pPr>
      <w:r w:rsidRPr="00810C56">
        <w:t>Finlande (FI);</w:t>
      </w:r>
    </w:p>
    <w:p w14:paraId="1ADD1C52" w14:textId="77777777" w:rsidR="00395B9E" w:rsidRPr="00810C56" w:rsidRDefault="00395B9E" w:rsidP="00FD2442">
      <w:pPr>
        <w:pStyle w:val="ONUMFS"/>
        <w:numPr>
          <w:ilvl w:val="0"/>
          <w:numId w:val="11"/>
        </w:numPr>
        <w:tabs>
          <w:tab w:val="clear" w:pos="567"/>
          <w:tab w:val="num" w:pos="1134"/>
        </w:tabs>
        <w:spacing w:after="0"/>
        <w:ind w:left="567"/>
      </w:pPr>
      <w:r w:rsidRPr="00810C56">
        <w:t>France (FR);</w:t>
      </w:r>
    </w:p>
    <w:p w14:paraId="2F942EBC" w14:textId="44A0E271" w:rsidR="00395B9E" w:rsidRPr="00810C56" w:rsidRDefault="00395B9E" w:rsidP="00FD2442">
      <w:pPr>
        <w:pStyle w:val="ONUMFS"/>
        <w:numPr>
          <w:ilvl w:val="0"/>
          <w:numId w:val="11"/>
        </w:numPr>
        <w:tabs>
          <w:tab w:val="clear" w:pos="567"/>
          <w:tab w:val="num" w:pos="1134"/>
        </w:tabs>
        <w:spacing w:after="0"/>
        <w:ind w:left="567"/>
      </w:pPr>
      <w:r w:rsidRPr="00810C56">
        <w:t>Royaume</w:t>
      </w:r>
      <w:r w:rsidR="00FD12EF">
        <w:noBreakHyphen/>
      </w:r>
      <w:r w:rsidRPr="00810C56">
        <w:t>Uni (GB);</w:t>
      </w:r>
    </w:p>
    <w:p w14:paraId="62D1BDEF" w14:textId="77777777" w:rsidR="00395B9E" w:rsidRPr="00810C56" w:rsidRDefault="00395B9E" w:rsidP="00FD2442">
      <w:pPr>
        <w:pStyle w:val="ONUMFS"/>
        <w:numPr>
          <w:ilvl w:val="0"/>
          <w:numId w:val="11"/>
        </w:numPr>
        <w:tabs>
          <w:tab w:val="clear" w:pos="567"/>
          <w:tab w:val="num" w:pos="1134"/>
        </w:tabs>
        <w:spacing w:after="0"/>
        <w:ind w:left="567"/>
      </w:pPr>
      <w:r w:rsidRPr="00810C56">
        <w:t>Croatie (HR);</w:t>
      </w:r>
    </w:p>
    <w:p w14:paraId="23705949" w14:textId="77777777" w:rsidR="00395B9E" w:rsidRPr="00810C56" w:rsidRDefault="00395B9E" w:rsidP="00FD2442">
      <w:pPr>
        <w:pStyle w:val="ONUMFS"/>
        <w:numPr>
          <w:ilvl w:val="0"/>
          <w:numId w:val="11"/>
        </w:numPr>
        <w:tabs>
          <w:tab w:val="clear" w:pos="567"/>
          <w:tab w:val="num" w:pos="1134"/>
        </w:tabs>
        <w:spacing w:after="0"/>
        <w:ind w:left="567"/>
      </w:pPr>
      <w:r w:rsidRPr="00810C56">
        <w:t>Irlande (IE)*;</w:t>
      </w:r>
    </w:p>
    <w:p w14:paraId="281E08BB" w14:textId="77777777" w:rsidR="00395B9E" w:rsidRPr="00810C56" w:rsidRDefault="00395B9E" w:rsidP="00FD2442">
      <w:pPr>
        <w:pStyle w:val="ONUMFS"/>
        <w:numPr>
          <w:ilvl w:val="0"/>
          <w:numId w:val="11"/>
        </w:numPr>
        <w:tabs>
          <w:tab w:val="clear" w:pos="567"/>
          <w:tab w:val="num" w:pos="1134"/>
        </w:tabs>
        <w:spacing w:after="0"/>
        <w:ind w:left="567"/>
      </w:pPr>
      <w:r w:rsidRPr="00810C56">
        <w:t>Israël (IL);</w:t>
      </w:r>
    </w:p>
    <w:p w14:paraId="2341C527" w14:textId="77777777" w:rsidR="00395B9E" w:rsidRPr="00810C56" w:rsidRDefault="00395B9E" w:rsidP="00FD2442">
      <w:pPr>
        <w:pStyle w:val="ONUMFS"/>
        <w:numPr>
          <w:ilvl w:val="0"/>
          <w:numId w:val="11"/>
        </w:numPr>
        <w:tabs>
          <w:tab w:val="clear" w:pos="567"/>
          <w:tab w:val="num" w:pos="1134"/>
        </w:tabs>
        <w:spacing w:after="0"/>
        <w:ind w:left="567"/>
      </w:pPr>
      <w:r w:rsidRPr="00810C56">
        <w:t>Italie (IT);</w:t>
      </w:r>
    </w:p>
    <w:p w14:paraId="2D352D21" w14:textId="77777777" w:rsidR="00395B9E" w:rsidRPr="00810C56" w:rsidRDefault="00395B9E" w:rsidP="00FD2442">
      <w:pPr>
        <w:pStyle w:val="ONUMFS"/>
        <w:numPr>
          <w:ilvl w:val="0"/>
          <w:numId w:val="11"/>
        </w:numPr>
        <w:tabs>
          <w:tab w:val="clear" w:pos="567"/>
          <w:tab w:val="num" w:pos="1134"/>
        </w:tabs>
        <w:spacing w:after="0"/>
        <w:ind w:left="567"/>
      </w:pPr>
      <w:r w:rsidRPr="00810C56">
        <w:t>Japon (JP);</w:t>
      </w:r>
    </w:p>
    <w:p w14:paraId="6C111B29" w14:textId="77777777" w:rsidR="00395B9E" w:rsidRPr="00810C56" w:rsidRDefault="00395B9E" w:rsidP="00FD2442">
      <w:pPr>
        <w:pStyle w:val="ONUMFS"/>
        <w:numPr>
          <w:ilvl w:val="0"/>
          <w:numId w:val="11"/>
        </w:numPr>
        <w:tabs>
          <w:tab w:val="clear" w:pos="567"/>
          <w:tab w:val="num" w:pos="1134"/>
        </w:tabs>
        <w:spacing w:after="0"/>
        <w:ind w:left="567"/>
      </w:pPr>
      <w:r w:rsidRPr="00810C56">
        <w:t>République de Corée (KR);</w:t>
      </w:r>
    </w:p>
    <w:p w14:paraId="674BDB5E" w14:textId="13F5F72D" w:rsidR="00395B9E" w:rsidRPr="00810C56" w:rsidRDefault="00395B9E" w:rsidP="00FD2442">
      <w:pPr>
        <w:pStyle w:val="ONUMFS"/>
        <w:numPr>
          <w:ilvl w:val="0"/>
          <w:numId w:val="11"/>
        </w:numPr>
        <w:tabs>
          <w:tab w:val="clear" w:pos="567"/>
          <w:tab w:val="num" w:pos="1134"/>
        </w:tabs>
        <w:spacing w:after="0"/>
        <w:ind w:left="567"/>
      </w:pPr>
      <w:r w:rsidRPr="00810C56">
        <w:t>L</w:t>
      </w:r>
      <w:r w:rsidR="001B3FAF">
        <w:t>i</w:t>
      </w:r>
      <w:r w:rsidRPr="00810C56">
        <w:t>t</w:t>
      </w:r>
      <w:r w:rsidR="001B3FAF">
        <w:t>ua</w:t>
      </w:r>
      <w:r w:rsidRPr="00810C56">
        <w:t>nie (LT);</w:t>
      </w:r>
    </w:p>
    <w:p w14:paraId="642B9F81" w14:textId="77777777" w:rsidR="00395B9E" w:rsidRPr="00810C56" w:rsidRDefault="00395B9E" w:rsidP="00FD2442">
      <w:pPr>
        <w:pStyle w:val="ONUMFS"/>
        <w:numPr>
          <w:ilvl w:val="0"/>
          <w:numId w:val="11"/>
        </w:numPr>
        <w:tabs>
          <w:tab w:val="clear" w:pos="567"/>
          <w:tab w:val="num" w:pos="1134"/>
        </w:tabs>
        <w:spacing w:after="0"/>
        <w:ind w:left="567"/>
      </w:pPr>
      <w:r w:rsidRPr="00810C56">
        <w:t>Monaco (MC);</w:t>
      </w:r>
    </w:p>
    <w:p w14:paraId="78930974" w14:textId="77777777" w:rsidR="00395B9E" w:rsidRPr="00810C56" w:rsidRDefault="00395B9E" w:rsidP="00FD2442">
      <w:pPr>
        <w:pStyle w:val="ONUMFS"/>
        <w:numPr>
          <w:ilvl w:val="0"/>
          <w:numId w:val="11"/>
        </w:numPr>
        <w:tabs>
          <w:tab w:val="clear" w:pos="567"/>
          <w:tab w:val="num" w:pos="1134"/>
        </w:tabs>
        <w:spacing w:after="0"/>
        <w:ind w:left="567"/>
      </w:pPr>
      <w:r w:rsidRPr="00810C56">
        <w:t>Moldova (MD);</w:t>
      </w:r>
    </w:p>
    <w:p w14:paraId="3BDE8F11" w14:textId="77777777" w:rsidR="00395B9E" w:rsidRPr="00810C56" w:rsidRDefault="00395B9E" w:rsidP="00FD2442">
      <w:pPr>
        <w:pStyle w:val="ONUMFS"/>
        <w:numPr>
          <w:ilvl w:val="0"/>
          <w:numId w:val="11"/>
        </w:numPr>
        <w:tabs>
          <w:tab w:val="clear" w:pos="567"/>
          <w:tab w:val="num" w:pos="1134"/>
        </w:tabs>
        <w:spacing w:after="0"/>
        <w:ind w:left="567"/>
      </w:pPr>
      <w:r w:rsidRPr="00810C56">
        <w:t>Norvège (NO);</w:t>
      </w:r>
    </w:p>
    <w:p w14:paraId="6423569D" w14:textId="77777777" w:rsidR="00395B9E" w:rsidRPr="00810C56" w:rsidRDefault="00395B9E" w:rsidP="00FD2442">
      <w:pPr>
        <w:pStyle w:val="ONUMFS"/>
        <w:numPr>
          <w:ilvl w:val="0"/>
          <w:numId w:val="11"/>
        </w:numPr>
        <w:tabs>
          <w:tab w:val="clear" w:pos="567"/>
          <w:tab w:val="num" w:pos="1134"/>
        </w:tabs>
        <w:spacing w:after="0"/>
        <w:ind w:left="567"/>
      </w:pPr>
      <w:r w:rsidRPr="00810C56">
        <w:t>Pologne (PL);</w:t>
      </w:r>
    </w:p>
    <w:p w14:paraId="3ABEC444" w14:textId="77777777" w:rsidR="00395B9E" w:rsidRPr="00810C56" w:rsidRDefault="00395B9E" w:rsidP="00FD2442">
      <w:pPr>
        <w:pStyle w:val="ONUMFS"/>
        <w:numPr>
          <w:ilvl w:val="0"/>
          <w:numId w:val="11"/>
        </w:numPr>
        <w:tabs>
          <w:tab w:val="clear" w:pos="567"/>
          <w:tab w:val="num" w:pos="1134"/>
        </w:tabs>
        <w:spacing w:after="0"/>
        <w:ind w:left="567"/>
      </w:pPr>
      <w:r w:rsidRPr="00810C56">
        <w:t>Serbie (RS);</w:t>
      </w:r>
    </w:p>
    <w:p w14:paraId="437C2883" w14:textId="77777777" w:rsidR="00395B9E" w:rsidRPr="00810C56" w:rsidRDefault="00395B9E" w:rsidP="00FD2442">
      <w:pPr>
        <w:pStyle w:val="ONUMFS"/>
        <w:numPr>
          <w:ilvl w:val="0"/>
          <w:numId w:val="11"/>
        </w:numPr>
        <w:tabs>
          <w:tab w:val="clear" w:pos="567"/>
          <w:tab w:val="num" w:pos="1134"/>
        </w:tabs>
        <w:spacing w:after="0"/>
        <w:ind w:left="567"/>
      </w:pPr>
      <w:r w:rsidRPr="00810C56">
        <w:t>Fédération de Russie (RU);</w:t>
      </w:r>
    </w:p>
    <w:p w14:paraId="0D2B1231" w14:textId="4B7F1B2D" w:rsidR="00395B9E" w:rsidRPr="00810C56" w:rsidRDefault="00FD2442" w:rsidP="00FD2442">
      <w:pPr>
        <w:pStyle w:val="ONUMFS"/>
        <w:numPr>
          <w:ilvl w:val="0"/>
          <w:numId w:val="11"/>
        </w:numPr>
        <w:tabs>
          <w:tab w:val="clear" w:pos="567"/>
          <w:tab w:val="num" w:pos="1134"/>
        </w:tabs>
        <w:spacing w:after="0"/>
        <w:ind w:left="567"/>
      </w:pPr>
      <w:r w:rsidRPr="00810C56">
        <w:t>Arabie saoudite</w:t>
      </w:r>
      <w:r w:rsidR="00395B9E" w:rsidRPr="00810C56">
        <w:t xml:space="preserve"> (SA);</w:t>
      </w:r>
    </w:p>
    <w:p w14:paraId="4865AB28" w14:textId="77777777" w:rsidR="00395B9E" w:rsidRPr="00810C56" w:rsidRDefault="00395B9E" w:rsidP="00FD2442">
      <w:pPr>
        <w:pStyle w:val="ONUMFS"/>
        <w:numPr>
          <w:ilvl w:val="0"/>
          <w:numId w:val="11"/>
        </w:numPr>
        <w:tabs>
          <w:tab w:val="clear" w:pos="567"/>
          <w:tab w:val="num" w:pos="1134"/>
        </w:tabs>
        <w:spacing w:after="0"/>
        <w:ind w:left="567"/>
      </w:pPr>
      <w:r w:rsidRPr="00810C56">
        <w:t>Suède (SE);</w:t>
      </w:r>
    </w:p>
    <w:p w14:paraId="7F63F0B3" w14:textId="77777777" w:rsidR="00395B9E" w:rsidRPr="00810C56" w:rsidRDefault="00395B9E" w:rsidP="00FD2442">
      <w:pPr>
        <w:pStyle w:val="ONUMFS"/>
        <w:numPr>
          <w:ilvl w:val="0"/>
          <w:numId w:val="11"/>
        </w:numPr>
        <w:tabs>
          <w:tab w:val="clear" w:pos="567"/>
          <w:tab w:val="num" w:pos="1134"/>
        </w:tabs>
        <w:spacing w:after="0"/>
        <w:ind w:left="567"/>
      </w:pPr>
      <w:r w:rsidRPr="00810C56">
        <w:t>Slovaquie (SK);</w:t>
      </w:r>
    </w:p>
    <w:p w14:paraId="3815F4B2" w14:textId="77777777" w:rsidR="00395B9E" w:rsidRPr="00810C56" w:rsidRDefault="00395B9E" w:rsidP="00FD2442">
      <w:pPr>
        <w:pStyle w:val="ONUMFS"/>
        <w:numPr>
          <w:ilvl w:val="0"/>
          <w:numId w:val="11"/>
        </w:numPr>
        <w:tabs>
          <w:tab w:val="clear" w:pos="567"/>
          <w:tab w:val="num" w:pos="1134"/>
        </w:tabs>
        <w:spacing w:after="0"/>
        <w:ind w:left="567"/>
      </w:pPr>
      <w:r w:rsidRPr="00810C56">
        <w:t>Ukraine (UA);</w:t>
      </w:r>
    </w:p>
    <w:p w14:paraId="3D591945" w14:textId="256C5291" w:rsidR="00395B9E" w:rsidRPr="00810C56" w:rsidRDefault="00395B9E" w:rsidP="00FD2442">
      <w:pPr>
        <w:pStyle w:val="ONUMFS"/>
        <w:numPr>
          <w:ilvl w:val="0"/>
          <w:numId w:val="11"/>
        </w:numPr>
        <w:tabs>
          <w:tab w:val="clear" w:pos="567"/>
          <w:tab w:val="num" w:pos="1134"/>
        </w:tabs>
        <w:spacing w:after="0"/>
        <w:ind w:left="567"/>
      </w:pPr>
      <w:r w:rsidRPr="00810C56">
        <w:t>États</w:t>
      </w:r>
      <w:r w:rsidR="00FD12EF">
        <w:noBreakHyphen/>
      </w:r>
      <w:r w:rsidRPr="00810C56">
        <w:t>Unis d</w:t>
      </w:r>
      <w:r w:rsidR="00FD2442" w:rsidRPr="00810C56">
        <w:t>’</w:t>
      </w:r>
      <w:r w:rsidRPr="00810C56">
        <w:t>Amérique (US);</w:t>
      </w:r>
    </w:p>
    <w:p w14:paraId="1E2B4648" w14:textId="0B91688C" w:rsidR="00395B9E" w:rsidRPr="00810C56" w:rsidRDefault="00395B9E" w:rsidP="00FD2442">
      <w:pPr>
        <w:pStyle w:val="ONUMFS"/>
        <w:numPr>
          <w:ilvl w:val="0"/>
          <w:numId w:val="11"/>
        </w:numPr>
        <w:tabs>
          <w:tab w:val="clear" w:pos="567"/>
          <w:tab w:val="num" w:pos="1134"/>
        </w:tabs>
        <w:spacing w:after="0"/>
        <w:ind w:left="567"/>
      </w:pPr>
      <w:r w:rsidRPr="00810C56">
        <w:t>Bureau international de l</w:t>
      </w:r>
      <w:r w:rsidR="00FD2442" w:rsidRPr="00810C56">
        <w:t>’</w:t>
      </w:r>
      <w:r w:rsidRPr="00810C56">
        <w:t xml:space="preserve">OMPI (WO); </w:t>
      </w:r>
      <w:r w:rsidR="00054B53" w:rsidRPr="00810C56">
        <w:t xml:space="preserve"> </w:t>
      </w:r>
      <w:r w:rsidRPr="00810C56">
        <w:t>et</w:t>
      </w:r>
    </w:p>
    <w:p w14:paraId="7D34064E" w14:textId="77777777" w:rsidR="00395B9E" w:rsidRPr="00810C56" w:rsidRDefault="00395B9E" w:rsidP="00FD2442">
      <w:pPr>
        <w:pStyle w:val="ONUMFS"/>
        <w:numPr>
          <w:ilvl w:val="0"/>
          <w:numId w:val="11"/>
        </w:numPr>
        <w:tabs>
          <w:tab w:val="clear" w:pos="567"/>
          <w:tab w:val="num" w:pos="1134"/>
        </w:tabs>
        <w:ind w:left="567"/>
      </w:pPr>
      <w:r w:rsidRPr="00810C56">
        <w:t>Yougoslavie (YU).</w:t>
      </w:r>
    </w:p>
    <w:p w14:paraId="14B77216" w14:textId="38A19C17" w:rsidR="00FD2442" w:rsidRPr="00810C56" w:rsidRDefault="00395B9E" w:rsidP="00FD2442">
      <w:pPr>
        <w:pStyle w:val="ONUMFS"/>
      </w:pPr>
      <w:r w:rsidRPr="00810C56">
        <w:t>Les administrations chargées de la recherche internationale selon</w:t>
      </w:r>
      <w:r w:rsidR="00FD2442" w:rsidRPr="00810C56">
        <w:t xml:space="preserve"> le PCT</w:t>
      </w:r>
      <w:r w:rsidRPr="00810C56">
        <w:t xml:space="preserve"> et les autres offices ou organisations qui fourniront des documents de brevet dans le cadre de la documentation minimale</w:t>
      </w:r>
      <w:r w:rsidR="00FD2442" w:rsidRPr="00810C56">
        <w:t xml:space="preserve"> du PCT</w:t>
      </w:r>
      <w:r w:rsidRPr="00810C56">
        <w:t xml:space="preserve"> sont invités à transmettre au Bureau international leurs fichiers d</w:t>
      </w:r>
      <w:r w:rsidR="00FD2442" w:rsidRPr="00810C56">
        <w:t>’</w:t>
      </w:r>
      <w:r w:rsidRPr="00810C56">
        <w:t>autorité conformes à la norme ST.37 de l</w:t>
      </w:r>
      <w:r w:rsidR="00FD2442" w:rsidRPr="00810C56">
        <w:t>’</w:t>
      </w:r>
      <w:r w:rsidRPr="00810C56">
        <w:t>OMPI.</w:t>
      </w:r>
    </w:p>
    <w:p w14:paraId="4A586A4B" w14:textId="22CD2241" w:rsidR="00395B9E" w:rsidRPr="00810C56" w:rsidRDefault="00395B9E" w:rsidP="00FD2442">
      <w:pPr>
        <w:pStyle w:val="Heading2"/>
      </w:pPr>
      <w:r w:rsidRPr="00810C56">
        <w:t>Mise en œuvre de la norme ST.37 de l</w:t>
      </w:r>
      <w:r w:rsidR="00FD2442" w:rsidRPr="00810C56">
        <w:t>’</w:t>
      </w:r>
      <w:r w:rsidRPr="00810C56">
        <w:t>OMPI</w:t>
      </w:r>
    </w:p>
    <w:p w14:paraId="3992E822" w14:textId="1BCC9429" w:rsidR="00FD2442" w:rsidRPr="00810C56" w:rsidRDefault="00395B9E" w:rsidP="00FD2442">
      <w:pPr>
        <w:pStyle w:val="ONUMFS"/>
      </w:pPr>
      <w:r w:rsidRPr="00810C56">
        <w:t>L</w:t>
      </w:r>
      <w:r w:rsidR="00FD2442" w:rsidRPr="00810C56">
        <w:t>’</w:t>
      </w:r>
      <w:r w:rsidRPr="00810C56">
        <w:t>un des messages clé à l</w:t>
      </w:r>
      <w:r w:rsidR="00FD2442" w:rsidRPr="00810C56">
        <w:t>’</w:t>
      </w:r>
      <w:r w:rsidRPr="00810C56">
        <w:t xml:space="preserve">intention des offices et organisations qui </w:t>
      </w:r>
      <w:r w:rsidR="003F4FCE">
        <w:t xml:space="preserve">mettent en œuvre </w:t>
      </w:r>
      <w:r w:rsidRPr="00810C56">
        <w:t>la norme ST.37 de l</w:t>
      </w:r>
      <w:r w:rsidR="00FD2442" w:rsidRPr="00810C56">
        <w:t>’</w:t>
      </w:r>
      <w:r w:rsidRPr="00810C56">
        <w:t>OMPI est que le fichier d</w:t>
      </w:r>
      <w:r w:rsidR="00FD2442" w:rsidRPr="00810C56">
        <w:t>’</w:t>
      </w:r>
      <w:r w:rsidRPr="00810C56">
        <w:t>autorité devrait être perçu comme une “norme de référence”.  En d</w:t>
      </w:r>
      <w:r w:rsidR="00FD2442" w:rsidRPr="00810C56">
        <w:t>’</w:t>
      </w:r>
      <w:r w:rsidRPr="00810C56">
        <w:t>autres termes, le fichier d</w:t>
      </w:r>
      <w:r w:rsidR="00FD2442" w:rsidRPr="00810C56">
        <w:t>’</w:t>
      </w:r>
      <w:r w:rsidRPr="00810C56">
        <w:t>autorité produit par un office devrait indiquer en détail tous les documents de brevet qui ont été publiés par cet office et les utilisateurs du fichier pourront ensuite valider leurs propres collections de brevets à partir de cette liste.  Il conviendrait que les offices ne se fondent pas sur les informations exportées depuis une seule base de données mais envisagent plutôt de numériser leurs bulletins des brevets pour établir la liste complète des documents de brevet publiés.</w:t>
      </w:r>
    </w:p>
    <w:p w14:paraId="14D2060A" w14:textId="01052240" w:rsidR="00FD2442" w:rsidRPr="00810C56" w:rsidRDefault="00395B9E" w:rsidP="00FD2442">
      <w:pPr>
        <w:pStyle w:val="ONUMFS"/>
      </w:pPr>
      <w:r w:rsidRPr="00810C56">
        <w:t>Un ensemble de lignes directrices est publié sur le portail d</w:t>
      </w:r>
      <w:r w:rsidR="00FD2442" w:rsidRPr="00810C56">
        <w:t>’</w:t>
      </w:r>
      <w:r w:rsidRPr="00810C56">
        <w:t>accès aux fichiers d</w:t>
      </w:r>
      <w:r w:rsidR="00FD2442" w:rsidRPr="00810C56">
        <w:t>’</w:t>
      </w:r>
      <w:r w:rsidRPr="00810C56">
        <w:t xml:space="preserve">autorité; </w:t>
      </w:r>
      <w:r w:rsidR="00054B53" w:rsidRPr="00810C56">
        <w:t xml:space="preserve"> </w:t>
      </w:r>
      <w:r w:rsidRPr="00810C56">
        <w:t>il fournit des orientations supplémentaires aux offices qui créent des fichiers d</w:t>
      </w:r>
      <w:r w:rsidR="00FD2442" w:rsidRPr="00810C56">
        <w:t>’</w:t>
      </w:r>
      <w:r w:rsidRPr="00810C56">
        <w:t>autorité conformes à la norme ST.37 de l</w:t>
      </w:r>
      <w:r w:rsidR="00FD2442" w:rsidRPr="00810C56">
        <w:t>’</w:t>
      </w:r>
      <w:r w:rsidRPr="00810C56">
        <w:t>OMPI.  Ces orientations sont fondées sur les questions les plus fréquemment posées au Bureau international et sur les réponses fournies aux offic</w:t>
      </w:r>
      <w:r w:rsidR="00810C56" w:rsidRPr="00810C56">
        <w:t>es.  Le</w:t>
      </w:r>
      <w:r w:rsidRPr="00810C56">
        <w:t>s directives sont publiées sur le site</w:t>
      </w:r>
      <w:r w:rsidR="00054B53" w:rsidRPr="00810C56">
        <w:t> </w:t>
      </w:r>
      <w:r w:rsidRPr="00810C56">
        <w:t>Web de l</w:t>
      </w:r>
      <w:r w:rsidR="00FD2442" w:rsidRPr="00810C56">
        <w:t>’</w:t>
      </w:r>
      <w:r w:rsidRPr="00810C56">
        <w:t>OMPI à l</w:t>
      </w:r>
      <w:r w:rsidR="00FD2442" w:rsidRPr="00810C56">
        <w:t>’</w:t>
      </w:r>
      <w:r w:rsidRPr="00810C56">
        <w:t>adresse suivante</w:t>
      </w:r>
      <w:r w:rsidR="00FD2442" w:rsidRPr="00810C56">
        <w:t> :</w:t>
      </w:r>
      <w:r w:rsidRPr="00810C56">
        <w:t xml:space="preserve"> </w:t>
      </w:r>
      <w:hyperlink r:id="rId9" w:history="1">
        <w:r w:rsidRPr="00810C56">
          <w:rPr>
            <w:rStyle w:val="Hyperlink"/>
          </w:rPr>
          <w:t>https://www.wipo.int/fr/web/standards/authority</w:t>
        </w:r>
        <w:r w:rsidR="00FD12EF">
          <w:rPr>
            <w:rStyle w:val="Hyperlink"/>
          </w:rPr>
          <w:noBreakHyphen/>
        </w:r>
        <w:r w:rsidRPr="00810C56">
          <w:rPr>
            <w:rStyle w:val="Hyperlink"/>
          </w:rPr>
          <w:t>file</w:t>
        </w:r>
        <w:r w:rsidR="00FD12EF">
          <w:rPr>
            <w:rStyle w:val="Hyperlink"/>
          </w:rPr>
          <w:noBreakHyphen/>
        </w:r>
        <w:r w:rsidRPr="00810C56">
          <w:rPr>
            <w:rStyle w:val="Hyperlink"/>
          </w:rPr>
          <w:t>guidelines</w:t>
        </w:r>
      </w:hyperlink>
      <w:r w:rsidR="00810C56">
        <w:t>.</w:t>
      </w:r>
    </w:p>
    <w:p w14:paraId="6661BD14" w14:textId="5CA08318" w:rsidR="00395B9E" w:rsidRPr="00810C56" w:rsidRDefault="00395B9E" w:rsidP="00FD2442">
      <w:pPr>
        <w:pStyle w:val="Heading2"/>
      </w:pPr>
      <w:r w:rsidRPr="00810C56">
        <w:t>Travaux futurs</w:t>
      </w:r>
    </w:p>
    <w:p w14:paraId="4E9F90CA" w14:textId="285D0401" w:rsidR="00395B9E" w:rsidRPr="00810C56" w:rsidRDefault="00395B9E" w:rsidP="00FD2442">
      <w:pPr>
        <w:pStyle w:val="ONUMFS"/>
        <w:spacing w:after="120"/>
      </w:pPr>
      <w:r w:rsidRPr="00810C56">
        <w:t>À l</w:t>
      </w:r>
      <w:r w:rsidR="00FD2442" w:rsidRPr="00810C56">
        <w:t>’</w:t>
      </w:r>
      <w:r w:rsidRPr="00810C56">
        <w:t>heure actuelle, chaque administration dispose sur le portail d</w:t>
      </w:r>
      <w:r w:rsidR="00FD2442" w:rsidRPr="00810C56">
        <w:t>’</w:t>
      </w:r>
      <w:r w:rsidRPr="00810C56">
        <w:t>accès aux fichiers d</w:t>
      </w:r>
      <w:r w:rsidR="00FD2442" w:rsidRPr="00810C56">
        <w:t>’</w:t>
      </w:r>
      <w:r w:rsidRPr="00810C56">
        <w:t>autorité de l</w:t>
      </w:r>
      <w:r w:rsidR="00FD2442" w:rsidRPr="00810C56">
        <w:t>’</w:t>
      </w:r>
      <w:r w:rsidRPr="00810C56">
        <w:t>OMPI d</w:t>
      </w:r>
      <w:r w:rsidR="00FD2442" w:rsidRPr="00810C56">
        <w:t>’</w:t>
      </w:r>
      <w:r w:rsidRPr="00810C56">
        <w:t>une ligne dans un tableau composé de cinq</w:t>
      </w:r>
      <w:r w:rsidR="00054B53" w:rsidRPr="00810C56">
        <w:t> </w:t>
      </w:r>
      <w:r w:rsidRPr="00810C56">
        <w:t>colonnes</w:t>
      </w:r>
      <w:r w:rsidR="00FD2442" w:rsidRPr="00810C56">
        <w:t> :</w:t>
      </w:r>
    </w:p>
    <w:p w14:paraId="5A827E22" w14:textId="4058E28C" w:rsidR="00395B9E" w:rsidRPr="00810C56" w:rsidRDefault="00395B9E" w:rsidP="00FD2442">
      <w:pPr>
        <w:pStyle w:val="ONUMFS"/>
        <w:numPr>
          <w:ilvl w:val="0"/>
          <w:numId w:val="12"/>
        </w:numPr>
        <w:tabs>
          <w:tab w:val="clear" w:pos="567"/>
          <w:tab w:val="num" w:pos="1134"/>
        </w:tabs>
        <w:spacing w:after="120"/>
        <w:ind w:left="567"/>
        <w:contextualSpacing/>
      </w:pPr>
      <w:proofErr w:type="gramStart"/>
      <w:r w:rsidRPr="00810C56">
        <w:t>code</w:t>
      </w:r>
      <w:proofErr w:type="gramEnd"/>
      <w:r w:rsidRPr="00810C56">
        <w:t xml:space="preserve"> de la norme ST.3 de l</w:t>
      </w:r>
      <w:r w:rsidR="00FD2442" w:rsidRPr="00810C56">
        <w:t>’</w:t>
      </w:r>
      <w:r w:rsidRPr="00810C56">
        <w:t>OMPI identifiant l</w:t>
      </w:r>
      <w:r w:rsidR="00FD2442" w:rsidRPr="00810C56">
        <w:t>’</w:t>
      </w:r>
      <w:r w:rsidRPr="00810C56">
        <w:t>administration concernée;</w:t>
      </w:r>
    </w:p>
    <w:p w14:paraId="5B2DB5A4" w14:textId="3D79271D" w:rsidR="00395B9E" w:rsidRPr="00810C56" w:rsidRDefault="00395B9E" w:rsidP="00FD2442">
      <w:pPr>
        <w:pStyle w:val="ONUMFS"/>
        <w:numPr>
          <w:ilvl w:val="0"/>
          <w:numId w:val="12"/>
        </w:numPr>
        <w:tabs>
          <w:tab w:val="clear" w:pos="567"/>
          <w:tab w:val="num" w:pos="1134"/>
        </w:tabs>
        <w:spacing w:after="120"/>
        <w:ind w:left="567"/>
        <w:contextualSpacing/>
      </w:pPr>
      <w:proofErr w:type="gramStart"/>
      <w:r w:rsidRPr="00810C56">
        <w:t>adresse</w:t>
      </w:r>
      <w:proofErr w:type="gramEnd"/>
      <w:r w:rsidRPr="00810C56">
        <w:t xml:space="preserve"> URL à laquelle le fichier d</w:t>
      </w:r>
      <w:r w:rsidR="00FD2442" w:rsidRPr="00810C56">
        <w:t>’</w:t>
      </w:r>
      <w:r w:rsidRPr="00810C56">
        <w:t>autorité est publié;</w:t>
      </w:r>
    </w:p>
    <w:p w14:paraId="039E45E0" w14:textId="77777777" w:rsidR="00395B9E" w:rsidRPr="00810C56" w:rsidRDefault="00395B9E" w:rsidP="00FD2442">
      <w:pPr>
        <w:pStyle w:val="ONUMFS"/>
        <w:numPr>
          <w:ilvl w:val="0"/>
          <w:numId w:val="12"/>
        </w:numPr>
        <w:tabs>
          <w:tab w:val="clear" w:pos="567"/>
          <w:tab w:val="num" w:pos="1134"/>
        </w:tabs>
        <w:spacing w:after="120"/>
        <w:ind w:left="567"/>
        <w:contextualSpacing/>
      </w:pPr>
      <w:proofErr w:type="gramStart"/>
      <w:r w:rsidRPr="00810C56">
        <w:t>adresse</w:t>
      </w:r>
      <w:proofErr w:type="gramEnd"/>
      <w:r w:rsidRPr="00810C56">
        <w:t xml:space="preserve"> URL à laquelle le fichier de définition est publié;</w:t>
      </w:r>
    </w:p>
    <w:p w14:paraId="69EB4810" w14:textId="129A67AA" w:rsidR="00395B9E" w:rsidRPr="00810C56" w:rsidRDefault="00395B9E" w:rsidP="00FD2442">
      <w:pPr>
        <w:pStyle w:val="ONUMFS"/>
        <w:numPr>
          <w:ilvl w:val="0"/>
          <w:numId w:val="12"/>
        </w:numPr>
        <w:tabs>
          <w:tab w:val="clear" w:pos="567"/>
          <w:tab w:val="num" w:pos="1134"/>
        </w:tabs>
        <w:spacing w:after="120"/>
        <w:ind w:left="567"/>
        <w:contextualSpacing/>
      </w:pPr>
      <w:proofErr w:type="gramStart"/>
      <w:r w:rsidRPr="00810C56">
        <w:t>portée</w:t>
      </w:r>
      <w:proofErr w:type="gramEnd"/>
      <w:r w:rsidRPr="00810C56">
        <w:t xml:space="preserve"> du fichier d</w:t>
      </w:r>
      <w:r w:rsidR="00FD2442" w:rsidRPr="00810C56">
        <w:t>’</w:t>
      </w:r>
      <w:r w:rsidRPr="00810C56">
        <w:t xml:space="preserve">autorité; </w:t>
      </w:r>
      <w:r w:rsidR="00054B53" w:rsidRPr="00810C56">
        <w:t xml:space="preserve"> </w:t>
      </w:r>
      <w:r w:rsidRPr="00810C56">
        <w:t>et</w:t>
      </w:r>
    </w:p>
    <w:p w14:paraId="023875AB" w14:textId="1C804DB4" w:rsidR="00395B9E" w:rsidRPr="00810C56" w:rsidRDefault="00395B9E" w:rsidP="00FD2442">
      <w:pPr>
        <w:pStyle w:val="ONUMFS"/>
        <w:numPr>
          <w:ilvl w:val="0"/>
          <w:numId w:val="12"/>
        </w:numPr>
        <w:tabs>
          <w:tab w:val="clear" w:pos="567"/>
          <w:tab w:val="num" w:pos="1134"/>
        </w:tabs>
        <w:ind w:left="567"/>
      </w:pPr>
      <w:proofErr w:type="gramStart"/>
      <w:r w:rsidRPr="00810C56">
        <w:t>remarques</w:t>
      </w:r>
      <w:proofErr w:type="gramEnd"/>
      <w:r w:rsidRPr="00810C56">
        <w:t xml:space="preserve"> concernant les mises à jour du fichier d</w:t>
      </w:r>
      <w:r w:rsidR="00FD2442" w:rsidRPr="00810C56">
        <w:t>’</w:t>
      </w:r>
      <w:r w:rsidRPr="00810C56">
        <w:t>autorité, etc.</w:t>
      </w:r>
    </w:p>
    <w:p w14:paraId="6D90304A" w14:textId="323D696E" w:rsidR="00FD2442" w:rsidRPr="00810C56" w:rsidRDefault="00395B9E" w:rsidP="00FD2442">
      <w:pPr>
        <w:pStyle w:val="ONUMFS"/>
      </w:pPr>
      <w:r w:rsidRPr="00810C56">
        <w:t>Plusieurs problèmes ont été relevés concernant cette présentation simple des informations sur les fichiers d</w:t>
      </w:r>
      <w:r w:rsidR="00FD2442" w:rsidRPr="00810C56">
        <w:t>’</w:t>
      </w:r>
      <w:r w:rsidRPr="00810C56">
        <w:t>autorité, notamment l</w:t>
      </w:r>
      <w:r w:rsidR="00FD2442" w:rsidRPr="00810C56">
        <w:t>’</w:t>
      </w:r>
      <w:r w:rsidRPr="00810C56">
        <w:t>impossibilité d</w:t>
      </w:r>
      <w:r w:rsidR="00FD2442" w:rsidRPr="00810C56">
        <w:t>’</w:t>
      </w:r>
      <w:r w:rsidRPr="00810C56">
        <w:t>extraire une partie seulement d</w:t>
      </w:r>
      <w:r w:rsidR="00FD2442" w:rsidRPr="00810C56">
        <w:t>’</w:t>
      </w:r>
      <w:r w:rsidRPr="00810C56">
        <w:t>un fichier, par exemple pour une période donnée.  Au fil du temps, les fichiers d</w:t>
      </w:r>
      <w:r w:rsidR="00FD2442" w:rsidRPr="00810C56">
        <w:t>’</w:t>
      </w:r>
      <w:r w:rsidRPr="00810C56">
        <w:t>autorité deviennent de plus en plus volumineux et, dans certains cas, l</w:t>
      </w:r>
      <w:r w:rsidR="00FD2442" w:rsidRPr="00810C56">
        <w:t>’</w:t>
      </w:r>
      <w:r w:rsidRPr="00810C56">
        <w:t>intégralité du fichier n</w:t>
      </w:r>
      <w:r w:rsidR="00FD2442" w:rsidRPr="00810C56">
        <w:t>’</w:t>
      </w:r>
      <w:r w:rsidRPr="00810C56">
        <w:t>est pas nécessaire aux fins de la validati</w:t>
      </w:r>
      <w:r w:rsidR="00810C56" w:rsidRPr="00810C56">
        <w:t>on.  En</w:t>
      </w:r>
      <w:r w:rsidRPr="00810C56">
        <w:t xml:space="preserve"> outre, ces informations sont fournies dans un tableau statique et ne sont mises à jour par le Bureau international que deux</w:t>
      </w:r>
      <w:r w:rsidR="00054B53" w:rsidRPr="00810C56">
        <w:t> </w:t>
      </w:r>
      <w:r w:rsidRPr="00810C56">
        <w:t>fois par an, de sorte qu</w:t>
      </w:r>
      <w:r w:rsidR="00FD2442" w:rsidRPr="00810C56">
        <w:t>’</w:t>
      </w:r>
      <w:r w:rsidRPr="00810C56">
        <w:t>elles sont rapidement obsolètes.</w:t>
      </w:r>
    </w:p>
    <w:p w14:paraId="5EAC938D" w14:textId="67A4507C" w:rsidR="00395B9E" w:rsidRPr="00810C56" w:rsidRDefault="00395B9E" w:rsidP="00810C56">
      <w:pPr>
        <w:pStyle w:val="ONUMFS"/>
        <w:keepNext/>
        <w:spacing w:after="120"/>
      </w:pPr>
      <w:r w:rsidRPr="00810C56">
        <w:t>Le Bureau international travaille en collaboration avec l</w:t>
      </w:r>
      <w:r w:rsidR="00FD2442" w:rsidRPr="00810C56">
        <w:t>’</w:t>
      </w:r>
      <w:r w:rsidRPr="00810C56">
        <w:t>Équipe d</w:t>
      </w:r>
      <w:r w:rsidR="00FD2442" w:rsidRPr="00810C56">
        <w:t>’</w:t>
      </w:r>
      <w:r w:rsidRPr="00810C56">
        <w:t>experts chargée des fichiers d</w:t>
      </w:r>
      <w:r w:rsidR="00FD2442" w:rsidRPr="00810C56">
        <w:t>’</w:t>
      </w:r>
      <w:r w:rsidRPr="00810C56">
        <w:t>autorité afin de définir les améliorations qui pourraient être apportées au portail d</w:t>
      </w:r>
      <w:r w:rsidR="00FD2442" w:rsidRPr="00810C56">
        <w:t>’</w:t>
      </w:r>
      <w:r w:rsidRPr="00810C56">
        <w:t>accès aux fichiers d</w:t>
      </w:r>
      <w:r w:rsidR="00FD2442" w:rsidRPr="00810C56">
        <w:t>’</w:t>
      </w:r>
      <w:r w:rsidRPr="00810C56">
        <w:t>autori</w:t>
      </w:r>
      <w:r w:rsidR="00810C56" w:rsidRPr="00810C56">
        <w:t>té.  Pa</w:t>
      </w:r>
      <w:r w:rsidRPr="00810C56">
        <w:t>rmi les propositions formulées figurent les suivantes</w:t>
      </w:r>
      <w:r w:rsidR="00FD2442" w:rsidRPr="00810C56">
        <w:t> :</w:t>
      </w:r>
    </w:p>
    <w:p w14:paraId="1DA566C9" w14:textId="77777777" w:rsidR="00395B9E" w:rsidRPr="00810C56" w:rsidRDefault="00395B9E" w:rsidP="00810C56">
      <w:pPr>
        <w:pStyle w:val="ONUMFS"/>
        <w:keepNext/>
        <w:numPr>
          <w:ilvl w:val="0"/>
          <w:numId w:val="13"/>
        </w:numPr>
        <w:tabs>
          <w:tab w:val="clear" w:pos="567"/>
          <w:tab w:val="num" w:pos="1134"/>
        </w:tabs>
        <w:spacing w:after="120"/>
        <w:ind w:left="1134" w:hanging="567"/>
        <w:contextualSpacing/>
      </w:pPr>
      <w:proofErr w:type="gramStart"/>
      <w:r w:rsidRPr="00810C56">
        <w:t>une</w:t>
      </w:r>
      <w:proofErr w:type="gramEnd"/>
      <w:r w:rsidRPr="00810C56">
        <w:t xml:space="preserve"> page distincte à prévoir pour chaque office de propriété intellectuelle;</w:t>
      </w:r>
    </w:p>
    <w:p w14:paraId="6D64E956" w14:textId="504611C0" w:rsidR="00395B9E" w:rsidRPr="00810C56" w:rsidRDefault="00395B9E" w:rsidP="00FD2442">
      <w:pPr>
        <w:pStyle w:val="ONUMFS"/>
        <w:numPr>
          <w:ilvl w:val="0"/>
          <w:numId w:val="13"/>
        </w:numPr>
        <w:tabs>
          <w:tab w:val="clear" w:pos="567"/>
          <w:tab w:val="num" w:pos="1134"/>
        </w:tabs>
        <w:spacing w:after="120"/>
        <w:ind w:left="1134" w:hanging="567"/>
        <w:contextualSpacing/>
      </w:pPr>
      <w:proofErr w:type="gramStart"/>
      <w:r w:rsidRPr="00810C56">
        <w:t>la</w:t>
      </w:r>
      <w:proofErr w:type="gramEnd"/>
      <w:r w:rsidRPr="00810C56">
        <w:t xml:space="preserve"> publication par chaque office de propriété intellectuelle de plusieurs fichiers d</w:t>
      </w:r>
      <w:r w:rsidR="00FD2442" w:rsidRPr="00810C56">
        <w:t>’</w:t>
      </w:r>
      <w:r w:rsidRPr="00810C56">
        <w:t>autorité dans la ligne qui lui est attribuée;</w:t>
      </w:r>
    </w:p>
    <w:p w14:paraId="53586A8C" w14:textId="17520BAB" w:rsidR="00395B9E" w:rsidRPr="00810C56" w:rsidRDefault="00395B9E" w:rsidP="00FD2442">
      <w:pPr>
        <w:pStyle w:val="ONUMFS"/>
        <w:numPr>
          <w:ilvl w:val="0"/>
          <w:numId w:val="13"/>
        </w:numPr>
        <w:tabs>
          <w:tab w:val="clear" w:pos="567"/>
          <w:tab w:val="num" w:pos="1134"/>
        </w:tabs>
        <w:spacing w:after="120"/>
        <w:ind w:left="1134" w:hanging="567"/>
        <w:contextualSpacing/>
      </w:pPr>
      <w:proofErr w:type="gramStart"/>
      <w:r w:rsidRPr="00810C56">
        <w:t>un</w:t>
      </w:r>
      <w:proofErr w:type="gramEnd"/>
      <w:r w:rsidRPr="00810C56">
        <w:t xml:space="preserve"> filtre par date permettant de sélectionner les données du fichier d</w:t>
      </w:r>
      <w:r w:rsidR="00FD2442" w:rsidRPr="00810C56">
        <w:t>’</w:t>
      </w:r>
      <w:r w:rsidRPr="00810C56">
        <w:t xml:space="preserve">autorité pour une période donnée uniquement; </w:t>
      </w:r>
      <w:r w:rsidR="00054B53" w:rsidRPr="00810C56">
        <w:t xml:space="preserve"> </w:t>
      </w:r>
      <w:r w:rsidRPr="00810C56">
        <w:t>et</w:t>
      </w:r>
    </w:p>
    <w:p w14:paraId="5CC3545C" w14:textId="5CCBDA14" w:rsidR="00FD2442" w:rsidRPr="00810C56" w:rsidRDefault="00395B9E" w:rsidP="00FD2442">
      <w:pPr>
        <w:pStyle w:val="ONUMFS"/>
        <w:numPr>
          <w:ilvl w:val="0"/>
          <w:numId w:val="13"/>
        </w:numPr>
        <w:tabs>
          <w:tab w:val="clear" w:pos="567"/>
          <w:tab w:val="num" w:pos="1134"/>
        </w:tabs>
        <w:ind w:left="1134" w:hanging="567"/>
      </w:pPr>
      <w:proofErr w:type="gramStart"/>
      <w:r w:rsidRPr="00810C56">
        <w:t>des</w:t>
      </w:r>
      <w:proofErr w:type="gramEnd"/>
      <w:r w:rsidRPr="00810C56">
        <w:t xml:space="preserve"> liens dirigeant les utilisateurs vers les interfaces de programmation d</w:t>
      </w:r>
      <w:r w:rsidR="00FD2442" w:rsidRPr="00810C56">
        <w:t>’</w:t>
      </w:r>
      <w:r w:rsidRPr="00810C56">
        <w:t>applications (API) des offices qui fournissent des données concernant les fichiers d</w:t>
      </w:r>
      <w:r w:rsidR="00FD2442" w:rsidRPr="00810C56">
        <w:t>’</w:t>
      </w:r>
      <w:r w:rsidRPr="00810C56">
        <w:t>autorité.</w:t>
      </w:r>
    </w:p>
    <w:p w14:paraId="1ECCE1B6" w14:textId="61B9DA31" w:rsidR="00FD2442" w:rsidRPr="00810C56" w:rsidRDefault="00395B9E" w:rsidP="00FD2442">
      <w:pPr>
        <w:pStyle w:val="ONUMFS"/>
      </w:pPr>
      <w:r w:rsidRPr="00810C56">
        <w:t>Deux offices, l</w:t>
      </w:r>
      <w:r w:rsidR="00FD2442" w:rsidRPr="00810C56">
        <w:t>’</w:t>
      </w:r>
      <w:r w:rsidRPr="00810C56">
        <w:t>Autriche et la Pologne, fournissent déjà des données concernant leurs fichiers d</w:t>
      </w:r>
      <w:r w:rsidR="00FD2442" w:rsidRPr="00810C56">
        <w:t>’</w:t>
      </w:r>
      <w:r w:rsidRPr="00810C56">
        <w:t>autorité au moyen d</w:t>
      </w:r>
      <w:r w:rsidR="00FD2442" w:rsidRPr="00810C56">
        <w:t>’</w:t>
      </w:r>
      <w:r w:rsidRPr="00810C56">
        <w:t>une requête API, bien que la réponse pour une période donnée soit celle publiée sur le portail d</w:t>
      </w:r>
      <w:r w:rsidR="00FD2442" w:rsidRPr="00810C56">
        <w:t>’</w:t>
      </w:r>
      <w:r w:rsidRPr="00810C56">
        <w:t>accès aux fichiers d</w:t>
      </w:r>
      <w:r w:rsidR="00FD2442" w:rsidRPr="00810C56">
        <w:t>’</w:t>
      </w:r>
      <w:r w:rsidRPr="00810C56">
        <w:t>autorité de l</w:t>
      </w:r>
      <w:r w:rsidR="00FD2442" w:rsidRPr="00810C56">
        <w:t>’</w:t>
      </w:r>
      <w:r w:rsidRPr="00810C56">
        <w:t>OMPI, sous la forme d</w:t>
      </w:r>
      <w:r w:rsidR="00FD2442" w:rsidRPr="00810C56">
        <w:t>’</w:t>
      </w:r>
      <w:r w:rsidRPr="00810C56">
        <w:t>une instance XML.</w:t>
      </w:r>
    </w:p>
    <w:p w14:paraId="3AF43039" w14:textId="5C5AD4B3" w:rsidR="00FD2442" w:rsidRPr="00810C56" w:rsidRDefault="00395B9E" w:rsidP="00FD2442">
      <w:pPr>
        <w:pStyle w:val="ONUMFS"/>
      </w:pPr>
      <w:r w:rsidRPr="00810C56">
        <w:t>Le Bureau international invite les offices à faire part de leurs observations sur l</w:t>
      </w:r>
      <w:r w:rsidR="00FD2442" w:rsidRPr="00810C56">
        <w:t>’</w:t>
      </w:r>
      <w:r w:rsidRPr="00810C56">
        <w:t>une quelconque des propositions indiquées ci</w:t>
      </w:r>
      <w:r w:rsidR="00FD12EF">
        <w:noBreakHyphen/>
      </w:r>
      <w:r w:rsidRPr="00810C56">
        <w:t>dessus ou, à défaut, à se mettre en rapport avec le Bureau international pour proposer d</w:t>
      </w:r>
      <w:r w:rsidR="00FD2442" w:rsidRPr="00810C56">
        <w:t>’</w:t>
      </w:r>
      <w:r w:rsidRPr="00810C56">
        <w:t>autres solutions.</w:t>
      </w:r>
    </w:p>
    <w:p w14:paraId="6D11FC8A" w14:textId="34FBCCFF" w:rsidR="00395B9E" w:rsidRPr="00810C56" w:rsidRDefault="00395B9E" w:rsidP="00FD2442">
      <w:pPr>
        <w:pStyle w:val="ONUMFS"/>
        <w:ind w:left="5533"/>
        <w:rPr>
          <w:i/>
        </w:rPr>
      </w:pPr>
      <w:r w:rsidRPr="00810C56">
        <w:rPr>
          <w:i/>
        </w:rPr>
        <w:t>Le CWS est invité</w:t>
      </w:r>
    </w:p>
    <w:p w14:paraId="7F283931" w14:textId="77777777" w:rsidR="00FD2442" w:rsidRPr="00810C56" w:rsidRDefault="00395B9E" w:rsidP="00FD2442">
      <w:pPr>
        <w:pStyle w:val="ONUMFS"/>
        <w:numPr>
          <w:ilvl w:val="1"/>
          <w:numId w:val="6"/>
        </w:numPr>
        <w:ind w:left="5533" w:firstLine="704"/>
        <w:rPr>
          <w:i/>
        </w:rPr>
      </w:pPr>
      <w:proofErr w:type="gramStart"/>
      <w:r w:rsidRPr="00810C56">
        <w:rPr>
          <w:i/>
        </w:rPr>
        <w:t>à</w:t>
      </w:r>
      <w:proofErr w:type="gramEnd"/>
      <w:r w:rsidRPr="00810C56">
        <w:rPr>
          <w:i/>
        </w:rPr>
        <w:t xml:space="preserve"> prendre note du contenu du présent document,</w:t>
      </w:r>
    </w:p>
    <w:p w14:paraId="62A87A55" w14:textId="1DFED7C4" w:rsidR="00395B9E" w:rsidRPr="00810C56" w:rsidRDefault="00395B9E" w:rsidP="00FD2442">
      <w:pPr>
        <w:pStyle w:val="ONUMFS"/>
        <w:numPr>
          <w:ilvl w:val="1"/>
          <w:numId w:val="6"/>
        </w:numPr>
        <w:ind w:left="5533" w:firstLine="704"/>
        <w:rPr>
          <w:i/>
        </w:rPr>
      </w:pPr>
      <w:proofErr w:type="gramStart"/>
      <w:r w:rsidRPr="00810C56">
        <w:rPr>
          <w:i/>
        </w:rPr>
        <w:t>à</w:t>
      </w:r>
      <w:proofErr w:type="gramEnd"/>
      <w:r w:rsidRPr="00810C56">
        <w:rPr>
          <w:i/>
        </w:rPr>
        <w:t xml:space="preserve"> encourager ses membres à fournir au Bureau international tout fichier d</w:t>
      </w:r>
      <w:r w:rsidR="00FD2442" w:rsidRPr="00810C56">
        <w:rPr>
          <w:i/>
        </w:rPr>
        <w:t>’</w:t>
      </w:r>
      <w:r w:rsidRPr="00810C56">
        <w:rPr>
          <w:i/>
        </w:rPr>
        <w:t>autorité conforme à la norme ST.37 de l</w:t>
      </w:r>
      <w:r w:rsidR="00FD2442" w:rsidRPr="00810C56">
        <w:rPr>
          <w:i/>
        </w:rPr>
        <w:t>’</w:t>
      </w:r>
      <w:r w:rsidRPr="00810C56">
        <w:rPr>
          <w:i/>
        </w:rPr>
        <w:t>OMPI créé par les offices, comme indiqué au paragraphe 7 ci</w:t>
      </w:r>
      <w:r w:rsidR="00FD12EF">
        <w:rPr>
          <w:i/>
        </w:rPr>
        <w:noBreakHyphen/>
      </w:r>
      <w:r w:rsidRPr="00810C56">
        <w:rPr>
          <w:i/>
        </w:rPr>
        <w:t>dessus et</w:t>
      </w:r>
    </w:p>
    <w:p w14:paraId="073BC4E7" w14:textId="1B072698" w:rsidR="00FD2442" w:rsidRPr="00810C56" w:rsidRDefault="00395B9E" w:rsidP="00FD2442">
      <w:pPr>
        <w:pStyle w:val="ONUMFS"/>
        <w:numPr>
          <w:ilvl w:val="1"/>
          <w:numId w:val="6"/>
        </w:numPr>
        <w:ind w:left="5533" w:firstLine="704"/>
        <w:rPr>
          <w:i/>
        </w:rPr>
      </w:pPr>
      <w:proofErr w:type="gramStart"/>
      <w:r w:rsidRPr="00810C56">
        <w:rPr>
          <w:i/>
        </w:rPr>
        <w:t>à</w:t>
      </w:r>
      <w:proofErr w:type="gramEnd"/>
      <w:r w:rsidRPr="00810C56">
        <w:rPr>
          <w:i/>
        </w:rPr>
        <w:t xml:space="preserve"> encourager ses membres à se mettre en rapport avec le Bureau international pour lui faire part de toute suggestion concernant les améliorations à apporter au portail d</w:t>
      </w:r>
      <w:r w:rsidR="00FD2442" w:rsidRPr="00810C56">
        <w:rPr>
          <w:i/>
        </w:rPr>
        <w:t>’</w:t>
      </w:r>
      <w:r w:rsidRPr="00810C56">
        <w:rPr>
          <w:i/>
        </w:rPr>
        <w:t>accès aux fichiers d</w:t>
      </w:r>
      <w:r w:rsidR="00FD2442" w:rsidRPr="00810C56">
        <w:rPr>
          <w:i/>
        </w:rPr>
        <w:t>’</w:t>
      </w:r>
      <w:r w:rsidRPr="00810C56">
        <w:rPr>
          <w:i/>
        </w:rPr>
        <w:t>autorité, comme indiqué au paragraphe 14.</w:t>
      </w:r>
    </w:p>
    <w:p w14:paraId="25ADB356" w14:textId="4527141F" w:rsidR="00395B9E" w:rsidRPr="00810C56" w:rsidRDefault="00395B9E" w:rsidP="00FD2442">
      <w:pPr>
        <w:pStyle w:val="Endofdocument-Annex"/>
      </w:pPr>
      <w:r w:rsidRPr="00810C56">
        <w:t>[Fin du document]</w:t>
      </w:r>
    </w:p>
    <w:sectPr w:rsidR="00395B9E" w:rsidRPr="00810C56" w:rsidSect="00395B9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9D77" w14:textId="77777777" w:rsidR="00D404BF" w:rsidRPr="00290DCD" w:rsidRDefault="00D404BF">
      <w:r w:rsidRPr="00290DCD">
        <w:separator/>
      </w:r>
    </w:p>
  </w:endnote>
  <w:endnote w:type="continuationSeparator" w:id="0">
    <w:p w14:paraId="488BCD44" w14:textId="77777777" w:rsidR="00D404BF" w:rsidRPr="00290DCD" w:rsidRDefault="00D404BF" w:rsidP="00D45252">
      <w:pPr>
        <w:rPr>
          <w:sz w:val="17"/>
          <w:szCs w:val="17"/>
        </w:rPr>
      </w:pPr>
      <w:r w:rsidRPr="00290DCD">
        <w:rPr>
          <w:sz w:val="17"/>
          <w:szCs w:val="17"/>
        </w:rPr>
        <w:separator/>
      </w:r>
    </w:p>
    <w:p w14:paraId="364E8365" w14:textId="77777777" w:rsidR="00D404BF" w:rsidRPr="00290DCD" w:rsidRDefault="00D404BF" w:rsidP="00D45252">
      <w:pPr>
        <w:spacing w:after="60"/>
        <w:rPr>
          <w:sz w:val="17"/>
          <w:szCs w:val="17"/>
        </w:rPr>
      </w:pPr>
      <w:r w:rsidRPr="00290DCD">
        <w:rPr>
          <w:sz w:val="17"/>
          <w:szCs w:val="17"/>
        </w:rPr>
        <w:t>[Suite de la note de la page précédente]</w:t>
      </w:r>
    </w:p>
  </w:endnote>
  <w:endnote w:type="continuationNotice" w:id="1">
    <w:p w14:paraId="6FBFA03A" w14:textId="77777777" w:rsidR="00D404BF" w:rsidRPr="00290DCD" w:rsidRDefault="00D404BF"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9E11" w14:textId="77777777" w:rsidR="00D404BF" w:rsidRPr="00290DCD" w:rsidRDefault="00D404BF">
      <w:r w:rsidRPr="00290DCD">
        <w:separator/>
      </w:r>
    </w:p>
  </w:footnote>
  <w:footnote w:type="continuationSeparator" w:id="0">
    <w:p w14:paraId="11385A87" w14:textId="77777777" w:rsidR="00D404BF" w:rsidRPr="00290DCD" w:rsidRDefault="00D404BF" w:rsidP="007461F1">
      <w:r w:rsidRPr="00290DCD">
        <w:separator/>
      </w:r>
    </w:p>
    <w:p w14:paraId="39F5A46A" w14:textId="77777777" w:rsidR="00D404BF" w:rsidRPr="00290DCD" w:rsidRDefault="00D404BF" w:rsidP="007461F1">
      <w:pPr>
        <w:spacing w:after="60"/>
        <w:rPr>
          <w:sz w:val="17"/>
          <w:szCs w:val="17"/>
        </w:rPr>
      </w:pPr>
      <w:r w:rsidRPr="00290DCD">
        <w:rPr>
          <w:sz w:val="17"/>
          <w:szCs w:val="17"/>
        </w:rPr>
        <w:t>[Suite de la note de la page précédente]</w:t>
      </w:r>
    </w:p>
  </w:footnote>
  <w:footnote w:type="continuationNotice" w:id="1">
    <w:p w14:paraId="71BA489D" w14:textId="77777777" w:rsidR="00D404BF" w:rsidRPr="00290DCD" w:rsidRDefault="00D404BF"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652E" w14:textId="646A3C0C" w:rsidR="00F16975" w:rsidRPr="00290DCD" w:rsidRDefault="00395B9E" w:rsidP="00477D6B">
    <w:pPr>
      <w:jc w:val="right"/>
    </w:pPr>
    <w:bookmarkStart w:id="5" w:name="Code2"/>
    <w:bookmarkEnd w:id="5"/>
    <w:r>
      <w:t>CWS/13/22</w:t>
    </w:r>
    <w:r w:rsidR="001B3FAF">
      <w:t> Corr.</w:t>
    </w:r>
  </w:p>
  <w:p w14:paraId="23A451BB"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193012"/>
    <w:multiLevelType w:val="hybridMultilevel"/>
    <w:tmpl w:val="DF42937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07767A"/>
    <w:multiLevelType w:val="multilevel"/>
    <w:tmpl w:val="ACC2FDE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33B7152"/>
    <w:multiLevelType w:val="hybridMultilevel"/>
    <w:tmpl w:val="3BCEABD4"/>
    <w:lvl w:ilvl="0" w:tplc="DDA6CF1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63176E"/>
    <w:multiLevelType w:val="multilevel"/>
    <w:tmpl w:val="ACC2FDE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380F2C"/>
    <w:multiLevelType w:val="multilevel"/>
    <w:tmpl w:val="ACC2FDE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58447169"/>
    <w:multiLevelType w:val="hybridMultilevel"/>
    <w:tmpl w:val="399C7C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C5B07"/>
    <w:multiLevelType w:val="multilevel"/>
    <w:tmpl w:val="B2CE30AA"/>
    <w:lvl w:ilvl="0">
      <w:start w:val="1"/>
      <w:numFmt w:val="lowerLetter"/>
      <w:lvlText w:val="(%1)"/>
      <w:lvlJc w:val="left"/>
      <w:pPr>
        <w:ind w:left="5896" w:hanging="360"/>
      </w:pPr>
      <w:rPr>
        <w:rFonts w:hint="default"/>
      </w:rPr>
    </w:lvl>
    <w:lvl w:ilvl="1">
      <w:start w:val="1"/>
      <w:numFmt w:val="lowerLetter"/>
      <w:lvlText w:val="%2)"/>
      <w:lvlJc w:val="left"/>
      <w:pPr>
        <w:ind w:left="6256" w:hanging="360"/>
      </w:pPr>
    </w:lvl>
    <w:lvl w:ilvl="2">
      <w:start w:val="1"/>
      <w:numFmt w:val="lowerRoman"/>
      <w:lvlText w:val="%3)"/>
      <w:lvlJc w:val="left"/>
      <w:pPr>
        <w:ind w:left="6616" w:hanging="360"/>
      </w:pPr>
    </w:lvl>
    <w:lvl w:ilvl="3">
      <w:start w:val="1"/>
      <w:numFmt w:val="decimal"/>
      <w:lvlText w:val="(%4)"/>
      <w:lvlJc w:val="left"/>
      <w:pPr>
        <w:ind w:left="6976" w:hanging="360"/>
      </w:pPr>
    </w:lvl>
    <w:lvl w:ilvl="4">
      <w:start w:val="1"/>
      <w:numFmt w:val="lowerLetter"/>
      <w:lvlText w:val="(%5)"/>
      <w:lvlJc w:val="left"/>
      <w:pPr>
        <w:ind w:left="7336" w:hanging="360"/>
      </w:pPr>
    </w:lvl>
    <w:lvl w:ilvl="5">
      <w:start w:val="1"/>
      <w:numFmt w:val="lowerRoman"/>
      <w:lvlText w:val="(%6)"/>
      <w:lvlJc w:val="left"/>
      <w:pPr>
        <w:ind w:left="7696" w:hanging="360"/>
      </w:pPr>
    </w:lvl>
    <w:lvl w:ilvl="6">
      <w:start w:val="1"/>
      <w:numFmt w:val="decimal"/>
      <w:lvlText w:val="%7."/>
      <w:lvlJc w:val="left"/>
      <w:pPr>
        <w:ind w:left="8056" w:hanging="360"/>
      </w:pPr>
    </w:lvl>
    <w:lvl w:ilvl="7">
      <w:start w:val="1"/>
      <w:numFmt w:val="lowerLetter"/>
      <w:lvlText w:val="%8."/>
      <w:lvlJc w:val="left"/>
      <w:pPr>
        <w:ind w:left="8416" w:hanging="360"/>
      </w:pPr>
    </w:lvl>
    <w:lvl w:ilvl="8">
      <w:start w:val="1"/>
      <w:numFmt w:val="lowerRoman"/>
      <w:lvlText w:val="%9."/>
      <w:lvlJc w:val="left"/>
      <w:pPr>
        <w:ind w:left="8776" w:hanging="360"/>
      </w:pPr>
    </w:lvl>
  </w:abstractNum>
  <w:num w:numId="1" w16cid:durableId="1398548192">
    <w:abstractNumId w:val="3"/>
  </w:num>
  <w:num w:numId="2" w16cid:durableId="1870607316">
    <w:abstractNumId w:val="7"/>
  </w:num>
  <w:num w:numId="3" w16cid:durableId="844322595">
    <w:abstractNumId w:val="0"/>
  </w:num>
  <w:num w:numId="4" w16cid:durableId="1456631763">
    <w:abstractNumId w:val="9"/>
  </w:num>
  <w:num w:numId="5" w16cid:durableId="628778745">
    <w:abstractNumId w:val="2"/>
  </w:num>
  <w:num w:numId="6" w16cid:durableId="670451745">
    <w:abstractNumId w:val="4"/>
  </w:num>
  <w:num w:numId="7" w16cid:durableId="1716781897">
    <w:abstractNumId w:val="6"/>
  </w:num>
  <w:num w:numId="8" w16cid:durableId="1550150384">
    <w:abstractNumId w:val="11"/>
  </w:num>
  <w:num w:numId="9" w16cid:durableId="2105638843">
    <w:abstractNumId w:val="1"/>
  </w:num>
  <w:num w:numId="10" w16cid:durableId="1565137496">
    <w:abstractNumId w:val="12"/>
  </w:num>
  <w:num w:numId="11" w16cid:durableId="423259465">
    <w:abstractNumId w:val="8"/>
  </w:num>
  <w:num w:numId="12" w16cid:durableId="1707216326">
    <w:abstractNumId w:val="5"/>
  </w:num>
  <w:num w:numId="13" w16cid:durableId="813451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9E"/>
    <w:rsid w:val="00011B7D"/>
    <w:rsid w:val="00054B53"/>
    <w:rsid w:val="00075432"/>
    <w:rsid w:val="000F5E56"/>
    <w:rsid w:val="001352EC"/>
    <w:rsid w:val="001362EE"/>
    <w:rsid w:val="00157E3C"/>
    <w:rsid w:val="001832A6"/>
    <w:rsid w:val="00195C6E"/>
    <w:rsid w:val="00197881"/>
    <w:rsid w:val="001B266A"/>
    <w:rsid w:val="001B3FAF"/>
    <w:rsid w:val="001D3D56"/>
    <w:rsid w:val="00240654"/>
    <w:rsid w:val="002634C4"/>
    <w:rsid w:val="00290DCD"/>
    <w:rsid w:val="002D4918"/>
    <w:rsid w:val="002E4D1A"/>
    <w:rsid w:val="002F16BC"/>
    <w:rsid w:val="002F4E68"/>
    <w:rsid w:val="00315FCA"/>
    <w:rsid w:val="003845C1"/>
    <w:rsid w:val="00395B9E"/>
    <w:rsid w:val="003A1BCD"/>
    <w:rsid w:val="003F4FCE"/>
    <w:rsid w:val="004008A2"/>
    <w:rsid w:val="004025DF"/>
    <w:rsid w:val="00423E3E"/>
    <w:rsid w:val="00427AF4"/>
    <w:rsid w:val="004647DA"/>
    <w:rsid w:val="00477D6B"/>
    <w:rsid w:val="004D6471"/>
    <w:rsid w:val="004F4E31"/>
    <w:rsid w:val="00525B63"/>
    <w:rsid w:val="00547476"/>
    <w:rsid w:val="0055709C"/>
    <w:rsid w:val="00561DB8"/>
    <w:rsid w:val="00567A4C"/>
    <w:rsid w:val="00576171"/>
    <w:rsid w:val="005A3309"/>
    <w:rsid w:val="005E6516"/>
    <w:rsid w:val="00605827"/>
    <w:rsid w:val="00676936"/>
    <w:rsid w:val="006B0DB5"/>
    <w:rsid w:val="006E4243"/>
    <w:rsid w:val="007461F1"/>
    <w:rsid w:val="00775FF5"/>
    <w:rsid w:val="007C04C6"/>
    <w:rsid w:val="007D6961"/>
    <w:rsid w:val="007F07CB"/>
    <w:rsid w:val="00810C56"/>
    <w:rsid w:val="00810CEF"/>
    <w:rsid w:val="0081208D"/>
    <w:rsid w:val="008236DE"/>
    <w:rsid w:val="00842A13"/>
    <w:rsid w:val="00894993"/>
    <w:rsid w:val="008B2CC1"/>
    <w:rsid w:val="008B7418"/>
    <w:rsid w:val="008E7930"/>
    <w:rsid w:val="0090731E"/>
    <w:rsid w:val="00966A22"/>
    <w:rsid w:val="00974CD6"/>
    <w:rsid w:val="0099108F"/>
    <w:rsid w:val="009D30E6"/>
    <w:rsid w:val="009E3F6F"/>
    <w:rsid w:val="009F499F"/>
    <w:rsid w:val="00A02BD3"/>
    <w:rsid w:val="00A65E7E"/>
    <w:rsid w:val="00AA1F20"/>
    <w:rsid w:val="00AC0AE4"/>
    <w:rsid w:val="00AD61DB"/>
    <w:rsid w:val="00B6177F"/>
    <w:rsid w:val="00B66A77"/>
    <w:rsid w:val="00B87BCF"/>
    <w:rsid w:val="00BA62D4"/>
    <w:rsid w:val="00BC3FC3"/>
    <w:rsid w:val="00C153FD"/>
    <w:rsid w:val="00C40E15"/>
    <w:rsid w:val="00C664C8"/>
    <w:rsid w:val="00C76A79"/>
    <w:rsid w:val="00C82754"/>
    <w:rsid w:val="00CA15F5"/>
    <w:rsid w:val="00CA72C1"/>
    <w:rsid w:val="00CB508A"/>
    <w:rsid w:val="00CF0460"/>
    <w:rsid w:val="00D122CE"/>
    <w:rsid w:val="00D25875"/>
    <w:rsid w:val="00D404BF"/>
    <w:rsid w:val="00D45252"/>
    <w:rsid w:val="00D71B4D"/>
    <w:rsid w:val="00D75C1E"/>
    <w:rsid w:val="00D93D55"/>
    <w:rsid w:val="00DB0349"/>
    <w:rsid w:val="00DD6A16"/>
    <w:rsid w:val="00DF4F6B"/>
    <w:rsid w:val="00E0091A"/>
    <w:rsid w:val="00E203AA"/>
    <w:rsid w:val="00E527A5"/>
    <w:rsid w:val="00E60CEB"/>
    <w:rsid w:val="00E76456"/>
    <w:rsid w:val="00EE71CB"/>
    <w:rsid w:val="00F16975"/>
    <w:rsid w:val="00F66152"/>
    <w:rsid w:val="00FD12EF"/>
    <w:rsid w:val="00FD244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926D3"/>
  <w15:docId w15:val="{601835C8-3879-48D8-887F-50C87C33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D2442"/>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95B9E"/>
    <w:pPr>
      <w:ind w:left="720"/>
      <w:contextualSpacing/>
    </w:pPr>
  </w:style>
  <w:style w:type="character" w:styleId="Hyperlink">
    <w:name w:val="Hyperlink"/>
    <w:basedOn w:val="DefaultParagraphFont"/>
    <w:unhideWhenUsed/>
    <w:rsid w:val="00395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fr/web/standards/authority_fi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fr/web/standards/authority-file-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19</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CWS/13/22 Corr. (French)</vt:lpstr>
    </vt:vector>
  </TitlesOfParts>
  <Company>WIPO</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CWS/13/22 Corr. (French)</dc:title>
  <dc:subject>Norme ST.37 de l’OMPI et Portail d’accès aux fichiers d’autorité </dc:subject>
  <dc:creator>WIPO</dc:creator>
  <cp:keywords>WIPO CWS treizième session, Norme ST.37 de l’OMPI, Portail d’accès aux fichiers d’autorité </cp:keywords>
  <cp:lastModifiedBy>EMMETT Claudia</cp:lastModifiedBy>
  <cp:revision>10</cp:revision>
  <cp:lastPrinted>2025-10-31T09:52:00Z</cp:lastPrinted>
  <dcterms:created xsi:type="dcterms:W3CDTF">2025-09-01T06:28:00Z</dcterms:created>
  <dcterms:modified xsi:type="dcterms:W3CDTF">2025-10-31T09:52:00Z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