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45872" w14:textId="77777777" w:rsidR="008B2CC1" w:rsidRPr="00242E09" w:rsidRDefault="00DB0349" w:rsidP="002D6D5B">
      <w:pPr>
        <w:spacing w:after="120"/>
        <w:jc w:val="right"/>
      </w:pPr>
      <w:r w:rsidRPr="00242E09">
        <w:rPr>
          <w:noProof/>
          <w:lang w:eastAsia="en-US"/>
        </w:rPr>
        <w:drawing>
          <wp:inline distT="0" distB="0" distL="0" distR="0" wp14:anchorId="444A1E01" wp14:editId="6A6DEA19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242E09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15BAA3D7" wp14:editId="342C3204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5000A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541EE99" w14:textId="3BCA5C05" w:rsidR="008B2CC1" w:rsidRPr="00242E09" w:rsidRDefault="00197881" w:rsidP="002D6D5B">
      <w:pPr>
        <w:jc w:val="right"/>
        <w:rPr>
          <w:rFonts w:ascii="Arial Black" w:hAnsi="Arial Black"/>
          <w:caps/>
          <w:sz w:val="15"/>
          <w:szCs w:val="15"/>
        </w:rPr>
      </w:pPr>
      <w:r w:rsidRPr="00242E09">
        <w:rPr>
          <w:rFonts w:ascii="Arial Black" w:hAnsi="Arial Black"/>
          <w:caps/>
          <w:sz w:val="15"/>
          <w:szCs w:val="15"/>
        </w:rPr>
        <w:t>CWS/1</w:t>
      </w:r>
      <w:r w:rsidR="005A3309" w:rsidRPr="00242E09">
        <w:rPr>
          <w:rFonts w:ascii="Arial Black" w:hAnsi="Arial Black"/>
          <w:caps/>
          <w:sz w:val="15"/>
          <w:szCs w:val="15"/>
        </w:rPr>
        <w:t>3</w:t>
      </w:r>
      <w:r w:rsidRPr="00242E09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325B29" w:rsidRPr="00242E09">
        <w:rPr>
          <w:rFonts w:ascii="Arial Black" w:hAnsi="Arial Black"/>
          <w:caps/>
          <w:sz w:val="15"/>
          <w:szCs w:val="15"/>
        </w:rPr>
        <w:t>20</w:t>
      </w:r>
      <w:r w:rsidR="000D139F">
        <w:rPr>
          <w:rFonts w:ascii="Arial Black" w:hAnsi="Arial Black"/>
          <w:caps/>
          <w:sz w:val="15"/>
          <w:szCs w:val="15"/>
        </w:rPr>
        <w:t> Rev</w:t>
      </w:r>
      <w:r w:rsidR="00D33EB7">
        <w:rPr>
          <w:rFonts w:ascii="Arial Black" w:hAnsi="Arial Black"/>
          <w:caps/>
          <w:sz w:val="15"/>
          <w:szCs w:val="15"/>
        </w:rPr>
        <w:t>.</w:t>
      </w:r>
    </w:p>
    <w:p w14:paraId="1D6B2D9D" w14:textId="0861C11F" w:rsidR="008B2CC1" w:rsidRPr="00242E09" w:rsidRDefault="00DB0349" w:rsidP="002D6D5B">
      <w:pPr>
        <w:jc w:val="right"/>
        <w:rPr>
          <w:rFonts w:ascii="Arial Black" w:hAnsi="Arial Black"/>
          <w:caps/>
          <w:sz w:val="15"/>
          <w:szCs w:val="15"/>
        </w:rPr>
      </w:pPr>
      <w:r w:rsidRPr="00242E09">
        <w:rPr>
          <w:rFonts w:ascii="Arial Black" w:hAnsi="Arial Black"/>
          <w:caps/>
          <w:sz w:val="15"/>
          <w:szCs w:val="15"/>
        </w:rPr>
        <w:t>Original</w:t>
      </w:r>
      <w:r w:rsidR="00D87FB0" w:rsidRPr="00242E09">
        <w:rPr>
          <w:rFonts w:ascii="Arial Black" w:hAnsi="Arial Black"/>
          <w:caps/>
          <w:sz w:val="15"/>
          <w:szCs w:val="15"/>
        </w:rPr>
        <w:t> :</w:t>
      </w:r>
      <w:r w:rsidRPr="00242E09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325B29" w:rsidRPr="00242E09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33C1A532" w14:textId="0CD73503" w:rsidR="008B2CC1" w:rsidRPr="00242E09" w:rsidRDefault="00B66A77" w:rsidP="002D6D5B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242E09">
        <w:rPr>
          <w:rFonts w:ascii="Arial Black" w:hAnsi="Arial Black"/>
          <w:caps/>
          <w:sz w:val="15"/>
          <w:szCs w:val="15"/>
        </w:rPr>
        <w:t>D</w:t>
      </w:r>
      <w:r w:rsidR="00DB0349" w:rsidRPr="00242E09">
        <w:rPr>
          <w:rFonts w:ascii="Arial Black" w:hAnsi="Arial Black"/>
          <w:caps/>
          <w:sz w:val="15"/>
          <w:szCs w:val="15"/>
        </w:rPr>
        <w:t>ate</w:t>
      </w:r>
      <w:r w:rsidR="00D87FB0" w:rsidRPr="00242E09">
        <w:rPr>
          <w:rFonts w:ascii="Arial Black" w:hAnsi="Arial Black"/>
          <w:caps/>
          <w:sz w:val="15"/>
          <w:szCs w:val="15"/>
        </w:rPr>
        <w:t> :</w:t>
      </w:r>
      <w:r w:rsidR="00DB0349" w:rsidRPr="00242E09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D33EB7">
        <w:rPr>
          <w:rFonts w:ascii="Arial Black" w:hAnsi="Arial Black"/>
          <w:caps/>
          <w:sz w:val="15"/>
          <w:szCs w:val="15"/>
        </w:rPr>
        <w:t>27</w:t>
      </w:r>
      <w:r w:rsidR="00325B29" w:rsidRPr="00242E09">
        <w:rPr>
          <w:rFonts w:ascii="Arial Black" w:hAnsi="Arial Black"/>
          <w:caps/>
          <w:sz w:val="15"/>
          <w:szCs w:val="15"/>
        </w:rPr>
        <w:t> octobre 2025</w:t>
      </w:r>
    </w:p>
    <w:bookmarkEnd w:id="2"/>
    <w:p w14:paraId="26EB3BBE" w14:textId="38144956" w:rsidR="00C40E15" w:rsidRPr="00242E09" w:rsidRDefault="00197881" w:rsidP="002D6D5B">
      <w:pPr>
        <w:spacing w:after="600"/>
        <w:rPr>
          <w:b/>
          <w:sz w:val="28"/>
          <w:szCs w:val="28"/>
        </w:rPr>
      </w:pPr>
      <w:r w:rsidRPr="00242E09">
        <w:rPr>
          <w:b/>
          <w:sz w:val="28"/>
          <w:szCs w:val="28"/>
        </w:rPr>
        <w:t>Comité des normes de l</w:t>
      </w:r>
      <w:r w:rsidR="00D87FB0" w:rsidRPr="00242E09">
        <w:rPr>
          <w:b/>
          <w:sz w:val="28"/>
          <w:szCs w:val="28"/>
        </w:rPr>
        <w:t>’</w:t>
      </w:r>
      <w:r w:rsidRPr="00242E09">
        <w:rPr>
          <w:b/>
          <w:sz w:val="28"/>
          <w:szCs w:val="28"/>
        </w:rPr>
        <w:t>OMPI (CWS)</w:t>
      </w:r>
    </w:p>
    <w:p w14:paraId="295FB3ED" w14:textId="4A104DB4" w:rsidR="008B2CC1" w:rsidRPr="00242E09" w:rsidRDefault="0099108F" w:rsidP="002D6D5B">
      <w:pPr>
        <w:rPr>
          <w:b/>
          <w:sz w:val="28"/>
          <w:szCs w:val="24"/>
        </w:rPr>
      </w:pPr>
      <w:r w:rsidRPr="00242E09">
        <w:rPr>
          <w:b/>
          <w:sz w:val="24"/>
        </w:rPr>
        <w:t>Treiz</w:t>
      </w:r>
      <w:r w:rsidR="00D87FB0" w:rsidRPr="00242E09">
        <w:rPr>
          <w:b/>
          <w:sz w:val="24"/>
        </w:rPr>
        <w:t>ième session</w:t>
      </w:r>
    </w:p>
    <w:p w14:paraId="57866503" w14:textId="77777777" w:rsidR="008B2CC1" w:rsidRPr="00242E09" w:rsidRDefault="00197881" w:rsidP="002D6D5B">
      <w:pPr>
        <w:spacing w:after="720"/>
        <w:rPr>
          <w:b/>
          <w:sz w:val="28"/>
          <w:szCs w:val="24"/>
        </w:rPr>
      </w:pPr>
      <w:r w:rsidRPr="00242E09">
        <w:rPr>
          <w:b/>
          <w:sz w:val="24"/>
        </w:rPr>
        <w:t>Genève,</w:t>
      </w:r>
      <w:r w:rsidR="001352EC" w:rsidRPr="00242E09">
        <w:rPr>
          <w:b/>
          <w:sz w:val="24"/>
        </w:rPr>
        <w:t xml:space="preserve"> 1</w:t>
      </w:r>
      <w:r w:rsidR="0099108F" w:rsidRPr="00242E09">
        <w:rPr>
          <w:b/>
          <w:sz w:val="24"/>
        </w:rPr>
        <w:t>0</w:t>
      </w:r>
      <w:r w:rsidR="001352EC" w:rsidRPr="00242E09">
        <w:rPr>
          <w:b/>
          <w:sz w:val="24"/>
        </w:rPr>
        <w:t xml:space="preserve"> – </w:t>
      </w:r>
      <w:r w:rsidR="0099108F" w:rsidRPr="00242E09">
        <w:rPr>
          <w:b/>
          <w:sz w:val="24"/>
        </w:rPr>
        <w:t>14 nov</w:t>
      </w:r>
      <w:r w:rsidR="001352EC" w:rsidRPr="00242E09">
        <w:rPr>
          <w:b/>
          <w:sz w:val="24"/>
        </w:rPr>
        <w:t>embre</w:t>
      </w:r>
      <w:r w:rsidR="0099108F" w:rsidRPr="00242E09">
        <w:rPr>
          <w:b/>
          <w:sz w:val="24"/>
        </w:rPr>
        <w:t> </w:t>
      </w:r>
      <w:r w:rsidR="001352EC" w:rsidRPr="00242E09">
        <w:rPr>
          <w:b/>
          <w:sz w:val="24"/>
        </w:rPr>
        <w:t>202</w:t>
      </w:r>
      <w:r w:rsidR="0099108F" w:rsidRPr="00242E09">
        <w:rPr>
          <w:b/>
          <w:sz w:val="24"/>
        </w:rPr>
        <w:t>5</w:t>
      </w:r>
    </w:p>
    <w:p w14:paraId="59DDFCBB" w14:textId="3D0DBF87" w:rsidR="008B2CC1" w:rsidRPr="00242E09" w:rsidRDefault="00325B29" w:rsidP="002D6D5B">
      <w:pPr>
        <w:spacing w:after="360"/>
        <w:rPr>
          <w:caps/>
          <w:sz w:val="24"/>
        </w:rPr>
      </w:pPr>
      <w:bookmarkStart w:id="3" w:name="TitleOfDoc"/>
      <w:r w:rsidRPr="00242E09">
        <w:rPr>
          <w:caps/>
          <w:sz w:val="24"/>
        </w:rPr>
        <w:t>Proposition de révision de la norme ST.92 de l</w:t>
      </w:r>
      <w:r w:rsidR="00D87FB0" w:rsidRPr="00242E09">
        <w:rPr>
          <w:caps/>
          <w:sz w:val="24"/>
        </w:rPr>
        <w:t>’</w:t>
      </w:r>
      <w:r w:rsidRPr="00242E09">
        <w:rPr>
          <w:caps/>
          <w:sz w:val="24"/>
        </w:rPr>
        <w:t>OMPI</w:t>
      </w:r>
    </w:p>
    <w:p w14:paraId="34356734" w14:textId="7AABCECF" w:rsidR="00525B63" w:rsidRPr="00242E09" w:rsidRDefault="00325B29" w:rsidP="002D6D5B">
      <w:pPr>
        <w:spacing w:after="960"/>
        <w:rPr>
          <w:i/>
          <w:szCs w:val="22"/>
        </w:rPr>
      </w:pPr>
      <w:bookmarkStart w:id="4" w:name="Prepared"/>
      <w:bookmarkEnd w:id="3"/>
      <w:r w:rsidRPr="00242E09">
        <w:rPr>
          <w:i/>
          <w:szCs w:val="22"/>
        </w:rPr>
        <w:t>Document établi par le responsable de l</w:t>
      </w:r>
      <w:r w:rsidR="00D87FB0" w:rsidRPr="00242E09">
        <w:rPr>
          <w:i/>
          <w:szCs w:val="22"/>
        </w:rPr>
        <w:t>’</w:t>
      </w:r>
      <w:r w:rsidRPr="00242E09">
        <w:rPr>
          <w:i/>
          <w:szCs w:val="22"/>
        </w:rPr>
        <w:t>Équipe d</w:t>
      </w:r>
      <w:r w:rsidR="00D87FB0" w:rsidRPr="00242E09">
        <w:rPr>
          <w:i/>
          <w:szCs w:val="22"/>
        </w:rPr>
        <w:t>’</w:t>
      </w:r>
      <w:r w:rsidRPr="00242E09">
        <w:rPr>
          <w:i/>
          <w:szCs w:val="22"/>
        </w:rPr>
        <w:t>experts chargée de la transformation numérique</w:t>
      </w:r>
    </w:p>
    <w:bookmarkEnd w:id="4"/>
    <w:p w14:paraId="12892632" w14:textId="77777777" w:rsidR="00325B29" w:rsidRPr="00242E09" w:rsidRDefault="00325B29" w:rsidP="002D6D5B">
      <w:pPr>
        <w:pStyle w:val="Heading2"/>
      </w:pPr>
      <w:r w:rsidRPr="00242E09">
        <w:t>Résumé</w:t>
      </w:r>
    </w:p>
    <w:p w14:paraId="328AFD51" w14:textId="593A91D0" w:rsidR="00325B29" w:rsidRPr="00242E09" w:rsidRDefault="00325B29" w:rsidP="002D6D5B">
      <w:pPr>
        <w:pStyle w:val="ONUMFS"/>
      </w:pPr>
      <w:r w:rsidRPr="00242E09">
        <w:t>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chargée de la transformation numérique propose de réviser la norme ST.92 de l</w:t>
      </w:r>
      <w:r w:rsidR="00D87FB0" w:rsidRPr="00242E09">
        <w:t>’</w:t>
      </w:r>
      <w:r w:rsidRPr="00242E09">
        <w:t>OMPI.  La révision de la norme ST.92 de l</w:t>
      </w:r>
      <w:r w:rsidR="00D87FB0" w:rsidRPr="00242E09">
        <w:t>’</w:t>
      </w:r>
      <w:r w:rsidRPr="00242E09">
        <w:t>OMPI vise à élargir le champ d</w:t>
      </w:r>
      <w:r w:rsidR="00D87FB0" w:rsidRPr="00242E09">
        <w:t>’</w:t>
      </w:r>
      <w:r w:rsidRPr="00242E09">
        <w:t>application de la norme afin d</w:t>
      </w:r>
      <w:r w:rsidR="00D87FB0" w:rsidRPr="00242E09">
        <w:t>’</w:t>
      </w:r>
      <w:r w:rsidRPr="00242E09">
        <w:t>y inclure des recommandations relatives à l</w:t>
      </w:r>
      <w:r w:rsidR="00D87FB0" w:rsidRPr="00242E09">
        <w:t>’</w:t>
      </w:r>
      <w:r w:rsidRPr="00242E09">
        <w:t>échange électronique de documents de priorité concernant les dessins et modèles industriels et les marqu</w:t>
      </w:r>
      <w:r w:rsidR="00242E09" w:rsidRPr="00242E09">
        <w:t>es.  En</w:t>
      </w:r>
      <w:r w:rsidRPr="00242E09">
        <w:t xml:space="preserve"> outre,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présente une analyse des résultats de l</w:t>
      </w:r>
      <w:r w:rsidR="00D87FB0" w:rsidRPr="00242E09">
        <w:t>’</w:t>
      </w:r>
      <w:r w:rsidRPr="00242E09">
        <w:t>enquête sur le plan de mise en œuvre de la norme ST.92 de l</w:t>
      </w:r>
      <w:r w:rsidR="00D87FB0" w:rsidRPr="00242E09">
        <w:t>’</w:t>
      </w:r>
      <w:r w:rsidRPr="00242E09">
        <w:t>OMPI par les offices de propriété intellectuel</w:t>
      </w:r>
      <w:r w:rsidR="00242E09" w:rsidRPr="00242E09">
        <w:t>le.  Su</w:t>
      </w:r>
      <w:r w:rsidRPr="00242E09">
        <w:t>r la base de ces conclusions,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propose une nouvelle date butoir provisoire fixée au 30 </w:t>
      </w:r>
      <w:r w:rsidR="00D87FB0" w:rsidRPr="00242E09">
        <w:t>juin 20</w:t>
      </w:r>
      <w:r w:rsidRPr="00242E09">
        <w:t>28 afin de permettre une période de transition coordonnée.</w:t>
      </w:r>
    </w:p>
    <w:p w14:paraId="1924EC43" w14:textId="77777777" w:rsidR="00325B29" w:rsidRPr="00242E09" w:rsidRDefault="00325B29" w:rsidP="002D6D5B">
      <w:pPr>
        <w:pStyle w:val="Heading2"/>
      </w:pPr>
      <w:r w:rsidRPr="00242E09">
        <w:t>Rappel</w:t>
      </w:r>
    </w:p>
    <w:p w14:paraId="38888608" w14:textId="36F8B4CD" w:rsidR="00325B29" w:rsidRPr="00242E09" w:rsidRDefault="00325B29" w:rsidP="002D6D5B">
      <w:pPr>
        <w:pStyle w:val="ONUMFS"/>
        <w:rPr>
          <w:szCs w:val="22"/>
        </w:rPr>
      </w:pPr>
      <w:r w:rsidRPr="00242E09">
        <w:t>À sa dix</w:t>
      </w:r>
      <w:r w:rsidR="00D87FB0" w:rsidRPr="00242E09">
        <w:t>ième session</w:t>
      </w:r>
      <w:r w:rsidRPr="00242E09">
        <w:t>,</w:t>
      </w:r>
      <w:r w:rsidR="00D87FB0" w:rsidRPr="00242E09">
        <w:t xml:space="preserve"> le CWS</w:t>
      </w:r>
      <w:r w:rsidRPr="00242E09">
        <w:t xml:space="preserve"> a créé la tâche n° 65, en tenant compte d</w:t>
      </w:r>
      <w:r w:rsidR="00D87FB0" w:rsidRPr="00242E09">
        <w:t>’</w:t>
      </w:r>
      <w:r w:rsidRPr="00242E09">
        <w:t>une proposition formulée par le Groupe de travail du Traité de coopération en matière de brevets (PCT) à sa quinz</w:t>
      </w:r>
      <w:r w:rsidR="00D87FB0" w:rsidRPr="00242E09">
        <w:t>ième session</w:t>
      </w:r>
      <w:r w:rsidRPr="00242E09">
        <w:t>.  Le Groupe de travail</w:t>
      </w:r>
      <w:r w:rsidR="00D87FB0" w:rsidRPr="00242E09">
        <w:t xml:space="preserve"> du PCT</w:t>
      </w:r>
      <w:r w:rsidRPr="00242E09">
        <w:t xml:space="preserve"> a proposé que</w:t>
      </w:r>
      <w:r w:rsidR="00D87FB0" w:rsidRPr="00242E09">
        <w:t xml:space="preserve"> le CWS</w:t>
      </w:r>
      <w:r w:rsidRPr="00242E09">
        <w:t xml:space="preserve"> élabore une nouvelle norme de l</w:t>
      </w:r>
      <w:r w:rsidR="00D87FB0" w:rsidRPr="00242E09">
        <w:t>’</w:t>
      </w:r>
      <w:r w:rsidRPr="00242E09">
        <w:t>OMPI visant à permettre la transmission d</w:t>
      </w:r>
      <w:r w:rsidR="00D87FB0" w:rsidRPr="00242E09">
        <w:t>’</w:t>
      </w:r>
      <w:r w:rsidRPr="00242E09">
        <w:t>un listage de séquences au format prescrit par la norme ST.26 de l</w:t>
      </w:r>
      <w:r w:rsidR="00D87FB0" w:rsidRPr="00242E09">
        <w:t>’</w:t>
      </w:r>
      <w:r w:rsidRPr="00242E09">
        <w:t>OMPI dans le cadre des documents de priori</w:t>
      </w:r>
      <w:r w:rsidR="00242E09" w:rsidRPr="00242E09">
        <w:t>té.  Ce</w:t>
      </w:r>
      <w:r w:rsidRPr="00242E09">
        <w:t>tte tâche a été confiée à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chargée de la transformation numérique et sa description est la suivante</w:t>
      </w:r>
      <w:r w:rsidR="00D87FB0" w:rsidRPr="00242E09">
        <w:t> :</w:t>
      </w:r>
    </w:p>
    <w:p w14:paraId="688AA384" w14:textId="0E1FFF20" w:rsidR="00325B29" w:rsidRPr="00242E09" w:rsidRDefault="00325B29" w:rsidP="002D6D5B">
      <w:pPr>
        <w:pStyle w:val="ONUMFS"/>
        <w:numPr>
          <w:ilvl w:val="0"/>
          <w:numId w:val="0"/>
        </w:numPr>
        <w:ind w:firstLine="567"/>
        <w:rPr>
          <w:i/>
          <w:iCs/>
          <w:szCs w:val="22"/>
        </w:rPr>
      </w:pPr>
      <w:r w:rsidRPr="00242E09">
        <w:rPr>
          <w:i/>
        </w:rPr>
        <w:t>“Élaborer une proposition de recommandations relatives au format des paquets de données pour l</w:t>
      </w:r>
      <w:r w:rsidR="00D87FB0" w:rsidRPr="00242E09">
        <w:rPr>
          <w:i/>
        </w:rPr>
        <w:t>’</w:t>
      </w:r>
      <w:r w:rsidRPr="00242E09">
        <w:rPr>
          <w:i/>
        </w:rPr>
        <w:t>échange électronique de documents de priorité et de copies certifiées conformes pour les brevets, les marques et les dessins et modèles industriels”</w:t>
      </w:r>
      <w:r w:rsidR="002277F2" w:rsidRPr="002277F2">
        <w:rPr>
          <w:iCs/>
        </w:rPr>
        <w:t>.</w:t>
      </w:r>
    </w:p>
    <w:p w14:paraId="29AFEB27" w14:textId="228D4AE9" w:rsidR="00325B29" w:rsidRPr="00242E09" w:rsidRDefault="00325B29" w:rsidP="002D6D5B">
      <w:pPr>
        <w:pStyle w:val="ONUMFS"/>
      </w:pPr>
      <w:r w:rsidRPr="00242E09">
        <w:lastRenderedPageBreak/>
        <w:t>À sa onz</w:t>
      </w:r>
      <w:r w:rsidR="00D87FB0" w:rsidRPr="00242E09">
        <w:t>ième session</w:t>
      </w:r>
      <w:r w:rsidRPr="00242E09">
        <w:t>,</w:t>
      </w:r>
      <w:r w:rsidR="00D87FB0" w:rsidRPr="00242E09">
        <w:t xml:space="preserve"> le CWS</w:t>
      </w:r>
      <w:r w:rsidRPr="00242E09">
        <w:t xml:space="preserve"> a pris note du projet de norme proposé par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chargée de la transformation numérique, intitulé “Norme ST.92 de l</w:t>
      </w:r>
      <w:r w:rsidR="00D87FB0" w:rsidRPr="00242E09">
        <w:t>’</w:t>
      </w:r>
      <w:r w:rsidRPr="00242E09">
        <w:t>OMPI – Recommandations concernant le format des paquets de données pour l</w:t>
      </w:r>
      <w:r w:rsidR="00D87FB0" w:rsidRPr="00242E09">
        <w:t>’</w:t>
      </w:r>
      <w:r w:rsidRPr="00242E09">
        <w:t>échange électronique des documents de priorité et des copies certifiées conformes”.  Toutefois,</w:t>
      </w:r>
      <w:r w:rsidR="00D87FB0" w:rsidRPr="00242E09">
        <w:t xml:space="preserve"> le CWS</w:t>
      </w:r>
      <w:r w:rsidRPr="00242E09">
        <w:t xml:space="preserve"> a estimé que des travaux complémentaires sur le projet de norme étaient nécessaires avant son adopti</w:t>
      </w:r>
      <w:r w:rsidR="00242E09" w:rsidRPr="00242E09">
        <w:t>on.  Pl</w:t>
      </w:r>
      <w:r w:rsidRPr="00242E09">
        <w:t>usieurs délégations se sont déclarées préoccupées par le plan de mise en œuvre proposé, fondé sur une “période d</w:t>
      </w:r>
      <w:r w:rsidR="00D87FB0" w:rsidRPr="00242E09">
        <w:t>’</w:t>
      </w:r>
      <w:r w:rsidRPr="00242E09">
        <w:t>abandon progressif”, qui ne laisserait peut</w:t>
      </w:r>
      <w:r w:rsidR="002277F2">
        <w:noBreakHyphen/>
      </w:r>
      <w:r w:rsidRPr="00242E09">
        <w:t xml:space="preserve">être pas aux offices de propriété intellectuelle un délai suffisant pour la mise en œuvre de la nouvelle norme (voir les paragraphes 111 à 115 du </w:t>
      </w:r>
      <w:r w:rsidR="00D87FB0" w:rsidRPr="00242E09">
        <w:t>document CW</w:t>
      </w:r>
      <w:r w:rsidRPr="00242E09">
        <w:t>S/11/28).</w:t>
      </w:r>
    </w:p>
    <w:p w14:paraId="3B9E5DFC" w14:textId="411A7812" w:rsidR="00D87FB0" w:rsidRPr="00242E09" w:rsidRDefault="00325B29" w:rsidP="002D6D5B">
      <w:pPr>
        <w:pStyle w:val="ONUMFS"/>
      </w:pPr>
      <w:r w:rsidRPr="00242E09">
        <w:t>À sa douz</w:t>
      </w:r>
      <w:r w:rsidR="00D87FB0" w:rsidRPr="00242E09">
        <w:t>ième session</w:t>
      </w:r>
      <w:r w:rsidRPr="00242E09">
        <w:t>,</w:t>
      </w:r>
      <w:r w:rsidR="00D87FB0" w:rsidRPr="00242E09">
        <w:t xml:space="preserve"> le CWS</w:t>
      </w:r>
      <w:r w:rsidRPr="00242E09">
        <w:t xml:space="preserve"> a adopté la norme ST.92 de l</w:t>
      </w:r>
      <w:r w:rsidR="00D87FB0" w:rsidRPr="00242E09">
        <w:t>’</w:t>
      </w:r>
      <w:r w:rsidRPr="00242E09">
        <w:t xml:space="preserve">OMPI </w:t>
      </w:r>
      <w:r w:rsidR="00D87FB0" w:rsidRPr="00242E09">
        <w:t>à l’égard</w:t>
      </w:r>
      <w:r w:rsidRPr="00242E09">
        <w:t xml:space="preserve"> des documents de priorité concernant les brevets uniquement et a approuvé la proposition de révision de la description de la tâche n° 65, libellée comme suit</w:t>
      </w:r>
      <w:r w:rsidR="00D87FB0" w:rsidRPr="00242E09">
        <w:t> :</w:t>
      </w:r>
    </w:p>
    <w:p w14:paraId="737447D9" w14:textId="14ADEA22" w:rsidR="00D87FB0" w:rsidRPr="00242E09" w:rsidRDefault="00325B29" w:rsidP="002D6D5B">
      <w:pPr>
        <w:pStyle w:val="ONUMFS"/>
        <w:numPr>
          <w:ilvl w:val="0"/>
          <w:numId w:val="0"/>
        </w:numPr>
        <w:ind w:firstLine="567"/>
        <w:rPr>
          <w:i/>
        </w:rPr>
      </w:pPr>
      <w:r w:rsidRPr="00242E09">
        <w:rPr>
          <w:i/>
        </w:rPr>
        <w:t>“Procéder aux révisions et aux mises à jour nécessaires de la norme ST.92 de l</w:t>
      </w:r>
      <w:r w:rsidR="00D87FB0" w:rsidRPr="00242E09">
        <w:rPr>
          <w:i/>
        </w:rPr>
        <w:t>’</w:t>
      </w:r>
      <w:r w:rsidRPr="00242E09">
        <w:rPr>
          <w:i/>
        </w:rPr>
        <w:t>OMPI et soutenir les offices de propriété intellectuelle dans la mise en œuvre de la norme avant le</w:t>
      </w:r>
      <w:r w:rsidR="00D87FB0" w:rsidRPr="00242E09">
        <w:rPr>
          <w:i/>
        </w:rPr>
        <w:t xml:space="preserve"> 1</w:t>
      </w:r>
      <w:r w:rsidR="00D87FB0" w:rsidRPr="00242E09">
        <w:rPr>
          <w:i/>
          <w:vertAlign w:val="superscript"/>
        </w:rPr>
        <w:t>er</w:t>
      </w:r>
      <w:r w:rsidR="00D87FB0" w:rsidRPr="00242E09">
        <w:rPr>
          <w:i/>
        </w:rPr>
        <w:t> </w:t>
      </w:r>
      <w:r w:rsidRPr="00242E09">
        <w:rPr>
          <w:i/>
        </w:rPr>
        <w:t>juillet 2027”</w:t>
      </w:r>
    </w:p>
    <w:p w14:paraId="6354D13E" w14:textId="65031532" w:rsidR="00325B29" w:rsidRPr="00242E09" w:rsidRDefault="00325B29" w:rsidP="002D6D5B">
      <w:pPr>
        <w:pStyle w:val="ONUMFS"/>
        <w:numPr>
          <w:ilvl w:val="0"/>
          <w:numId w:val="0"/>
        </w:numPr>
        <w:rPr>
          <w:i/>
          <w:iCs/>
        </w:rPr>
      </w:pPr>
      <w:r w:rsidRPr="00242E09">
        <w:t>(</w:t>
      </w:r>
      <w:proofErr w:type="gramStart"/>
      <w:r w:rsidRPr="00242E09">
        <w:t>voir</w:t>
      </w:r>
      <w:proofErr w:type="gramEnd"/>
      <w:r w:rsidRPr="00242E09">
        <w:t xml:space="preserve"> les paragraphes 80 et 81 du </w:t>
      </w:r>
      <w:r w:rsidR="00D87FB0" w:rsidRPr="00242E09">
        <w:t>document CW</w:t>
      </w:r>
      <w:r w:rsidRPr="00242E09">
        <w:t>S/12/29).</w:t>
      </w:r>
    </w:p>
    <w:p w14:paraId="47EC16D5" w14:textId="7E3CE6F3" w:rsidR="00325B29" w:rsidRPr="00242E09" w:rsidRDefault="00325B29" w:rsidP="002D6D5B">
      <w:pPr>
        <w:pStyle w:val="ONUMFS"/>
      </w:pPr>
      <w:r w:rsidRPr="00242E09">
        <w:t>À cette même session, le CWS a demandé que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chargée de la transformation numérique établisse un questionnaire d</w:t>
      </w:r>
      <w:r w:rsidR="00D87FB0" w:rsidRPr="00242E09">
        <w:t>’</w:t>
      </w:r>
      <w:r w:rsidRPr="00242E09">
        <w:t>enquête sur le plan de mise en œuvre de la norme ST.92 de l</w:t>
      </w:r>
      <w:r w:rsidR="00D87FB0" w:rsidRPr="00242E09">
        <w:t>’</w:t>
      </w:r>
      <w:r w:rsidRPr="00242E09">
        <w:t>OMPI et que le Secrétariat adresse une invitation à tous les offices pour qu</w:t>
      </w:r>
      <w:r w:rsidR="00D87FB0" w:rsidRPr="00242E09">
        <w:t>’</w:t>
      </w:r>
      <w:r w:rsidRPr="00242E09">
        <w:t>ils répondent à l</w:t>
      </w:r>
      <w:r w:rsidR="00D87FB0" w:rsidRPr="00242E09">
        <w:t>’</w:t>
      </w:r>
      <w:r w:rsidRPr="00242E09">
        <w:t>enquê</w:t>
      </w:r>
      <w:r w:rsidR="00242E09" w:rsidRPr="00242E09">
        <w:t>te.  Le</w:t>
      </w:r>
      <w:r w:rsidRPr="00242E09">
        <w:t> CWS a pris note que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chargée de la transformation numérique présenterait les résultats de l</w:t>
      </w:r>
      <w:r w:rsidR="00D87FB0" w:rsidRPr="00242E09">
        <w:t>’</w:t>
      </w:r>
      <w:r w:rsidRPr="00242E09">
        <w:t>enquête pour examen à sa treiz</w:t>
      </w:r>
      <w:r w:rsidR="00D87FB0" w:rsidRPr="00242E09">
        <w:t>ième session</w:t>
      </w:r>
      <w:r w:rsidRPr="00242E09">
        <w:t xml:space="preserve"> (voir le paragraphe 82 du </w:t>
      </w:r>
      <w:r w:rsidR="00D87FB0" w:rsidRPr="00242E09">
        <w:t>document CW</w:t>
      </w:r>
      <w:r w:rsidRPr="00242E09">
        <w:t>S/12/29).</w:t>
      </w:r>
    </w:p>
    <w:p w14:paraId="4734C504" w14:textId="004C9AD0" w:rsidR="00325B29" w:rsidRPr="00242E09" w:rsidRDefault="00325B29" w:rsidP="002D6D5B">
      <w:pPr>
        <w:pStyle w:val="ONUMFS"/>
      </w:pPr>
      <w:r w:rsidRPr="00242E09">
        <w:t>À cette même session,</w:t>
      </w:r>
      <w:r w:rsidR="00D87FB0" w:rsidRPr="00242E09">
        <w:t xml:space="preserve"> le CWS</w:t>
      </w:r>
      <w:r w:rsidRPr="00242E09">
        <w:t xml:space="preserve"> est convenu que le délai provisoire, fixé au</w:t>
      </w:r>
      <w:r w:rsidR="00D87FB0" w:rsidRPr="00242E09">
        <w:t xml:space="preserve"> 1</w:t>
      </w:r>
      <w:r w:rsidR="00D87FB0" w:rsidRPr="00242E09">
        <w:rPr>
          <w:vertAlign w:val="superscript"/>
        </w:rPr>
        <w:t>er</w:t>
      </w:r>
      <w:r w:rsidR="00D87FB0" w:rsidRPr="00242E09">
        <w:t> juillet 20</w:t>
      </w:r>
      <w:r w:rsidRPr="00242E09">
        <w:t>27, s</w:t>
      </w:r>
      <w:r w:rsidR="00D87FB0" w:rsidRPr="00242E09">
        <w:t>’</w:t>
      </w:r>
      <w:r w:rsidRPr="00242E09">
        <w:t>applique uniquement à la norme adoptée, de manière spécifique aux documents de priorité concernant les breve</w:t>
      </w:r>
      <w:r w:rsidR="00242E09" w:rsidRPr="00242E09">
        <w:t>ts.  Le</w:t>
      </w:r>
      <w:r w:rsidR="00D87FB0" w:rsidRPr="00242E09">
        <w:t> CWS</w:t>
      </w:r>
      <w:r w:rsidRPr="00242E09">
        <w:t xml:space="preserve"> est également convenu que les discussions devraient se poursuivre en vue de réviser la norme afin d</w:t>
      </w:r>
      <w:r w:rsidR="00D87FB0" w:rsidRPr="00242E09">
        <w:t>’</w:t>
      </w:r>
      <w:r w:rsidRPr="00242E09">
        <w:t xml:space="preserve">y inclure des recommandations relatives aux documents de priorité concernant les marques et les dessins et modèles industriels (voir le paragraphe 83 du </w:t>
      </w:r>
      <w:r w:rsidR="00D87FB0" w:rsidRPr="00242E09">
        <w:t>document CW</w:t>
      </w:r>
      <w:r w:rsidRPr="00242E09">
        <w:t>S/12/29).</w:t>
      </w:r>
    </w:p>
    <w:p w14:paraId="4E7709E9" w14:textId="3CD7F802" w:rsidR="00325B29" w:rsidRPr="00242E09" w:rsidRDefault="00325B29" w:rsidP="00D87FB0">
      <w:pPr>
        <w:pStyle w:val="Heading2"/>
      </w:pPr>
      <w:r w:rsidRPr="00242E09">
        <w:t>Résultats de l</w:t>
      </w:r>
      <w:r w:rsidR="00D87FB0" w:rsidRPr="00242E09">
        <w:t>’</w:t>
      </w:r>
      <w:r w:rsidRPr="00242E09">
        <w:t>enquête sur le plan de mise en œuvre de la norme ST.92 de l</w:t>
      </w:r>
      <w:r w:rsidR="00D87FB0" w:rsidRPr="00242E09">
        <w:t>’</w:t>
      </w:r>
      <w:r w:rsidRPr="00242E09">
        <w:t>OMPI</w:t>
      </w:r>
    </w:p>
    <w:p w14:paraId="34095B39" w14:textId="47EC2C8E" w:rsidR="00D87FB0" w:rsidRPr="00242E09" w:rsidRDefault="00325B29" w:rsidP="002D6D5B">
      <w:pPr>
        <w:pStyle w:val="ONUMFS"/>
      </w:pPr>
      <w:r w:rsidRPr="00242E09">
        <w:t>Le 28 </w:t>
      </w:r>
      <w:r w:rsidR="00D87FB0" w:rsidRPr="00242E09">
        <w:t>mai 20</w:t>
      </w:r>
      <w:r w:rsidRPr="00242E09">
        <w:t xml:space="preserve">25, le Secrétariat a publié la circulaire </w:t>
      </w:r>
      <w:hyperlink r:id="rId8" w:tgtFrame="_blank" w:history="1">
        <w:r w:rsidRPr="00242E09">
          <w:rPr>
            <w:rStyle w:val="Hyperlink"/>
          </w:rPr>
          <w:t>C.CWS 195</w:t>
        </w:r>
      </w:hyperlink>
      <w:r w:rsidRPr="00242E09">
        <w:t xml:space="preserve"> intitulée “Enquête sur le plan de mise en œuvre de la norme ST.92 de l</w:t>
      </w:r>
      <w:r w:rsidR="00D87FB0" w:rsidRPr="00242E09">
        <w:t>’</w:t>
      </w:r>
      <w:r w:rsidRPr="00242E09">
        <w:t xml:space="preserve">OMPI”, invitant les offices de propriété intellectuelle à fournir des informations sur leurs plans de mise en œuvre et la date butoir proposée, </w:t>
      </w:r>
      <w:r w:rsidR="00D87FB0" w:rsidRPr="00242E09">
        <w:t>à savoir</w:t>
      </w:r>
      <w:r w:rsidRPr="00242E09">
        <w:t xml:space="preserve"> le</w:t>
      </w:r>
      <w:r w:rsidR="00D87FB0" w:rsidRPr="00242E09">
        <w:t xml:space="preserve"> 1</w:t>
      </w:r>
      <w:r w:rsidR="00D87FB0" w:rsidRPr="00242E09">
        <w:rPr>
          <w:vertAlign w:val="superscript"/>
        </w:rPr>
        <w:t>er</w:t>
      </w:r>
      <w:r w:rsidR="00D87FB0" w:rsidRPr="00242E09">
        <w:t> juillet 20</w:t>
      </w:r>
      <w:r w:rsidRPr="00242E09">
        <w:t>27.  Cette enquête visait également à recueillir des informations sur la façon dont les offices de propriété intellectuelle prévoient d</w:t>
      </w:r>
      <w:r w:rsidR="00D87FB0" w:rsidRPr="00242E09">
        <w:t>’</w:t>
      </w:r>
      <w:r w:rsidRPr="00242E09">
        <w:t>échanger les documents de priorité concernant les brevets durant la période de transition par l</w:t>
      </w:r>
      <w:r w:rsidR="00D87FB0" w:rsidRPr="00242E09">
        <w:t>’</w:t>
      </w:r>
      <w:r w:rsidRPr="00242E09">
        <w:t>intermédiaire du Service d</w:t>
      </w:r>
      <w:r w:rsidR="00D87FB0" w:rsidRPr="00242E09">
        <w:t>’</w:t>
      </w:r>
      <w:r w:rsidRPr="00242E09">
        <w:t>accès numérique de l</w:t>
      </w:r>
      <w:r w:rsidR="00D87FB0" w:rsidRPr="00242E09">
        <w:t>’</w:t>
      </w:r>
      <w:r w:rsidRPr="00242E09">
        <w:t>OMPI (DAS).</w:t>
      </w:r>
    </w:p>
    <w:p w14:paraId="4908508F" w14:textId="67FC525E" w:rsidR="00325B29" w:rsidRPr="002277F2" w:rsidRDefault="00325B29" w:rsidP="002D6D5B">
      <w:pPr>
        <w:pStyle w:val="ONUMFS"/>
        <w:rPr>
          <w:szCs w:val="22"/>
        </w:rPr>
      </w:pPr>
      <w:r w:rsidRPr="002277F2">
        <w:rPr>
          <w:szCs w:val="22"/>
        </w:rPr>
        <w:t>Des réponses ont été fournies par 37 offices de propriété intellectuelle, issus des 34 États membres ci</w:t>
      </w:r>
      <w:r w:rsidR="002277F2">
        <w:rPr>
          <w:szCs w:val="22"/>
        </w:rPr>
        <w:noBreakHyphen/>
      </w:r>
      <w:r w:rsidRPr="002277F2">
        <w:rPr>
          <w:szCs w:val="22"/>
        </w:rPr>
        <w:t>après</w:t>
      </w:r>
      <w:r w:rsidR="00D87FB0" w:rsidRPr="002277F2">
        <w:rPr>
          <w:szCs w:val="22"/>
        </w:rPr>
        <w:t> :</w:t>
      </w:r>
      <w:r w:rsidRPr="002277F2">
        <w:rPr>
          <w:szCs w:val="22"/>
        </w:rPr>
        <w:t xml:space="preserve"> Allemagne (DE), Australie (AU), Brésil (BR), Bulgarie (BG), Canada (CA), Chine (CN), Croatie (HR), El</w:t>
      </w:r>
      <w:r w:rsidR="0001345E" w:rsidRPr="002277F2">
        <w:rPr>
          <w:szCs w:val="22"/>
        </w:rPr>
        <w:t> </w:t>
      </w:r>
      <w:r w:rsidRPr="002277F2">
        <w:rPr>
          <w:szCs w:val="22"/>
        </w:rPr>
        <w:t>Salvador (SV), Espagne (ES), États</w:t>
      </w:r>
      <w:r w:rsidR="002277F2">
        <w:rPr>
          <w:szCs w:val="22"/>
        </w:rPr>
        <w:noBreakHyphen/>
      </w:r>
      <w:r w:rsidRPr="002277F2">
        <w:rPr>
          <w:szCs w:val="22"/>
        </w:rPr>
        <w:t>Unis d</w:t>
      </w:r>
      <w:r w:rsidR="00D87FB0" w:rsidRPr="002277F2">
        <w:rPr>
          <w:szCs w:val="22"/>
        </w:rPr>
        <w:t>’</w:t>
      </w:r>
      <w:r w:rsidRPr="002277F2">
        <w:rPr>
          <w:szCs w:val="22"/>
        </w:rPr>
        <w:t xml:space="preserve">Amérique (US), Finlande (FI), Géorgie (GE), </w:t>
      </w:r>
      <w:r w:rsidRPr="002277F2">
        <w:rPr>
          <w:rStyle w:val="text"/>
          <w:rFonts w:ascii="Arial" w:hAnsi="Arial" w:cs="Arial"/>
          <w:sz w:val="22"/>
          <w:szCs w:val="22"/>
        </w:rPr>
        <w:t>Honduras (HN),</w:t>
      </w:r>
      <w:r w:rsidRPr="002277F2">
        <w:rPr>
          <w:szCs w:val="22"/>
        </w:rPr>
        <w:t xml:space="preserve"> Islande (IS), Israël (IL), Japon (JP), Jordanie (JO), Kenya (KE), </w:t>
      </w:r>
      <w:r w:rsidRPr="002277F2">
        <w:rPr>
          <w:rStyle w:val="text"/>
          <w:rFonts w:ascii="Arial" w:hAnsi="Arial" w:cs="Arial"/>
          <w:sz w:val="22"/>
          <w:szCs w:val="22"/>
        </w:rPr>
        <w:t>Kirghizistan</w:t>
      </w:r>
      <w:r w:rsidRPr="002277F2">
        <w:rPr>
          <w:szCs w:val="22"/>
        </w:rPr>
        <w:t xml:space="preserve"> (KG), Lituanie (LT), Mexique (MX), Monaco (MC), Norvège (NO), Pérou (PE), Pologne (PL), République de Corée (KR), République dominicaine (DO), </w:t>
      </w:r>
      <w:r w:rsidRPr="002277F2">
        <w:rPr>
          <w:rStyle w:val="text"/>
          <w:rFonts w:ascii="Arial" w:hAnsi="Arial" w:cs="Arial"/>
          <w:sz w:val="22"/>
          <w:szCs w:val="22"/>
        </w:rPr>
        <w:t>République</w:t>
      </w:r>
      <w:r w:rsidR="002277F2">
        <w:rPr>
          <w:rStyle w:val="text"/>
          <w:rFonts w:ascii="Arial" w:hAnsi="Arial" w:cs="Arial"/>
          <w:sz w:val="22"/>
          <w:szCs w:val="22"/>
        </w:rPr>
        <w:noBreakHyphen/>
      </w:r>
      <w:r w:rsidRPr="002277F2">
        <w:rPr>
          <w:rStyle w:val="text"/>
          <w:rFonts w:ascii="Arial" w:hAnsi="Arial" w:cs="Arial"/>
          <w:sz w:val="22"/>
          <w:szCs w:val="22"/>
        </w:rPr>
        <w:t>Unie de Tanzanie (TZ),</w:t>
      </w:r>
      <w:r w:rsidRPr="002277F2">
        <w:rPr>
          <w:szCs w:val="22"/>
        </w:rPr>
        <w:t xml:space="preserve"> Royaume</w:t>
      </w:r>
      <w:r w:rsidR="002277F2">
        <w:rPr>
          <w:szCs w:val="22"/>
        </w:rPr>
        <w:noBreakHyphen/>
      </w:r>
      <w:r w:rsidRPr="002277F2">
        <w:rPr>
          <w:szCs w:val="22"/>
        </w:rPr>
        <w:t xml:space="preserve">Uni (GB), Singapour (SG), Suède (SE), </w:t>
      </w:r>
      <w:r w:rsidRPr="002277F2">
        <w:rPr>
          <w:rStyle w:val="text"/>
          <w:rFonts w:ascii="Arial" w:hAnsi="Arial" w:cs="Arial"/>
          <w:sz w:val="22"/>
          <w:szCs w:val="22"/>
        </w:rPr>
        <w:t>Suisse</w:t>
      </w:r>
      <w:r w:rsidR="002277F2">
        <w:rPr>
          <w:rStyle w:val="text"/>
          <w:rFonts w:ascii="Arial" w:hAnsi="Arial" w:cs="Arial"/>
          <w:sz w:val="22"/>
          <w:szCs w:val="22"/>
        </w:rPr>
        <w:t> </w:t>
      </w:r>
      <w:r w:rsidRPr="002277F2">
        <w:rPr>
          <w:rStyle w:val="text"/>
          <w:rFonts w:ascii="Arial" w:hAnsi="Arial" w:cs="Arial"/>
          <w:sz w:val="22"/>
          <w:szCs w:val="22"/>
        </w:rPr>
        <w:t>(CH), Trinité</w:t>
      </w:r>
      <w:r w:rsidR="002277F2">
        <w:rPr>
          <w:rStyle w:val="text"/>
          <w:rFonts w:ascii="Arial" w:hAnsi="Arial" w:cs="Arial"/>
          <w:sz w:val="22"/>
          <w:szCs w:val="22"/>
        </w:rPr>
        <w:noBreakHyphen/>
      </w:r>
      <w:r w:rsidRPr="002277F2">
        <w:rPr>
          <w:rStyle w:val="text"/>
          <w:rFonts w:ascii="Arial" w:hAnsi="Arial" w:cs="Arial"/>
          <w:sz w:val="22"/>
          <w:szCs w:val="22"/>
        </w:rPr>
        <w:t>et</w:t>
      </w:r>
      <w:r w:rsidR="002277F2">
        <w:rPr>
          <w:rStyle w:val="text"/>
          <w:rFonts w:ascii="Arial" w:hAnsi="Arial" w:cs="Arial"/>
          <w:sz w:val="22"/>
          <w:szCs w:val="22"/>
        </w:rPr>
        <w:noBreakHyphen/>
      </w:r>
      <w:r w:rsidRPr="002277F2">
        <w:rPr>
          <w:rStyle w:val="text"/>
          <w:rFonts w:ascii="Arial" w:hAnsi="Arial" w:cs="Arial"/>
          <w:sz w:val="22"/>
          <w:szCs w:val="22"/>
        </w:rPr>
        <w:t>Tobago (TT) et Türkiye</w:t>
      </w:r>
      <w:r w:rsidRPr="002277F2">
        <w:rPr>
          <w:szCs w:val="22"/>
        </w:rPr>
        <w:t xml:space="preserve"> (TR); </w:t>
      </w:r>
      <w:r w:rsidR="0001345E" w:rsidRPr="002277F2">
        <w:rPr>
          <w:szCs w:val="22"/>
        </w:rPr>
        <w:t xml:space="preserve"> </w:t>
      </w:r>
      <w:r w:rsidRPr="002277F2">
        <w:rPr>
          <w:szCs w:val="22"/>
        </w:rPr>
        <w:t>et trois</w:t>
      </w:r>
      <w:r w:rsidR="0001345E" w:rsidRPr="002277F2">
        <w:rPr>
          <w:szCs w:val="22"/>
        </w:rPr>
        <w:t> </w:t>
      </w:r>
      <w:r w:rsidRPr="002277F2">
        <w:rPr>
          <w:rStyle w:val="text"/>
          <w:rFonts w:ascii="Arial" w:hAnsi="Arial" w:cs="Arial"/>
          <w:sz w:val="22"/>
          <w:szCs w:val="22"/>
        </w:rPr>
        <w:t>organisations régionales de propriété intellectuelle</w:t>
      </w:r>
      <w:r w:rsidR="00D87FB0" w:rsidRPr="002277F2">
        <w:rPr>
          <w:szCs w:val="22"/>
        </w:rPr>
        <w:t> :</w:t>
      </w:r>
      <w:r w:rsidRPr="002277F2">
        <w:rPr>
          <w:szCs w:val="22"/>
        </w:rPr>
        <w:t xml:space="preserve"> Office de l</w:t>
      </w:r>
      <w:r w:rsidR="00D87FB0" w:rsidRPr="002277F2">
        <w:rPr>
          <w:szCs w:val="22"/>
        </w:rPr>
        <w:t>’</w:t>
      </w:r>
      <w:r w:rsidRPr="002277F2">
        <w:rPr>
          <w:szCs w:val="22"/>
        </w:rPr>
        <w:t>Union européenne pour la propriété intellectuelle (EM), Office eurasien des brevets (EA)</w:t>
      </w:r>
      <w:r w:rsidRPr="002277F2">
        <w:rPr>
          <w:rStyle w:val="text"/>
          <w:rFonts w:ascii="Arial" w:hAnsi="Arial" w:cs="Arial"/>
          <w:sz w:val="22"/>
          <w:szCs w:val="22"/>
        </w:rPr>
        <w:t xml:space="preserve"> </w:t>
      </w:r>
      <w:r w:rsidRPr="002277F2">
        <w:rPr>
          <w:szCs w:val="22"/>
        </w:rPr>
        <w:t>et Office européen des brevets (EP).</w:t>
      </w:r>
    </w:p>
    <w:p w14:paraId="5F076845" w14:textId="02BAF125" w:rsidR="00325B29" w:rsidRPr="00242E09" w:rsidRDefault="00325B29" w:rsidP="002D6D5B">
      <w:pPr>
        <w:pStyle w:val="ONUMFS"/>
      </w:pPr>
      <w:r w:rsidRPr="00242E09">
        <w:lastRenderedPageBreak/>
        <w:t>En ce qui concerne les plans de mise en œuvre de la norme ST.92 de l</w:t>
      </w:r>
      <w:r w:rsidR="00D87FB0" w:rsidRPr="00242E09">
        <w:t>’</w:t>
      </w:r>
      <w:r w:rsidRPr="00242E09">
        <w:t>OMPI, seule une minorité d</w:t>
      </w:r>
      <w:r w:rsidR="00D87FB0" w:rsidRPr="00242E09">
        <w:t>’</w:t>
      </w:r>
      <w:r w:rsidRPr="00242E09">
        <w:t>offices de propriété intellectuelle, soit 30%, ont établi des plans de transition concrets, et la plupart d</w:t>
      </w:r>
      <w:r w:rsidR="00D87FB0" w:rsidRPr="00242E09">
        <w:t>’</w:t>
      </w:r>
      <w:r w:rsidRPr="00242E09">
        <w:t>entre eux prévoient une mise en œuvre entre 2026 et 2028.  Cependant, les 70% restants n</w:t>
      </w:r>
      <w:r w:rsidR="00D87FB0" w:rsidRPr="00242E09">
        <w:t>’</w:t>
      </w:r>
      <w:r w:rsidRPr="00242E09">
        <w:t>ont pas encore élaboré de plan officiel, invoquant souvent des contraintes en matière de ressources, des priorités concurrentes ou la nécessité de réviser la norme afin d</w:t>
      </w:r>
      <w:r w:rsidR="00D87FB0" w:rsidRPr="00242E09">
        <w:t>’</w:t>
      </w:r>
      <w:r w:rsidRPr="00242E09">
        <w:t>y inclure les dessins et modèles et les marques.</w:t>
      </w:r>
    </w:p>
    <w:p w14:paraId="3A38159B" w14:textId="1EB8DF3B" w:rsidR="00325B29" w:rsidRPr="00242E09" w:rsidRDefault="00325B29" w:rsidP="002D6D5B">
      <w:pPr>
        <w:pStyle w:val="ONUMFS"/>
      </w:pPr>
      <w:r w:rsidRPr="00242E09">
        <w:t>Si de nombreux offices de propriété intellectuelle indiquent que les examens juridiques n</w:t>
      </w:r>
      <w:r w:rsidR="00D87FB0" w:rsidRPr="00242E09">
        <w:t>’</w:t>
      </w:r>
      <w:r w:rsidRPr="00242E09">
        <w:t>ont pas mis en évidence d</w:t>
      </w:r>
      <w:r w:rsidR="00D87FB0" w:rsidRPr="00242E09">
        <w:t>’</w:t>
      </w:r>
      <w:r w:rsidRPr="00242E09">
        <w:t>obstacles majeurs à la mise en œuvre, quelques</w:t>
      </w:r>
      <w:r w:rsidR="002277F2">
        <w:noBreakHyphen/>
      </w:r>
      <w:r w:rsidRPr="00242E09">
        <w:t>uns ont toutefois fait part de leurs préoccupations concernant les lois nationales relatives au stockage des données, au consentement des déposants et à la possibilité de supprimer rapidement des documents en cas de changement de circonstanc</w:t>
      </w:r>
      <w:r w:rsidR="00242E09" w:rsidRPr="00242E09">
        <w:t>es.  Ce</w:t>
      </w:r>
      <w:r w:rsidRPr="00242E09">
        <w:t>rtains offices de propriété intellectuelle attendent des examens juridiques ou anticipent des modifications législatives avant de poursuivre.</w:t>
      </w:r>
    </w:p>
    <w:p w14:paraId="16FAAF28" w14:textId="1B45D8FE" w:rsidR="00325B29" w:rsidRPr="00242E09" w:rsidRDefault="00325B29" w:rsidP="002D6D5B">
      <w:pPr>
        <w:pStyle w:val="ONUMFS"/>
      </w:pPr>
      <w:r w:rsidRPr="00242E09">
        <w:t>Le défi le plus souvent cité est celui des ressources limitées, tant humaines que financièr</w:t>
      </w:r>
      <w:r w:rsidR="00242E09" w:rsidRPr="00242E09">
        <w:t>es.  De</w:t>
      </w:r>
      <w:r w:rsidRPr="00242E09">
        <w:t xml:space="preserve"> nombreux offices de propriété intellectuelle participent également à des projets plus vastes de modernisation informatique auxquels ils doivent consacrer une partie de leur attention et de leur financeme</w:t>
      </w:r>
      <w:r w:rsidR="00242E09" w:rsidRPr="00242E09">
        <w:t>nt.  Le</w:t>
      </w:r>
      <w:r w:rsidRPr="00242E09">
        <w:t>s incertitudes juridiques et réglementaires, notamment en ce qui concerne la protection des données et les formats de documents, compliquent encore davantage la situation.</w:t>
      </w:r>
    </w:p>
    <w:p w14:paraId="442A575B" w14:textId="2279A79C" w:rsidR="00D87FB0" w:rsidRPr="00242E09" w:rsidRDefault="00325B29" w:rsidP="002D6D5B">
      <w:pPr>
        <w:pStyle w:val="ONUMFS"/>
      </w:pPr>
      <w:r w:rsidRPr="00242E09">
        <w:t>La plupart des offices de propriété intellectuelle prévoient de prendre en charge plusieurs formats (paquets de données d</w:t>
      </w:r>
      <w:r w:rsidR="00D87FB0" w:rsidRPr="00242E09">
        <w:t>’</w:t>
      </w:r>
      <w:r w:rsidRPr="00242E09">
        <w:t>un document de priorité (PDDP) selon la norme ST.92 de l</w:t>
      </w:r>
      <w:r w:rsidR="00D87FB0" w:rsidRPr="00242E09">
        <w:t>’</w:t>
      </w:r>
      <w:r w:rsidRPr="00242E09">
        <w:t>OMPI, ancien PDF et parfois papier) pendant la période de transiti</w:t>
      </w:r>
      <w:r w:rsidR="00242E09" w:rsidRPr="00242E09">
        <w:t>on.  Ce</w:t>
      </w:r>
      <w:r w:rsidRPr="00242E09">
        <w:t>pendant, seul un petit nombre d</w:t>
      </w:r>
      <w:r w:rsidR="00D87FB0" w:rsidRPr="00242E09">
        <w:t>’</w:t>
      </w:r>
      <w:r w:rsidRPr="00242E09">
        <w:t>entre eux prévoient d</w:t>
      </w:r>
      <w:r w:rsidR="00D87FB0" w:rsidRPr="00242E09">
        <w:t>’</w:t>
      </w:r>
      <w:r w:rsidRPr="00242E09">
        <w:t>inclure des artefacts supplémentaires, tels que des listages des séquences ou des traductio</w:t>
      </w:r>
      <w:r w:rsidR="00242E09" w:rsidRPr="00242E09">
        <w:t>ns.  Le</w:t>
      </w:r>
      <w:r w:rsidRPr="00242E09">
        <w:t>s offices sont mitigés quant à leur capacité de respecter la date butoir provisoire fixée au</w:t>
      </w:r>
      <w:r w:rsidR="00D87FB0" w:rsidRPr="00242E09">
        <w:t xml:space="preserve"> 1</w:t>
      </w:r>
      <w:r w:rsidR="00D87FB0" w:rsidRPr="00242E09">
        <w:rPr>
          <w:vertAlign w:val="superscript"/>
        </w:rPr>
        <w:t>er</w:t>
      </w:r>
      <w:r w:rsidR="00D87FB0" w:rsidRPr="00242E09">
        <w:t> juillet 20</w:t>
      </w:r>
      <w:r w:rsidRPr="00242E09">
        <w:t>27.  Cinquante</w:t>
      </w:r>
      <w:r w:rsidR="002277F2">
        <w:noBreakHyphen/>
      </w:r>
      <w:r w:rsidRPr="00242E09">
        <w:t>quatre pour cent des offices ayant répondu pensent pouvoir respecter ce délai, tandis que les autres préfèrent une date ultérieure ou ne sont pas en mesure de s</w:t>
      </w:r>
      <w:r w:rsidR="00D87FB0" w:rsidRPr="00242E09">
        <w:t>’</w:t>
      </w:r>
      <w:r w:rsidRPr="00242E09">
        <w:t>engag</w:t>
      </w:r>
      <w:r w:rsidR="00242E09" w:rsidRPr="00242E09">
        <w:t>er.  En</w:t>
      </w:r>
      <w:r w:rsidRPr="00242E09">
        <w:t xml:space="preserve"> ce qui concerne l</w:t>
      </w:r>
      <w:r w:rsidR="00D87FB0" w:rsidRPr="00242E09">
        <w:t>’</w:t>
      </w:r>
      <w:r w:rsidRPr="00242E09">
        <w:t>approche de mise en œuvre, près de 60% sont favorables au scénario de transition dit du “big bang” dans lequel tous les offices de propriété intellectuelle passeraient simultanément au nouveau système, tandis qu</w:t>
      </w:r>
      <w:r w:rsidR="00D87FB0" w:rsidRPr="00242E09">
        <w:t>’</w:t>
      </w:r>
      <w:r w:rsidRPr="00242E09">
        <w:t>environ 40% préfèrent une approche progressive qui met l</w:t>
      </w:r>
      <w:r w:rsidR="00D87FB0" w:rsidRPr="00242E09">
        <w:t>’</w:t>
      </w:r>
      <w:r w:rsidRPr="00242E09">
        <w:t>accent sur la flexibilité et l</w:t>
      </w:r>
      <w:r w:rsidR="00D87FB0" w:rsidRPr="00242E09">
        <w:t>’</w:t>
      </w:r>
      <w:r w:rsidRPr="00242E09">
        <w:t>atténuation des risques.</w:t>
      </w:r>
    </w:p>
    <w:p w14:paraId="1137152C" w14:textId="506A3EA5" w:rsidR="00D87FB0" w:rsidRPr="00242E09" w:rsidRDefault="00325B29" w:rsidP="002D6D5B">
      <w:pPr>
        <w:pStyle w:val="ONUMFS"/>
      </w:pPr>
      <w:r w:rsidRPr="00242E09">
        <w:t>Étant donné que les délais de mise en œuvre de la norme ST.92 de l</w:t>
      </w:r>
      <w:r w:rsidR="00D87FB0" w:rsidRPr="00242E09">
        <w:t>’</w:t>
      </w:r>
      <w:r w:rsidRPr="00242E09">
        <w:t>OMPI varient du fait de facteurs tels que les priorités informatiques, la disponibilité des fonds et la nécessité d</w:t>
      </w:r>
      <w:r w:rsidR="00D87FB0" w:rsidRPr="00242E09">
        <w:t>’</w:t>
      </w:r>
      <w:r w:rsidRPr="00242E09">
        <w:t>apporter des modifications législatives ou administratives, il semble plus pratique que chaque office de propriété intellectuelle progresse à son propre ryth</w:t>
      </w:r>
      <w:r w:rsidR="00242E09" w:rsidRPr="00242E09">
        <w:t>me.  Si</w:t>
      </w:r>
      <w:r w:rsidR="00D87FB0" w:rsidRPr="00242E09">
        <w:t xml:space="preserve"> le CWS</w:t>
      </w:r>
      <w:r w:rsidRPr="00242E09">
        <w:t xml:space="preserve"> approuve la proposition de révision de la norme ST.92 de l</w:t>
      </w:r>
      <w:r w:rsidR="00D87FB0" w:rsidRPr="00242E09">
        <w:t>’</w:t>
      </w:r>
      <w:r w:rsidRPr="00242E09">
        <w:t>OMPI à la présente session, celle</w:t>
      </w:r>
      <w:r w:rsidR="002277F2">
        <w:noBreakHyphen/>
      </w:r>
      <w:r w:rsidRPr="00242E09">
        <w:t>ci devrait être pleinement mise en œuvre pour les trois</w:t>
      </w:r>
      <w:r w:rsidR="0001345E" w:rsidRPr="00242E09">
        <w:t> </w:t>
      </w:r>
      <w:r w:rsidRPr="00242E09">
        <w:t>types de droits de propriété intellectuelle (brevets, marques et dessins et modèles industriels) avant la date butoir conven</w:t>
      </w:r>
      <w:r w:rsidR="00242E09" w:rsidRPr="00242E09">
        <w:t>ue.  Pe</w:t>
      </w:r>
      <w:r w:rsidRPr="00242E09">
        <w:t>ndant la période de transition, le Service d</w:t>
      </w:r>
      <w:r w:rsidR="00D87FB0" w:rsidRPr="00242E09">
        <w:t>’</w:t>
      </w:r>
      <w:r w:rsidRPr="00242E09">
        <w:t>accès numérique de l</w:t>
      </w:r>
      <w:r w:rsidR="00D87FB0" w:rsidRPr="00242E09">
        <w:t>’</w:t>
      </w:r>
      <w:r w:rsidRPr="00242E09">
        <w:t>OMPI (DAS) servira d</w:t>
      </w:r>
      <w:r w:rsidR="00D87FB0" w:rsidRPr="00242E09">
        <w:t>’</w:t>
      </w:r>
      <w:r w:rsidRPr="00242E09">
        <w:t>intermédiaire pour faciliter l</w:t>
      </w:r>
      <w:r w:rsidR="00D87FB0" w:rsidRPr="00242E09">
        <w:t>’</w:t>
      </w:r>
      <w:r w:rsidRPr="00242E09">
        <w:t>échange de documents de priorité en fournissant des spécifications de format adaptées au stade de mise en œuvre de chaque office de propriété intellectuel</w:t>
      </w:r>
      <w:r w:rsidR="00242E09" w:rsidRPr="00242E09">
        <w:t>le.  Un</w:t>
      </w:r>
      <w:r w:rsidRPr="00242E09">
        <w:t xml:space="preserve"> résumé détaillé des résultats de l</w:t>
      </w:r>
      <w:r w:rsidR="00D87FB0" w:rsidRPr="00242E09">
        <w:t>’</w:t>
      </w:r>
      <w:r w:rsidRPr="00242E09">
        <w:t>enquête figure à l</w:t>
      </w:r>
      <w:r w:rsidR="00D87FB0" w:rsidRPr="00242E09">
        <w:t>’annexe I</w:t>
      </w:r>
      <w:r w:rsidRPr="00242E09">
        <w:t xml:space="preserve"> du présent document.</w:t>
      </w:r>
    </w:p>
    <w:p w14:paraId="44A5DCF4" w14:textId="366F772D" w:rsidR="00325B29" w:rsidRPr="00242E09" w:rsidRDefault="00325B29" w:rsidP="002D6D5B">
      <w:pPr>
        <w:pStyle w:val="Heading2"/>
      </w:pPr>
      <w:r w:rsidRPr="00242E09">
        <w:t>Proposition de révision de la norme ST.92 de l</w:t>
      </w:r>
      <w:r w:rsidR="00D87FB0" w:rsidRPr="00242E09">
        <w:t>’</w:t>
      </w:r>
      <w:r w:rsidRPr="00242E09">
        <w:t>OMPI</w:t>
      </w:r>
    </w:p>
    <w:p w14:paraId="2A1A520F" w14:textId="20EA19A7" w:rsidR="00325B29" w:rsidRPr="00242E09" w:rsidRDefault="00325B29" w:rsidP="002D6D5B">
      <w:pPr>
        <w:pStyle w:val="ONUMFS"/>
      </w:pPr>
      <w:r w:rsidRPr="00242E09">
        <w:t>Étant donné que de nombreux offices de propriété intellectuelle échangent des documents de priorité concernant les dessins et modèles industriels et les marques,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chargée de la transformation numérique a rédigé une révision de la norme ST.92 de l</w:t>
      </w:r>
      <w:r w:rsidR="00D87FB0" w:rsidRPr="00242E09">
        <w:t>’</w:t>
      </w:r>
      <w:r w:rsidRPr="00242E09">
        <w:t>O</w:t>
      </w:r>
      <w:r w:rsidR="00242E09" w:rsidRPr="00242E09">
        <w:t>MPI.  La</w:t>
      </w:r>
      <w:r w:rsidRPr="00242E09">
        <w:t xml:space="preserve"> révision comprend des recommandations concernant ces catégories supplémentaires de propriété intellectuelle.</w:t>
      </w:r>
    </w:p>
    <w:p w14:paraId="4ECAE5FC" w14:textId="0CD6C0EE" w:rsidR="00325B29" w:rsidRPr="00242E09" w:rsidRDefault="00325B29" w:rsidP="002D6D5B">
      <w:pPr>
        <w:pStyle w:val="ONUMFS"/>
      </w:pPr>
      <w:r w:rsidRPr="00242E09">
        <w:t>En prévision de la révision proposée,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chargée de la transformation numérique s</w:t>
      </w:r>
      <w:r w:rsidR="00D87FB0" w:rsidRPr="00242E09">
        <w:t>’</w:t>
      </w:r>
      <w:r w:rsidRPr="00242E09">
        <w:t>est réunie en ligne tous les deux</w:t>
      </w:r>
      <w:r w:rsidR="0001345E" w:rsidRPr="00242E09">
        <w:t> </w:t>
      </w:r>
      <w:r w:rsidRPr="00242E09">
        <w:t>mois depuis la dernière session</w:t>
      </w:r>
      <w:r w:rsidR="00D87FB0" w:rsidRPr="00242E09">
        <w:t xml:space="preserve"> du CWS</w:t>
      </w:r>
      <w:r w:rsidRPr="00242E09">
        <w:t xml:space="preserve"> et a mené des discussions sur son espace Wiki.  L</w:t>
      </w:r>
      <w:r w:rsidR="00D87FB0" w:rsidRPr="00242E09">
        <w:t>’</w:t>
      </w:r>
      <w:r w:rsidRPr="00242E09">
        <w:t>EUIPO a codirigé le processus de révision, en s</w:t>
      </w:r>
      <w:r w:rsidR="00D87FB0" w:rsidRPr="00242E09">
        <w:t>’</w:t>
      </w:r>
      <w:r w:rsidRPr="00242E09">
        <w:t>appuyant sur sa grande expérience dans l</w:t>
      </w:r>
      <w:r w:rsidR="00D87FB0" w:rsidRPr="00242E09">
        <w:t>’</w:t>
      </w:r>
      <w:r w:rsidRPr="00242E09">
        <w:t>échange de documents de priorité concernant les dessins et modèles industriels et les marqu</w:t>
      </w:r>
      <w:r w:rsidR="00242E09" w:rsidRPr="00242E09">
        <w:t>es.  De</w:t>
      </w:r>
      <w:r w:rsidRPr="00242E09">
        <w:t xml:space="preserve"> plus amples informations concernant les travaux de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 xml:space="preserve">experts depuis la dernière session du CWS sont présentées dans le </w:t>
      </w:r>
      <w:r w:rsidR="00D87FB0" w:rsidRPr="00242E09">
        <w:t>document CW</w:t>
      </w:r>
      <w:r w:rsidRPr="00242E09">
        <w:t>S/13/7.</w:t>
      </w:r>
    </w:p>
    <w:p w14:paraId="19E9F6E0" w14:textId="0C129690" w:rsidR="00D87FB0" w:rsidRPr="00242E09" w:rsidRDefault="00325B29" w:rsidP="002D6D5B">
      <w:pPr>
        <w:pStyle w:val="ONUMFS"/>
      </w:pPr>
      <w:r w:rsidRPr="00242E09">
        <w:t>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chargée de la transformation numérique propose ce projet de révision de la norme ST.92 de l</w:t>
      </w:r>
      <w:r w:rsidR="00D87FB0" w:rsidRPr="00242E09">
        <w:t>’</w:t>
      </w:r>
      <w:r w:rsidRPr="00242E09">
        <w:t>OMPI pour examen et approbation par</w:t>
      </w:r>
      <w:r w:rsidR="00D87FB0" w:rsidRPr="00242E09">
        <w:t xml:space="preserve"> le </w:t>
      </w:r>
      <w:r w:rsidR="00242E09" w:rsidRPr="00242E09">
        <w:t>CWS.  La</w:t>
      </w:r>
      <w:r w:rsidRPr="00242E09">
        <w:t xml:space="preserve"> proposition de révision de la norme ST.92 de l</w:t>
      </w:r>
      <w:r w:rsidR="00D87FB0" w:rsidRPr="00242E09">
        <w:t>’</w:t>
      </w:r>
      <w:r w:rsidRPr="00242E09">
        <w:t>OMPI est reproduite à l</w:t>
      </w:r>
      <w:r w:rsidR="00D87FB0" w:rsidRPr="00242E09">
        <w:t>’</w:t>
      </w:r>
      <w:r w:rsidRPr="00242E09">
        <w:t>annexe II du présent document, où le texte biffé indique une suppression et le texte souligné indique un ajo</w:t>
      </w:r>
      <w:r w:rsidR="00242E09" w:rsidRPr="00242E09">
        <w:t>ut.  L’a</w:t>
      </w:r>
      <w:r w:rsidRPr="00242E09">
        <w:t>nnexe III du présent document contient le schéma XML mis à jo</w:t>
      </w:r>
      <w:r w:rsidR="00242E09" w:rsidRPr="00242E09">
        <w:t>ur.  Le</w:t>
      </w:r>
      <w:r w:rsidRPr="00242E09">
        <w:t>s annexes IV, V et VI du présent document contiennent les instances XML relatives aux brevets, aux dessins et modèles industriels et aux marques, respectivement.</w:t>
      </w:r>
    </w:p>
    <w:p w14:paraId="050B880B" w14:textId="49DCEB0B" w:rsidR="00325B29" w:rsidRPr="00242E09" w:rsidRDefault="00325B29" w:rsidP="002D6D5B">
      <w:pPr>
        <w:pStyle w:val="ONUMFS"/>
      </w:pPr>
      <w:r w:rsidRPr="00242E09">
        <w:t>Les propositions de modification de la norme ST.92 convenues par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peuvent être résumées comme suit</w:t>
      </w:r>
      <w:r w:rsidR="00D87FB0" w:rsidRPr="00242E09">
        <w:t> :</w:t>
      </w:r>
    </w:p>
    <w:p w14:paraId="266EC359" w14:textId="04555CE0" w:rsidR="00325B29" w:rsidRPr="00242E09" w:rsidRDefault="002D6D5B" w:rsidP="002D6D5B">
      <w:pPr>
        <w:pStyle w:val="ONUMFS"/>
        <w:numPr>
          <w:ilvl w:val="1"/>
          <w:numId w:val="6"/>
        </w:numPr>
      </w:pPr>
      <w:proofErr w:type="gramStart"/>
      <w:r w:rsidRPr="00242E09">
        <w:t>a</w:t>
      </w:r>
      <w:r w:rsidR="00325B29" w:rsidRPr="00242E09">
        <w:t>jout</w:t>
      </w:r>
      <w:proofErr w:type="gramEnd"/>
      <w:r w:rsidR="00325B29" w:rsidRPr="00242E09">
        <w:t xml:space="preserve"> de descriptions et d</w:t>
      </w:r>
      <w:r w:rsidR="00D87FB0" w:rsidRPr="00242E09">
        <w:t>’</w:t>
      </w:r>
      <w:r w:rsidR="00325B29" w:rsidRPr="00242E09">
        <w:t xml:space="preserve">exemples pour les documents de priorité concernant les dessins et modèles industriels et les </w:t>
      </w:r>
      <w:proofErr w:type="gramStart"/>
      <w:r w:rsidR="00325B29" w:rsidRPr="00242E09">
        <w:t>marques;</w:t>
      </w:r>
      <w:proofErr w:type="gramEnd"/>
    </w:p>
    <w:p w14:paraId="0248ED66" w14:textId="668A2972" w:rsidR="00325B29" w:rsidRPr="00242E09" w:rsidRDefault="002D6D5B" w:rsidP="002D6D5B">
      <w:pPr>
        <w:pStyle w:val="ONUMFS"/>
        <w:numPr>
          <w:ilvl w:val="1"/>
          <w:numId w:val="6"/>
        </w:numPr>
      </w:pPr>
      <w:proofErr w:type="gramStart"/>
      <w:r w:rsidRPr="00242E09">
        <w:t>i</w:t>
      </w:r>
      <w:r w:rsidR="00325B29" w:rsidRPr="00242E09">
        <w:t>nclusion</w:t>
      </w:r>
      <w:proofErr w:type="gramEnd"/>
      <w:r w:rsidR="00325B29" w:rsidRPr="00242E09">
        <w:t xml:space="preserve"> de dossiers d</w:t>
      </w:r>
      <w:r w:rsidR="00D87FB0" w:rsidRPr="00242E09">
        <w:t>’</w:t>
      </w:r>
      <w:r w:rsidR="00325B29" w:rsidRPr="00242E09">
        <w:t xml:space="preserve">artefacts obligatoires et supplémentaires pour les dessins industriels et les </w:t>
      </w:r>
      <w:proofErr w:type="gramStart"/>
      <w:r w:rsidR="00325B29" w:rsidRPr="00242E09">
        <w:t>marques;</w:t>
      </w:r>
      <w:proofErr w:type="gramEnd"/>
    </w:p>
    <w:p w14:paraId="42C82125" w14:textId="045FC30D" w:rsidR="00325B29" w:rsidRPr="00242E09" w:rsidRDefault="002D6D5B" w:rsidP="002D6D5B">
      <w:pPr>
        <w:pStyle w:val="ONUMFS"/>
        <w:numPr>
          <w:ilvl w:val="1"/>
          <w:numId w:val="6"/>
        </w:numPr>
      </w:pPr>
      <w:proofErr w:type="gramStart"/>
      <w:r w:rsidRPr="00242E09">
        <w:t>d</w:t>
      </w:r>
      <w:r w:rsidR="00325B29" w:rsidRPr="00242E09">
        <w:t>éfinition</w:t>
      </w:r>
      <w:proofErr w:type="gramEnd"/>
      <w:r w:rsidR="00325B29" w:rsidRPr="00242E09">
        <w:t xml:space="preserve"> des conventions de nommage et d</w:t>
      </w:r>
      <w:r w:rsidR="00D87FB0" w:rsidRPr="00242E09">
        <w:t>’</w:t>
      </w:r>
      <w:r w:rsidR="00325B29" w:rsidRPr="00242E09">
        <w:t xml:space="preserve">identification des documents pour les dessins et modèles industriels et les </w:t>
      </w:r>
      <w:proofErr w:type="gramStart"/>
      <w:r w:rsidR="00325B29" w:rsidRPr="00242E09">
        <w:t>marques;</w:t>
      </w:r>
      <w:proofErr w:type="gramEnd"/>
    </w:p>
    <w:p w14:paraId="12AC600A" w14:textId="2E2C7DBE" w:rsidR="00325B29" w:rsidRPr="00242E09" w:rsidRDefault="002D6D5B" w:rsidP="002D6D5B">
      <w:pPr>
        <w:pStyle w:val="ONUMFS"/>
        <w:numPr>
          <w:ilvl w:val="1"/>
          <w:numId w:val="6"/>
        </w:numPr>
      </w:pPr>
      <w:proofErr w:type="gramStart"/>
      <w:r w:rsidRPr="00242E09">
        <w:t>r</w:t>
      </w:r>
      <w:r w:rsidR="00325B29" w:rsidRPr="00242E09">
        <w:t>évision</w:t>
      </w:r>
      <w:proofErr w:type="gramEnd"/>
      <w:r w:rsidR="00325B29" w:rsidRPr="00242E09">
        <w:t xml:space="preserve"> de l</w:t>
      </w:r>
      <w:r w:rsidR="00D87FB0" w:rsidRPr="00242E09">
        <w:t>’annexe I :</w:t>
      </w:r>
      <w:r w:rsidR="00325B29" w:rsidRPr="00242E09">
        <w:t xml:space="preserve"> “Définition du schéma XML (XSD) pour l</w:t>
      </w:r>
      <w:r w:rsidR="00D87FB0" w:rsidRPr="00242E09">
        <w:t>’</w:t>
      </w:r>
      <w:r w:rsidR="00325B29" w:rsidRPr="00242E09">
        <w:t>index d</w:t>
      </w:r>
      <w:r w:rsidR="00D87FB0" w:rsidRPr="00242E09">
        <w:t>’</w:t>
      </w:r>
      <w:r w:rsidR="00325B29" w:rsidRPr="00242E09">
        <w:t>un document de priorité au format XML”, afin d</w:t>
      </w:r>
      <w:r w:rsidR="00D87FB0" w:rsidRPr="00242E09">
        <w:t>’</w:t>
      </w:r>
      <w:r w:rsidR="00325B29" w:rsidRPr="00242E09">
        <w:t xml:space="preserve">inclure les dessins et modèles industriels et les </w:t>
      </w:r>
      <w:proofErr w:type="gramStart"/>
      <w:r w:rsidR="00325B29" w:rsidRPr="00242E09">
        <w:t>marques;</w:t>
      </w:r>
      <w:proofErr w:type="gramEnd"/>
    </w:p>
    <w:p w14:paraId="79ED10B5" w14:textId="04331EAA" w:rsidR="00325B29" w:rsidRPr="00242E09" w:rsidRDefault="002D6D5B" w:rsidP="002D6D5B">
      <w:pPr>
        <w:pStyle w:val="ONUMFS"/>
        <w:numPr>
          <w:ilvl w:val="1"/>
          <w:numId w:val="6"/>
        </w:numPr>
      </w:pPr>
      <w:proofErr w:type="gramStart"/>
      <w:r w:rsidRPr="00242E09">
        <w:t>r</w:t>
      </w:r>
      <w:r w:rsidR="00325B29" w:rsidRPr="00242E09">
        <w:t>enommage</w:t>
      </w:r>
      <w:proofErr w:type="gramEnd"/>
      <w:r w:rsidR="00325B29" w:rsidRPr="00242E09">
        <w:t xml:space="preserve"> de l</w:t>
      </w:r>
      <w:r w:rsidR="00D87FB0" w:rsidRPr="00242E09">
        <w:t>’</w:t>
      </w:r>
      <w:r w:rsidR="00325B29" w:rsidRPr="00242E09">
        <w:t>appendice de l</w:t>
      </w:r>
      <w:r w:rsidR="00D87FB0" w:rsidRPr="00242E09">
        <w:t>’annexe I</w:t>
      </w:r>
      <w:r w:rsidR="00325B29" w:rsidRPr="00242E09">
        <w:t xml:space="preserve"> et de son </w:t>
      </w:r>
      <w:proofErr w:type="gramStart"/>
      <w:r w:rsidR="00325B29" w:rsidRPr="00242E09">
        <w:t>titre;</w:t>
      </w:r>
      <w:proofErr w:type="gramEnd"/>
    </w:p>
    <w:p w14:paraId="16A6EEFC" w14:textId="76341401" w:rsidR="00325B29" w:rsidRPr="00242E09" w:rsidRDefault="002D6D5B" w:rsidP="002D6D5B">
      <w:pPr>
        <w:pStyle w:val="ONUMFS"/>
        <w:numPr>
          <w:ilvl w:val="1"/>
          <w:numId w:val="6"/>
        </w:numPr>
      </w:pPr>
      <w:proofErr w:type="gramStart"/>
      <w:r w:rsidRPr="00242E09">
        <w:t>a</w:t>
      </w:r>
      <w:r w:rsidR="00325B29" w:rsidRPr="00242E09">
        <w:t>jout</w:t>
      </w:r>
      <w:proofErr w:type="gramEnd"/>
      <w:r w:rsidR="00325B29" w:rsidRPr="00242E09">
        <w:t xml:space="preserve"> de l</w:t>
      </w:r>
      <w:r w:rsidR="00D87FB0" w:rsidRPr="00242E09">
        <w:t>’</w:t>
      </w:r>
      <w:r w:rsidR="00325B29" w:rsidRPr="00242E09">
        <w:t>appendice B à l</w:t>
      </w:r>
      <w:r w:rsidR="00D87FB0" w:rsidRPr="00242E09">
        <w:t>’annexe I</w:t>
      </w:r>
      <w:r w:rsidR="00325B29" w:rsidRPr="00242E09">
        <w:t xml:space="preserve"> – Exemple d</w:t>
      </w:r>
      <w:r w:rsidR="00D87FB0" w:rsidRPr="00242E09">
        <w:t>’</w:t>
      </w:r>
      <w:r w:rsidR="00325B29" w:rsidRPr="00242E09">
        <w:t>instance XML d</w:t>
      </w:r>
      <w:r w:rsidR="00D87FB0" w:rsidRPr="00242E09">
        <w:t>’</w:t>
      </w:r>
      <w:r w:rsidR="00325B29" w:rsidRPr="00242E09">
        <w:t>index d</w:t>
      </w:r>
      <w:r w:rsidR="00D87FB0" w:rsidRPr="00242E09">
        <w:t>’</w:t>
      </w:r>
      <w:r w:rsidR="00325B29" w:rsidRPr="00242E09">
        <w:t xml:space="preserve">un PDDP pour des dessins et modèles </w:t>
      </w:r>
      <w:proofErr w:type="gramStart"/>
      <w:r w:rsidR="00325B29" w:rsidRPr="00242E09">
        <w:t>industriels;</w:t>
      </w:r>
      <w:proofErr w:type="gramEnd"/>
    </w:p>
    <w:p w14:paraId="1D2AFD82" w14:textId="245119D5" w:rsidR="00325B29" w:rsidRPr="00242E09" w:rsidRDefault="002D6D5B" w:rsidP="002D6D5B">
      <w:pPr>
        <w:pStyle w:val="ONUMFS"/>
        <w:numPr>
          <w:ilvl w:val="1"/>
          <w:numId w:val="6"/>
        </w:numPr>
      </w:pPr>
      <w:proofErr w:type="gramStart"/>
      <w:r w:rsidRPr="00242E09">
        <w:t>a</w:t>
      </w:r>
      <w:r w:rsidR="00325B29" w:rsidRPr="00242E09">
        <w:t>jout</w:t>
      </w:r>
      <w:proofErr w:type="gramEnd"/>
      <w:r w:rsidR="00325B29" w:rsidRPr="00242E09">
        <w:t xml:space="preserve"> de l</w:t>
      </w:r>
      <w:r w:rsidR="00D87FB0" w:rsidRPr="00242E09">
        <w:t>’</w:t>
      </w:r>
      <w:r w:rsidR="00325B29" w:rsidRPr="00242E09">
        <w:t>appendice C à l</w:t>
      </w:r>
      <w:r w:rsidR="00D87FB0" w:rsidRPr="00242E09">
        <w:t>’annexe I</w:t>
      </w:r>
      <w:r w:rsidR="00325B29" w:rsidRPr="00242E09">
        <w:t xml:space="preserve"> – Exemple d</w:t>
      </w:r>
      <w:r w:rsidR="00D87FB0" w:rsidRPr="00242E09">
        <w:t>’</w:t>
      </w:r>
      <w:r w:rsidR="00325B29" w:rsidRPr="00242E09">
        <w:t>instance XML d</w:t>
      </w:r>
      <w:r w:rsidR="00D87FB0" w:rsidRPr="00242E09">
        <w:t>’</w:t>
      </w:r>
      <w:r w:rsidR="00325B29" w:rsidRPr="00242E09">
        <w:t>index d</w:t>
      </w:r>
      <w:r w:rsidR="00D87FB0" w:rsidRPr="00242E09">
        <w:t>’</w:t>
      </w:r>
      <w:r w:rsidR="00325B29" w:rsidRPr="00242E09">
        <w:t xml:space="preserve">un PDDP pour des </w:t>
      </w:r>
      <w:proofErr w:type="gramStart"/>
      <w:r w:rsidR="00325B29" w:rsidRPr="00242E09">
        <w:t>marques;</w:t>
      </w:r>
      <w:proofErr w:type="gramEnd"/>
    </w:p>
    <w:p w14:paraId="154C3467" w14:textId="6DF8E72C" w:rsidR="00325B29" w:rsidRPr="00242E09" w:rsidRDefault="002D6D5B" w:rsidP="002D6D5B">
      <w:pPr>
        <w:pStyle w:val="ONUMFS"/>
        <w:numPr>
          <w:ilvl w:val="1"/>
          <w:numId w:val="6"/>
        </w:numPr>
      </w:pPr>
      <w:proofErr w:type="gramStart"/>
      <w:r w:rsidRPr="00242E09">
        <w:t>r</w:t>
      </w:r>
      <w:r w:rsidR="00325B29" w:rsidRPr="00242E09">
        <w:t>enommage</w:t>
      </w:r>
      <w:proofErr w:type="gramEnd"/>
      <w:r w:rsidR="00325B29" w:rsidRPr="00242E09">
        <w:t xml:space="preserve"> de l</w:t>
      </w:r>
      <w:r w:rsidR="00D87FB0" w:rsidRPr="00242E09">
        <w:t>’</w:t>
      </w:r>
      <w:r w:rsidR="00325B29" w:rsidRPr="00242E09">
        <w:t>appendice de l</w:t>
      </w:r>
      <w:r w:rsidR="00D87FB0" w:rsidRPr="00242E09">
        <w:t>’</w:t>
      </w:r>
      <w:r w:rsidR="00325B29" w:rsidRPr="00242E09">
        <w:t xml:space="preserve">annexe II et de son </w:t>
      </w:r>
      <w:proofErr w:type="gramStart"/>
      <w:r w:rsidR="00325B29" w:rsidRPr="00242E09">
        <w:t>titre;</w:t>
      </w:r>
      <w:proofErr w:type="gramEnd"/>
    </w:p>
    <w:p w14:paraId="27831488" w14:textId="59BD7646" w:rsidR="00325B29" w:rsidRPr="00242E09" w:rsidRDefault="002D6D5B" w:rsidP="002D6D5B">
      <w:pPr>
        <w:pStyle w:val="ONUMFS"/>
        <w:numPr>
          <w:ilvl w:val="1"/>
          <w:numId w:val="6"/>
        </w:numPr>
      </w:pPr>
      <w:proofErr w:type="gramStart"/>
      <w:r w:rsidRPr="00242E09">
        <w:t>a</w:t>
      </w:r>
      <w:r w:rsidR="00325B29" w:rsidRPr="00242E09">
        <w:t>jout</w:t>
      </w:r>
      <w:proofErr w:type="gramEnd"/>
      <w:r w:rsidR="00325B29" w:rsidRPr="00242E09">
        <w:t xml:space="preserve"> de l</w:t>
      </w:r>
      <w:r w:rsidR="00D87FB0" w:rsidRPr="00242E09">
        <w:t>’</w:t>
      </w:r>
      <w:r w:rsidR="00325B29" w:rsidRPr="00242E09">
        <w:t>appendice B à l</w:t>
      </w:r>
      <w:r w:rsidR="00D87FB0" w:rsidRPr="00242E09">
        <w:t>’</w:t>
      </w:r>
      <w:r w:rsidR="00325B29" w:rsidRPr="00242E09">
        <w:t xml:space="preserve">annexe II – Exemple de PDDP pour des dessins et modèles industriels sous forme de </w:t>
      </w:r>
      <w:proofErr w:type="gramStart"/>
      <w:r w:rsidR="00325B29" w:rsidRPr="00242E09">
        <w:t>tableau;</w:t>
      </w:r>
      <w:proofErr w:type="gramEnd"/>
    </w:p>
    <w:p w14:paraId="6AB77953" w14:textId="24DBE3AA" w:rsidR="00325B29" w:rsidRPr="00242E09" w:rsidRDefault="002D6D5B" w:rsidP="002D6D5B">
      <w:pPr>
        <w:pStyle w:val="ONUMFS"/>
        <w:numPr>
          <w:ilvl w:val="1"/>
          <w:numId w:val="6"/>
        </w:numPr>
      </w:pPr>
      <w:proofErr w:type="gramStart"/>
      <w:r w:rsidRPr="00242E09">
        <w:t>a</w:t>
      </w:r>
      <w:r w:rsidR="00325B29" w:rsidRPr="00242E09">
        <w:t>jout</w:t>
      </w:r>
      <w:proofErr w:type="gramEnd"/>
      <w:r w:rsidR="00325B29" w:rsidRPr="00242E09">
        <w:t xml:space="preserve"> de l</w:t>
      </w:r>
      <w:r w:rsidR="00D87FB0" w:rsidRPr="00242E09">
        <w:t>’</w:t>
      </w:r>
      <w:r w:rsidR="00325B29" w:rsidRPr="00242E09">
        <w:t>appendice C à l</w:t>
      </w:r>
      <w:r w:rsidR="00D87FB0" w:rsidRPr="00242E09">
        <w:t>’</w:t>
      </w:r>
      <w:r w:rsidR="00325B29" w:rsidRPr="00242E09">
        <w:t xml:space="preserve">annexe II – Exemple de PDDP pour des marques sous forme de </w:t>
      </w:r>
      <w:proofErr w:type="gramStart"/>
      <w:r w:rsidR="00325B29" w:rsidRPr="00242E09">
        <w:t xml:space="preserve">tableau; </w:t>
      </w:r>
      <w:r w:rsidR="0001345E" w:rsidRPr="00242E09">
        <w:t xml:space="preserve"> </w:t>
      </w:r>
      <w:r w:rsidR="00325B29" w:rsidRPr="00242E09">
        <w:t>et</w:t>
      </w:r>
      <w:proofErr w:type="gramEnd"/>
    </w:p>
    <w:p w14:paraId="1BB64FC7" w14:textId="77777777" w:rsidR="00325B29" w:rsidRPr="00242E09" w:rsidRDefault="00325B29" w:rsidP="002D6D5B">
      <w:pPr>
        <w:pStyle w:val="ONUMFS"/>
        <w:numPr>
          <w:ilvl w:val="1"/>
          <w:numId w:val="6"/>
        </w:numPr>
      </w:pPr>
      <w:proofErr w:type="gramStart"/>
      <w:r w:rsidRPr="00242E09">
        <w:t>modifications</w:t>
      </w:r>
      <w:proofErr w:type="gramEnd"/>
      <w:r w:rsidRPr="00242E09">
        <w:t xml:space="preserve"> rédactionnelles et corrections grammaticales mineures.</w:t>
      </w:r>
    </w:p>
    <w:p w14:paraId="3C1F4AFA" w14:textId="604425CB" w:rsidR="00325B29" w:rsidRPr="00242E09" w:rsidRDefault="00325B29" w:rsidP="002D6D5B">
      <w:pPr>
        <w:pStyle w:val="ONUMFS"/>
      </w:pPr>
      <w:r w:rsidRPr="00242E09">
        <w:t>Outre les modifications décrites au paragraphe 17, le Secrétariat et le responsable de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proposent les révisions supplémentaires ci</w:t>
      </w:r>
      <w:r w:rsidR="002277F2">
        <w:noBreakHyphen/>
      </w:r>
      <w:r w:rsidRPr="00242E09">
        <w:t>après de la norme ST.92 de l</w:t>
      </w:r>
      <w:r w:rsidR="00D87FB0" w:rsidRPr="00242E09">
        <w:t>’</w:t>
      </w:r>
      <w:r w:rsidRPr="00242E09">
        <w:t>OMPI</w:t>
      </w:r>
      <w:r w:rsidR="00D87FB0" w:rsidRPr="00242E09">
        <w:t> :</w:t>
      </w:r>
    </w:p>
    <w:p w14:paraId="178C2FD1" w14:textId="47FD5A4F" w:rsidR="00325B29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s</w:t>
      </w:r>
      <w:r w:rsidR="00325B29" w:rsidRPr="00242E09">
        <w:t>uppression</w:t>
      </w:r>
      <w:proofErr w:type="gramEnd"/>
      <w:r w:rsidR="00325B29" w:rsidRPr="00242E09">
        <w:t xml:space="preserve"> des notes de diffusion et remplacement par une documentation intégrée dans le schéma XSD à l</w:t>
      </w:r>
      <w:r w:rsidR="00D87FB0" w:rsidRPr="00242E09">
        <w:t>’annexe I</w:t>
      </w:r>
      <w:r w:rsidR="00325B29" w:rsidRPr="00242E09">
        <w:t xml:space="preserve"> de la </w:t>
      </w:r>
      <w:proofErr w:type="gramStart"/>
      <w:r w:rsidR="00325B29" w:rsidRPr="00242E09">
        <w:t>norme;</w:t>
      </w:r>
      <w:proofErr w:type="gramEnd"/>
    </w:p>
    <w:p w14:paraId="781313FA" w14:textId="6B7EE5A8" w:rsidR="00325B29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r</w:t>
      </w:r>
      <w:r w:rsidR="00325B29" w:rsidRPr="00242E09">
        <w:t>emplacement</w:t>
      </w:r>
      <w:proofErr w:type="gramEnd"/>
      <w:r w:rsidR="00325B29" w:rsidRPr="00242E09">
        <w:t xml:space="preserve"> du terme “dessin ou modèle industriel” par “dessin ou modèle” dans tous les noms de composantes liés au dessin ou modèle du schéma, afin d</w:t>
      </w:r>
      <w:r w:rsidR="00D87FB0" w:rsidRPr="00242E09">
        <w:t>’</w:t>
      </w:r>
      <w:r w:rsidR="00325B29" w:rsidRPr="00242E09">
        <w:t xml:space="preserve">assurer la cohérence avec la norme ST.96 de </w:t>
      </w:r>
      <w:proofErr w:type="gramStart"/>
      <w:r w:rsidR="00325B29" w:rsidRPr="00242E09">
        <w:t>l</w:t>
      </w:r>
      <w:r w:rsidR="00D87FB0" w:rsidRPr="00242E09">
        <w:t>’</w:t>
      </w:r>
      <w:r w:rsidR="00325B29" w:rsidRPr="00242E09">
        <w:t>OMPI;</w:t>
      </w:r>
      <w:proofErr w:type="gramEnd"/>
    </w:p>
    <w:p w14:paraId="0EF260B9" w14:textId="65152584" w:rsidR="00325B29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r</w:t>
      </w:r>
      <w:r w:rsidR="00325B29" w:rsidRPr="00242E09">
        <w:t>enommage</w:t>
      </w:r>
      <w:proofErr w:type="gramEnd"/>
      <w:r w:rsidR="00325B29" w:rsidRPr="00242E09">
        <w:t xml:space="preserve"> de l</w:t>
      </w:r>
      <w:r w:rsidR="00D87FB0" w:rsidRPr="00242E09">
        <w:t>’</w:t>
      </w:r>
      <w:r w:rsidR="00325B29" w:rsidRPr="00242E09">
        <w:t xml:space="preserve">élément </w:t>
      </w:r>
      <w:proofErr w:type="spellStart"/>
      <w:proofErr w:type="gramStart"/>
      <w:r w:rsidR="00325B29" w:rsidRPr="00242E09">
        <w:rPr>
          <w:rFonts w:ascii="Courier New" w:hAnsi="Courier New"/>
        </w:rPr>
        <w:t>pde:IPTypeCategory</w:t>
      </w:r>
      <w:proofErr w:type="spellEnd"/>
      <w:proofErr w:type="gramEnd"/>
      <w:r w:rsidR="00325B29" w:rsidRPr="00242E09">
        <w:t xml:space="preserve"> en </w:t>
      </w:r>
      <w:proofErr w:type="spellStart"/>
      <w:proofErr w:type="gramStart"/>
      <w:r w:rsidR="00325B29" w:rsidRPr="00242E09">
        <w:rPr>
          <w:rFonts w:ascii="Courier New" w:hAnsi="Courier New"/>
        </w:rPr>
        <w:t>pde:IPRightKindCategory</w:t>
      </w:r>
      <w:proofErr w:type="spellEnd"/>
      <w:proofErr w:type="gramEnd"/>
      <w:r w:rsidR="00325B29" w:rsidRPr="00242E09">
        <w:t xml:space="preserve">, conformément à la terminologie utilisée dans la norme ST.96 de </w:t>
      </w:r>
      <w:proofErr w:type="gramStart"/>
      <w:r w:rsidR="00325B29" w:rsidRPr="00242E09">
        <w:t>l</w:t>
      </w:r>
      <w:r w:rsidR="00D87FB0" w:rsidRPr="00242E09">
        <w:t>’</w:t>
      </w:r>
      <w:r w:rsidR="00325B29" w:rsidRPr="00242E09">
        <w:t>OMPI;</w:t>
      </w:r>
      <w:proofErr w:type="gramEnd"/>
    </w:p>
    <w:p w14:paraId="03755946" w14:textId="127E3CDD" w:rsidR="00325B29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u</w:t>
      </w:r>
      <w:r w:rsidR="00325B29" w:rsidRPr="00242E09">
        <w:t>tilisation</w:t>
      </w:r>
      <w:proofErr w:type="gramEnd"/>
      <w:r w:rsidR="00325B29" w:rsidRPr="00242E09">
        <w:t xml:space="preserve"> des éléments </w:t>
      </w:r>
      <w:proofErr w:type="spellStart"/>
      <w:proofErr w:type="gramStart"/>
      <w:r w:rsidR="00325B29" w:rsidRPr="00242E09">
        <w:rPr>
          <w:rFonts w:ascii="Courier New" w:hAnsi="Courier New"/>
        </w:rPr>
        <w:t>dgn:AllDesignsIndicator</w:t>
      </w:r>
      <w:proofErr w:type="spellEnd"/>
      <w:proofErr w:type="gramEnd"/>
      <w:r w:rsidR="00325B29" w:rsidRPr="00242E09">
        <w:t xml:space="preserve"> et </w:t>
      </w:r>
      <w:proofErr w:type="spellStart"/>
      <w:proofErr w:type="gramStart"/>
      <w:r w:rsidR="00325B29" w:rsidRPr="00242E09">
        <w:rPr>
          <w:rFonts w:ascii="Courier New" w:hAnsi="Courier New"/>
        </w:rPr>
        <w:t>dgn:DesignIdentifierBag</w:t>
      </w:r>
      <w:proofErr w:type="spellEnd"/>
      <w:proofErr w:type="gramEnd"/>
      <w:r w:rsidR="00325B29" w:rsidRPr="00242E09">
        <w:t xml:space="preserve"> de l</w:t>
      </w:r>
      <w:r w:rsidR="00D87FB0" w:rsidRPr="00242E09">
        <w:t>’</w:t>
      </w:r>
      <w:r w:rsidR="00325B29" w:rsidRPr="00242E09">
        <w:t>espace de nommage des dessins et modèles de la norme ST.96</w:t>
      </w:r>
      <w:r w:rsidR="002A392F">
        <w:t xml:space="preserve"> </w:t>
      </w:r>
      <w:r w:rsidR="002A392F" w:rsidRPr="00242E09">
        <w:t xml:space="preserve">de </w:t>
      </w:r>
      <w:proofErr w:type="gramStart"/>
      <w:r w:rsidR="002A392F" w:rsidRPr="00242E09">
        <w:t>l’OMPI</w:t>
      </w:r>
      <w:r w:rsidR="00325B29" w:rsidRPr="00242E09">
        <w:t>;</w:t>
      </w:r>
      <w:proofErr w:type="gramEnd"/>
    </w:p>
    <w:p w14:paraId="47EE9185" w14:textId="210CBA4B" w:rsidR="00325B29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a</w:t>
      </w:r>
      <w:r w:rsidR="00325B29" w:rsidRPr="00242E09">
        <w:t>mélioration</w:t>
      </w:r>
      <w:proofErr w:type="gramEnd"/>
      <w:r w:rsidR="00325B29" w:rsidRPr="00242E09">
        <w:t xml:space="preserve"> et clarification des descriptions de plusieurs composantes dans</w:t>
      </w:r>
      <w:r w:rsidR="00D87FB0" w:rsidRPr="00242E09">
        <w:t xml:space="preserve"> le </w:t>
      </w:r>
      <w:proofErr w:type="gramStart"/>
      <w:r w:rsidR="00D87FB0" w:rsidRPr="00242E09">
        <w:t>XSD</w:t>
      </w:r>
      <w:r w:rsidR="00325B29" w:rsidRPr="00242E09">
        <w:t>;</w:t>
      </w:r>
      <w:proofErr w:type="gramEnd"/>
    </w:p>
    <w:p w14:paraId="265172E9" w14:textId="2E63B1ED" w:rsidR="00325B29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a</w:t>
      </w:r>
      <w:r w:rsidR="00325B29" w:rsidRPr="00242E09">
        <w:t>jout</w:t>
      </w:r>
      <w:proofErr w:type="gramEnd"/>
      <w:r w:rsidR="00325B29" w:rsidRPr="00242E09">
        <w:t xml:space="preserve"> de </w:t>
      </w:r>
      <w:proofErr w:type="spellStart"/>
      <w:r w:rsidR="007E6DC5" w:rsidRPr="00744337">
        <w:rPr>
          <w:rFonts w:ascii="Courier New" w:hAnsi="Courier New" w:cs="Courier New"/>
        </w:rPr>
        <w:t>ArchiveFormatCategoryType</w:t>
      </w:r>
      <w:proofErr w:type="spellEnd"/>
      <w:r w:rsidR="007E6DC5" w:rsidRPr="000D139F">
        <w:t xml:space="preserve"> sous l’espace de nommage </w:t>
      </w:r>
      <w:r w:rsidR="00D33EB7">
        <w:t>“</w:t>
      </w:r>
      <w:proofErr w:type="spellStart"/>
      <w:r w:rsidR="00D33EB7" w:rsidRPr="000D139F">
        <w:t>pde</w:t>
      </w:r>
      <w:proofErr w:type="spellEnd"/>
      <w:r w:rsidR="00D33EB7" w:rsidRPr="000D139F">
        <w:t>”</w:t>
      </w:r>
      <w:r w:rsidR="007E6DC5" w:rsidRPr="000D139F">
        <w:t xml:space="preserve"> </w:t>
      </w:r>
      <w:r w:rsidR="00D33EB7" w:rsidRPr="000D139F">
        <w:t>avec deux</w:t>
      </w:r>
      <w:r w:rsidR="00325B29" w:rsidRPr="000D139F">
        <w:t xml:space="preserve"> valeur</w:t>
      </w:r>
      <w:r w:rsidR="00D33EB7" w:rsidRPr="000D139F">
        <w:t>s</w:t>
      </w:r>
      <w:r w:rsidR="00325B29" w:rsidRPr="000D139F">
        <w:t xml:space="preserve"> d</w:t>
      </w:r>
      <w:r w:rsidR="00D87FB0" w:rsidRPr="000D139F">
        <w:t>’</w:t>
      </w:r>
      <w:r w:rsidR="00325B29" w:rsidRPr="000D139F">
        <w:t>énum</w:t>
      </w:r>
      <w:r w:rsidR="00325B29" w:rsidRPr="00242E09">
        <w:t xml:space="preserve">ération </w:t>
      </w:r>
      <w:r w:rsidR="00D33EB7" w:rsidRPr="00242E09">
        <w:t>“ZIP”</w:t>
      </w:r>
      <w:r w:rsidR="00D33EB7">
        <w:t xml:space="preserve"> et </w:t>
      </w:r>
      <w:r w:rsidR="00D33EB7" w:rsidRPr="00242E09">
        <w:t>“</w:t>
      </w:r>
      <w:r w:rsidR="00D33EB7">
        <w:t>TAR</w:t>
      </w:r>
      <w:proofErr w:type="gramStart"/>
      <w:r w:rsidR="00D33EB7" w:rsidRPr="00242E09">
        <w:t>”</w:t>
      </w:r>
      <w:r w:rsidR="00325B29" w:rsidRPr="00242E09">
        <w:t>;</w:t>
      </w:r>
      <w:proofErr w:type="gramEnd"/>
    </w:p>
    <w:p w14:paraId="1DB21516" w14:textId="666DFBBB" w:rsidR="00325B29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r</w:t>
      </w:r>
      <w:r w:rsidR="00325B29" w:rsidRPr="00242E09">
        <w:t>emplacement</w:t>
      </w:r>
      <w:proofErr w:type="gramEnd"/>
      <w:r w:rsidR="00325B29" w:rsidRPr="00242E09">
        <w:t xml:space="preserve"> du type </w:t>
      </w:r>
      <w:proofErr w:type="spellStart"/>
      <w:proofErr w:type="gramStart"/>
      <w:r w:rsidR="00325B29" w:rsidRPr="00242E09">
        <w:rPr>
          <w:rFonts w:ascii="Courier New" w:hAnsi="Courier New"/>
        </w:rPr>
        <w:t>pde:DocumentFormatCategoryType</w:t>
      </w:r>
      <w:proofErr w:type="spellEnd"/>
      <w:proofErr w:type="gramEnd"/>
      <w:r w:rsidR="00325B29" w:rsidRPr="00242E09">
        <w:t xml:space="preserve"> par le nouveau type </w:t>
      </w:r>
      <w:proofErr w:type="spellStart"/>
      <w:proofErr w:type="gramStart"/>
      <w:r w:rsidR="00325B29" w:rsidRPr="00242E09">
        <w:rPr>
          <w:rFonts w:ascii="Courier New" w:hAnsi="Courier New"/>
        </w:rPr>
        <w:t>pde:DocumentFileFormatCategoryType</w:t>
      </w:r>
      <w:proofErr w:type="spellEnd"/>
      <w:proofErr w:type="gramEnd"/>
      <w:r w:rsidR="00325B29" w:rsidRPr="00242E09">
        <w:t>, qui est défini comme une union des types suivants</w:t>
      </w:r>
      <w:r w:rsidR="00D87FB0" w:rsidRPr="00242E09">
        <w:t> :</w:t>
      </w:r>
    </w:p>
    <w:p w14:paraId="53DFA88F" w14:textId="55FE185D" w:rsidR="00325B29" w:rsidRPr="00242E09" w:rsidRDefault="00325B29" w:rsidP="00B8646D">
      <w:pPr>
        <w:pStyle w:val="ONUMFS"/>
        <w:numPr>
          <w:ilvl w:val="0"/>
          <w:numId w:val="11"/>
        </w:numPr>
        <w:ind w:left="1701" w:hanging="567"/>
        <w:rPr>
          <w:rFonts w:ascii="Courier New" w:hAnsi="Courier New" w:cs="Courier New"/>
        </w:rPr>
      </w:pPr>
      <w:proofErr w:type="spellStart"/>
      <w:proofErr w:type="gramStart"/>
      <w:r w:rsidRPr="00242E09">
        <w:rPr>
          <w:rFonts w:ascii="Courier New" w:hAnsi="Courier New"/>
        </w:rPr>
        <w:t>com:DocumentFormatCategoryType</w:t>
      </w:r>
      <w:proofErr w:type="spellEnd"/>
      <w:proofErr w:type="gramEnd"/>
    </w:p>
    <w:p w14:paraId="46525F4C" w14:textId="0FF99D33" w:rsidR="00325B29" w:rsidRPr="00242E09" w:rsidRDefault="00325B29" w:rsidP="00B8646D">
      <w:pPr>
        <w:pStyle w:val="ONUMFS"/>
        <w:numPr>
          <w:ilvl w:val="0"/>
          <w:numId w:val="11"/>
        </w:numPr>
        <w:ind w:left="1701" w:hanging="567"/>
        <w:rPr>
          <w:rFonts w:ascii="Courier New" w:hAnsi="Courier New" w:cs="Courier New"/>
        </w:rPr>
      </w:pPr>
      <w:proofErr w:type="spellStart"/>
      <w:proofErr w:type="gramStart"/>
      <w:r w:rsidRPr="00242E09">
        <w:rPr>
          <w:rFonts w:ascii="Courier New" w:hAnsi="Courier New"/>
        </w:rPr>
        <w:t>com:ThreeDModelFormatCategoryType</w:t>
      </w:r>
      <w:proofErr w:type="spellEnd"/>
      <w:proofErr w:type="gramEnd"/>
    </w:p>
    <w:p w14:paraId="611ECF48" w14:textId="76107934" w:rsidR="00325B29" w:rsidRPr="00242E09" w:rsidRDefault="00325B29" w:rsidP="00B8646D">
      <w:pPr>
        <w:pStyle w:val="ONUMFS"/>
        <w:numPr>
          <w:ilvl w:val="0"/>
          <w:numId w:val="11"/>
        </w:numPr>
        <w:ind w:left="1701" w:hanging="567"/>
        <w:rPr>
          <w:rFonts w:ascii="Courier New" w:hAnsi="Courier New" w:cs="Courier New"/>
        </w:rPr>
      </w:pPr>
      <w:proofErr w:type="spellStart"/>
      <w:proofErr w:type="gramStart"/>
      <w:r w:rsidRPr="00242E09">
        <w:rPr>
          <w:rFonts w:ascii="Courier New" w:hAnsi="Courier New"/>
        </w:rPr>
        <w:t>dgn:ViewFileFormatCategoryType</w:t>
      </w:r>
      <w:proofErr w:type="spellEnd"/>
      <w:proofErr w:type="gramEnd"/>
    </w:p>
    <w:p w14:paraId="7602F3D7" w14:textId="7106AB43" w:rsidR="00325B29" w:rsidRPr="00242E09" w:rsidRDefault="00325B29" w:rsidP="00B8646D">
      <w:pPr>
        <w:pStyle w:val="ONUMFS"/>
        <w:numPr>
          <w:ilvl w:val="0"/>
          <w:numId w:val="11"/>
        </w:numPr>
        <w:ind w:left="1701" w:hanging="567"/>
        <w:rPr>
          <w:rFonts w:ascii="Courier New" w:hAnsi="Courier New" w:cs="Courier New"/>
        </w:rPr>
      </w:pPr>
      <w:proofErr w:type="spellStart"/>
      <w:proofErr w:type="gramStart"/>
      <w:r w:rsidRPr="00242E09">
        <w:rPr>
          <w:rFonts w:ascii="Courier New" w:hAnsi="Courier New"/>
        </w:rPr>
        <w:t>tmk:MarkMultimediaFileFormatCategoryType</w:t>
      </w:r>
      <w:proofErr w:type="spellEnd"/>
      <w:proofErr w:type="gramEnd"/>
    </w:p>
    <w:p w14:paraId="6A517484" w14:textId="27E50E6B" w:rsidR="00325B29" w:rsidRPr="00D33EB7" w:rsidRDefault="00325B29" w:rsidP="00B8646D">
      <w:pPr>
        <w:pStyle w:val="ONUMFS"/>
        <w:numPr>
          <w:ilvl w:val="0"/>
          <w:numId w:val="11"/>
        </w:numPr>
        <w:ind w:left="1701" w:hanging="567"/>
        <w:rPr>
          <w:rFonts w:ascii="Courier New" w:hAnsi="Courier New" w:cs="Courier New"/>
        </w:rPr>
      </w:pPr>
      <w:proofErr w:type="spellStart"/>
      <w:proofErr w:type="gramStart"/>
      <w:r w:rsidRPr="00242E09">
        <w:rPr>
          <w:rFonts w:ascii="Courier New" w:hAnsi="Courier New"/>
        </w:rPr>
        <w:t>tmk:SoundFileFormatCategoryType</w:t>
      </w:r>
      <w:proofErr w:type="spellEnd"/>
      <w:proofErr w:type="gramEnd"/>
    </w:p>
    <w:p w14:paraId="58D7B505" w14:textId="1DA034AA" w:rsidR="00D33EB7" w:rsidRPr="000D139F" w:rsidRDefault="00D33EB7" w:rsidP="000D139F">
      <w:pPr>
        <w:pStyle w:val="ONUMFS"/>
        <w:numPr>
          <w:ilvl w:val="0"/>
          <w:numId w:val="11"/>
        </w:numPr>
        <w:ind w:left="1701" w:hanging="567"/>
        <w:rPr>
          <w:rFonts w:ascii="Courier New" w:hAnsi="Courier New" w:cs="Courier New"/>
        </w:rPr>
      </w:pPr>
      <w:proofErr w:type="spellStart"/>
      <w:proofErr w:type="gramStart"/>
      <w:r w:rsidRPr="00744337">
        <w:rPr>
          <w:rFonts w:ascii="Courier New" w:hAnsi="Courier New" w:cs="Courier New"/>
        </w:rPr>
        <w:t>pde:ArchiveFormatCategoryType</w:t>
      </w:r>
      <w:proofErr w:type="spellEnd"/>
      <w:proofErr w:type="gramEnd"/>
    </w:p>
    <w:p w14:paraId="51EFDE11" w14:textId="18BAAE20" w:rsidR="00325B29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i</w:t>
      </w:r>
      <w:r w:rsidR="00325B29" w:rsidRPr="00242E09">
        <w:t>nclusion</w:t>
      </w:r>
      <w:proofErr w:type="gramEnd"/>
      <w:r w:rsidR="00325B29" w:rsidRPr="00242E09">
        <w:t xml:space="preserve"> des composantes manquantes dans les structures </w:t>
      </w:r>
      <w:proofErr w:type="spellStart"/>
      <w:r w:rsidR="00325B29" w:rsidRPr="00242E09">
        <w:rPr>
          <w:rFonts w:ascii="Courier New" w:hAnsi="Courier New"/>
        </w:rPr>
        <w:t>DesignSupplementaryDocumentCategory</w:t>
      </w:r>
      <w:proofErr w:type="spellEnd"/>
      <w:r w:rsidR="00325B29" w:rsidRPr="00242E09">
        <w:t xml:space="preserve"> et </w:t>
      </w:r>
      <w:proofErr w:type="spellStart"/>
      <w:proofErr w:type="gramStart"/>
      <w:r w:rsidR="00325B29" w:rsidRPr="00242E09">
        <w:rPr>
          <w:rFonts w:ascii="Courier New" w:hAnsi="Courier New"/>
        </w:rPr>
        <w:t>TrademarkSupplementaryDocumentCategory</w:t>
      </w:r>
      <w:proofErr w:type="spellEnd"/>
      <w:r w:rsidR="00325B29" w:rsidRPr="00242E09">
        <w:t>;</w:t>
      </w:r>
      <w:proofErr w:type="gramEnd"/>
    </w:p>
    <w:p w14:paraId="285C5888" w14:textId="1E93ED77" w:rsidR="00D87FB0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r</w:t>
      </w:r>
      <w:r w:rsidR="00325B29" w:rsidRPr="00242E09">
        <w:t>emplacement</w:t>
      </w:r>
      <w:proofErr w:type="gramEnd"/>
      <w:r w:rsidR="00325B29" w:rsidRPr="00242E09">
        <w:t xml:space="preserve"> de </w:t>
      </w:r>
      <w:proofErr w:type="spellStart"/>
      <w:proofErr w:type="gramStart"/>
      <w:r w:rsidR="00325B29" w:rsidRPr="00242E09">
        <w:rPr>
          <w:rFonts w:ascii="Courier New" w:hAnsi="Courier New"/>
        </w:rPr>
        <w:t>pde:ApplicationFilingDate</w:t>
      </w:r>
      <w:proofErr w:type="spellEnd"/>
      <w:proofErr w:type="gramEnd"/>
      <w:r w:rsidR="00325B29" w:rsidRPr="00242E09">
        <w:t xml:space="preserve"> par </w:t>
      </w:r>
      <w:proofErr w:type="spellStart"/>
      <w:proofErr w:type="gramStart"/>
      <w:r w:rsidR="00325B29" w:rsidRPr="00242E09">
        <w:rPr>
          <w:rFonts w:ascii="Courier New" w:hAnsi="Courier New"/>
        </w:rPr>
        <w:t>com:ApplicationDate</w:t>
      </w:r>
      <w:proofErr w:type="spellEnd"/>
      <w:proofErr w:type="gramEnd"/>
      <w:r w:rsidR="00325B29" w:rsidRPr="00242E09">
        <w:t>;</w:t>
      </w:r>
    </w:p>
    <w:p w14:paraId="686CC030" w14:textId="4485B9ED" w:rsidR="00D87FB0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r</w:t>
      </w:r>
      <w:r w:rsidR="00325B29" w:rsidRPr="00242E09">
        <w:t>emplacement</w:t>
      </w:r>
      <w:proofErr w:type="gramEnd"/>
      <w:r w:rsidR="00325B29" w:rsidRPr="00242E09">
        <w:t xml:space="preserve"> de </w:t>
      </w:r>
      <w:proofErr w:type="spellStart"/>
      <w:proofErr w:type="gramStart"/>
      <w:r w:rsidR="00325B29" w:rsidRPr="00242E09">
        <w:rPr>
          <w:rFonts w:ascii="Courier New" w:hAnsi="Courier New"/>
        </w:rPr>
        <w:t>pde:ApplicationNumber</w:t>
      </w:r>
      <w:proofErr w:type="spellEnd"/>
      <w:proofErr w:type="gramEnd"/>
      <w:r w:rsidR="00325B29" w:rsidRPr="00242E09">
        <w:t xml:space="preserve"> par </w:t>
      </w:r>
      <w:proofErr w:type="spellStart"/>
      <w:proofErr w:type="gramStart"/>
      <w:r w:rsidR="00325B29" w:rsidRPr="00242E09">
        <w:rPr>
          <w:rFonts w:ascii="Courier New" w:hAnsi="Courier New"/>
        </w:rPr>
        <w:t>com:IPOfficeCode</w:t>
      </w:r>
      <w:proofErr w:type="spellEnd"/>
      <w:proofErr w:type="gramEnd"/>
      <w:r w:rsidR="00325B29" w:rsidRPr="00242E09">
        <w:t xml:space="preserve"> et </w:t>
      </w:r>
      <w:proofErr w:type="spellStart"/>
      <w:proofErr w:type="gramStart"/>
      <w:r w:rsidR="00325B29" w:rsidRPr="00242E09">
        <w:rPr>
          <w:rFonts w:ascii="Courier New" w:hAnsi="Courier New"/>
        </w:rPr>
        <w:t>com:ApplicationNumber</w:t>
      </w:r>
      <w:proofErr w:type="spellEnd"/>
      <w:proofErr w:type="gramEnd"/>
      <w:r w:rsidR="00325B29" w:rsidRPr="00242E09">
        <w:t>;</w:t>
      </w:r>
    </w:p>
    <w:p w14:paraId="79493255" w14:textId="21CD823D" w:rsidR="00325B29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a</w:t>
      </w:r>
      <w:r w:rsidR="00325B29" w:rsidRPr="00242E09">
        <w:t>jout</w:t>
      </w:r>
      <w:proofErr w:type="gramEnd"/>
      <w:r w:rsidR="00325B29" w:rsidRPr="00242E09">
        <w:t xml:space="preserve"> de “Représentation du dessin ou modèle industriel” et “Représentation de la marque” à la liste des catégories de documents, en remplacement des catégories “Fichiers multimédia ou liens vers des fichiers multimédia” et “Fichiers image 2D/3D</w:t>
      </w:r>
      <w:proofErr w:type="gramStart"/>
      <w:r w:rsidR="00325B29" w:rsidRPr="00242E09">
        <w:t xml:space="preserve">”; </w:t>
      </w:r>
      <w:r w:rsidR="0001345E" w:rsidRPr="00242E09">
        <w:t xml:space="preserve"> </w:t>
      </w:r>
      <w:r w:rsidR="00325B29" w:rsidRPr="00242E09">
        <w:t>et</w:t>
      </w:r>
      <w:proofErr w:type="gramEnd"/>
    </w:p>
    <w:p w14:paraId="081CE9DB" w14:textId="199D5C1C" w:rsidR="00325B29" w:rsidRPr="00242E09" w:rsidRDefault="00B8646D" w:rsidP="00B8646D">
      <w:pPr>
        <w:pStyle w:val="ONUMFS"/>
        <w:numPr>
          <w:ilvl w:val="1"/>
          <w:numId w:val="6"/>
        </w:numPr>
      </w:pPr>
      <w:proofErr w:type="gramStart"/>
      <w:r w:rsidRPr="00242E09">
        <w:t>i</w:t>
      </w:r>
      <w:r w:rsidR="00325B29" w:rsidRPr="00242E09">
        <w:t>nclusion</w:t>
      </w:r>
      <w:proofErr w:type="gramEnd"/>
      <w:r w:rsidR="00325B29" w:rsidRPr="00242E09">
        <w:t xml:space="preserve"> de toutes les modifications susmentionnées dans les exemples XML relatifs aux brevets, aux dessins et modèles et aux marques, comme indiqué dans les appendices A, B et C de l</w:t>
      </w:r>
      <w:r w:rsidR="00D87FB0" w:rsidRPr="00242E09">
        <w:t>’annexe I</w:t>
      </w:r>
      <w:r w:rsidR="00325B29" w:rsidRPr="00242E09">
        <w:t>.</w:t>
      </w:r>
    </w:p>
    <w:p w14:paraId="58443D84" w14:textId="77777777" w:rsidR="00325B29" w:rsidRPr="00242E09" w:rsidRDefault="00325B29" w:rsidP="00B8646D">
      <w:pPr>
        <w:pStyle w:val="Heading2"/>
      </w:pPr>
      <w:r w:rsidRPr="00242E09">
        <w:t>Versions</w:t>
      </w:r>
    </w:p>
    <w:p w14:paraId="79D10F6B" w14:textId="2417E0D8" w:rsidR="00D87FB0" w:rsidRPr="00242E09" w:rsidRDefault="00325B29" w:rsidP="002D6D5B">
      <w:pPr>
        <w:pStyle w:val="ONUMFS"/>
      </w:pPr>
      <w:r w:rsidRPr="00242E09">
        <w:t>Il est proposé que la nouvelle révision de la norme ST.92 de l</w:t>
      </w:r>
      <w:r w:rsidR="00D87FB0" w:rsidRPr="00242E09">
        <w:t>’</w:t>
      </w:r>
      <w:r w:rsidRPr="00242E09">
        <w:t>OMPI soit présentée sous la forme d</w:t>
      </w:r>
      <w:r w:rsidR="00D87FB0" w:rsidRPr="00242E09">
        <w:t>’</w:t>
      </w:r>
      <w:r w:rsidRPr="00242E09">
        <w:t>une version 2.0.  Cela est dû aux modifications apportées à l</w:t>
      </w:r>
      <w:r w:rsidR="00D87FB0" w:rsidRPr="00242E09">
        <w:t>’annexe I</w:t>
      </w:r>
      <w:r w:rsidRPr="00242E09">
        <w:t xml:space="preserve"> “Définition du schéma XML (XSD) pour l</w:t>
      </w:r>
      <w:r w:rsidR="00D87FB0" w:rsidRPr="00242E09">
        <w:t>’</w:t>
      </w:r>
      <w:r w:rsidRPr="00242E09">
        <w:t>index d</w:t>
      </w:r>
      <w:r w:rsidR="00D87FB0" w:rsidRPr="00242E09">
        <w:t>’</w:t>
      </w:r>
      <w:r w:rsidRPr="00242E09">
        <w:t xml:space="preserve">un document de priorité au format XML”, qui ne sont pas considérées comme </w:t>
      </w:r>
      <w:proofErr w:type="spellStart"/>
      <w:r w:rsidRPr="00242E09">
        <w:t>rétrocompatibles</w:t>
      </w:r>
      <w:proofErr w:type="spellEnd"/>
      <w:r w:rsidRPr="00242E09">
        <w:t xml:space="preserve"> avec la version 1.0, et qui constituent donc une mise à jour majeure.</w:t>
      </w:r>
    </w:p>
    <w:p w14:paraId="7F9CBE82" w14:textId="44BBE57D" w:rsidR="00325B29" w:rsidRPr="00242E09" w:rsidRDefault="00325B29" w:rsidP="00B8646D">
      <w:pPr>
        <w:pStyle w:val="Heading2"/>
      </w:pPr>
      <w:r w:rsidRPr="00242E09">
        <w:t>Mise en œuvre de la norme ST.92 de l</w:t>
      </w:r>
      <w:r w:rsidR="00D87FB0" w:rsidRPr="00242E09">
        <w:t>’</w:t>
      </w:r>
      <w:r w:rsidRPr="00242E09">
        <w:t>OMPI</w:t>
      </w:r>
    </w:p>
    <w:p w14:paraId="3B458A7F" w14:textId="25B41ADE" w:rsidR="00325B29" w:rsidRPr="00242E09" w:rsidRDefault="00325B29" w:rsidP="002D6D5B">
      <w:pPr>
        <w:pStyle w:val="ONUMFS"/>
      </w:pPr>
      <w:r w:rsidRPr="00242E09">
        <w:t>Après l</w:t>
      </w:r>
      <w:r w:rsidR="00D87FB0" w:rsidRPr="00242E09">
        <w:t>’</w:t>
      </w:r>
      <w:r w:rsidRPr="00242E09">
        <w:t>approbation de la proposition de norme ST.92 de l</w:t>
      </w:r>
      <w:r w:rsidR="00D87FB0" w:rsidRPr="00242E09">
        <w:t>’</w:t>
      </w:r>
      <w:r w:rsidRPr="00242E09">
        <w:t>OMPI, chaque office de propriété intellectuelle est encouragé à élaborer un plan de mise en œuv</w:t>
      </w:r>
      <w:r w:rsidR="00242E09" w:rsidRPr="00242E09">
        <w:t>re.  Af</w:t>
      </w:r>
      <w:r w:rsidRPr="00242E09">
        <w:t>in d</w:t>
      </w:r>
      <w:r w:rsidR="00D87FB0" w:rsidRPr="00242E09">
        <w:t>’</w:t>
      </w:r>
      <w:r w:rsidRPr="00242E09">
        <w:t>assurer une transition harmonieuse et coordonnée, le responsable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et le Bureau international recommandent une stratégie de mise en œuvre progressive durant la “période d</w:t>
      </w:r>
      <w:r w:rsidR="00D87FB0" w:rsidRPr="00242E09">
        <w:t>’</w:t>
      </w:r>
      <w:r w:rsidRPr="00242E09">
        <w:t>abandon progressif” définie.  Cette approche offre une certaine souplesse, permettant à chaque office de propriété intellectuelle de mettre en œuvre la norme à un rythme adapté à ses capacités opérationnelles et à ses priorités.</w:t>
      </w:r>
    </w:p>
    <w:p w14:paraId="75DEFAFB" w14:textId="7CB26173" w:rsidR="00325B29" w:rsidRPr="00242E09" w:rsidRDefault="00325B29" w:rsidP="002D6D5B">
      <w:pPr>
        <w:pStyle w:val="ONUMFS"/>
      </w:pPr>
      <w:r w:rsidRPr="00242E09">
        <w:t>Après avoir examiné les commentaires recueillis par les offices de propriété intellectuelle dans le cadre de l</w:t>
      </w:r>
      <w:r w:rsidR="00D87FB0" w:rsidRPr="00242E09">
        <w:t>’</w:t>
      </w:r>
      <w:r w:rsidRPr="00242E09">
        <w:t>enquête sur le plan de mise en œuvre de la norme ST.92 de l</w:t>
      </w:r>
      <w:r w:rsidR="00D87FB0" w:rsidRPr="00242E09">
        <w:t>’</w:t>
      </w:r>
      <w:r w:rsidRPr="00242E09">
        <w:t>OMPI et discuté de la question lors de sa réunion du 4 </w:t>
      </w:r>
      <w:r w:rsidR="00D87FB0" w:rsidRPr="00242E09">
        <w:t>septembre 20</w:t>
      </w:r>
      <w:r w:rsidRPr="00242E09">
        <w:t>25,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chargée de la transformation numérique propose une nouvelle “date butoir”, fixée au 30 </w:t>
      </w:r>
      <w:r w:rsidR="00D87FB0" w:rsidRPr="00242E09">
        <w:t>juin 20</w:t>
      </w:r>
      <w:r w:rsidRPr="00242E09">
        <w:t>28.</w:t>
      </w:r>
    </w:p>
    <w:p w14:paraId="064F6F04" w14:textId="0977772A" w:rsidR="00325B29" w:rsidRPr="00242E09" w:rsidRDefault="00325B29" w:rsidP="002D6D5B">
      <w:pPr>
        <w:pStyle w:val="ONUMFS"/>
      </w:pPr>
      <w:r w:rsidRPr="00242E09">
        <w:t>Le Bureau international prévoit d</w:t>
      </w:r>
      <w:r w:rsidR="00D87FB0" w:rsidRPr="00242E09">
        <w:t>’</w:t>
      </w:r>
      <w:r w:rsidRPr="00242E09">
        <w:t>actualiser le Service d</w:t>
      </w:r>
      <w:r w:rsidR="00D87FB0" w:rsidRPr="00242E09">
        <w:t>’</w:t>
      </w:r>
      <w:r w:rsidRPr="00242E09">
        <w:t>accès numérique de l</w:t>
      </w:r>
      <w:r w:rsidR="00D87FB0" w:rsidRPr="00242E09">
        <w:t>’</w:t>
      </w:r>
      <w:r w:rsidRPr="00242E09">
        <w:t>OMPI</w:t>
      </w:r>
      <w:r w:rsidR="00B8646D" w:rsidRPr="00242E09">
        <w:t> </w:t>
      </w:r>
      <w:r w:rsidRPr="00242E09">
        <w:t>(DAS) afin d</w:t>
      </w:r>
      <w:r w:rsidR="00D87FB0" w:rsidRPr="00242E09">
        <w:t>’</w:t>
      </w:r>
      <w:r w:rsidRPr="00242E09">
        <w:t>accepter et de fournir des documents de priorité conformes à la norme ST.92 de l</w:t>
      </w:r>
      <w:r w:rsidR="00D87FB0" w:rsidRPr="00242E09">
        <w:t>’</w:t>
      </w:r>
      <w:r w:rsidRPr="00242E09">
        <w:t>O</w:t>
      </w:r>
      <w:r w:rsidR="00242E09" w:rsidRPr="00242E09">
        <w:t>MPI.  Ce</w:t>
      </w:r>
      <w:r w:rsidRPr="00242E09">
        <w:t>tte actualisation devrait prendre environ six</w:t>
      </w:r>
      <w:r w:rsidR="0001345E" w:rsidRPr="00242E09">
        <w:t> </w:t>
      </w:r>
      <w:r w:rsidRPr="00242E09">
        <w:t>mo</w:t>
      </w:r>
      <w:r w:rsidR="00242E09" w:rsidRPr="00242E09">
        <w:t>is.  Un</w:t>
      </w:r>
      <w:r w:rsidRPr="00242E09">
        <w:t>e fois actualisé, le Service d</w:t>
      </w:r>
      <w:r w:rsidR="00D87FB0" w:rsidRPr="00242E09">
        <w:t>’</w:t>
      </w:r>
      <w:r w:rsidRPr="00242E09">
        <w:t>accès numérique de l</w:t>
      </w:r>
      <w:r w:rsidR="00D87FB0" w:rsidRPr="00242E09">
        <w:t>’</w:t>
      </w:r>
      <w:r w:rsidRPr="00242E09">
        <w:t>OMPI (DAS) pourra prendre en charge les documents de priorité à la fois dans le format actuel et dans le format de la norme ST.92 de l</w:t>
      </w:r>
      <w:r w:rsidR="00D87FB0" w:rsidRPr="00242E09">
        <w:t>’</w:t>
      </w:r>
      <w:r w:rsidRPr="00242E09">
        <w:t>OMPI jusqu</w:t>
      </w:r>
      <w:r w:rsidR="00D87FB0" w:rsidRPr="00242E09">
        <w:t>’</w:t>
      </w:r>
      <w:r w:rsidRPr="00242E09">
        <w:t>à la fin de la période de transition conven</w:t>
      </w:r>
      <w:r w:rsidR="00242E09" w:rsidRPr="00242E09">
        <w:t xml:space="preserve">ue.  À </w:t>
      </w:r>
      <w:r w:rsidRPr="00242E09">
        <w:t>compter de la date butoir convenue, le Service d</w:t>
      </w:r>
      <w:r w:rsidR="00D87FB0" w:rsidRPr="00242E09">
        <w:t>’</w:t>
      </w:r>
      <w:r w:rsidRPr="00242E09">
        <w:t>accès numérique de l</w:t>
      </w:r>
      <w:r w:rsidR="00D87FB0" w:rsidRPr="00242E09">
        <w:t>’</w:t>
      </w:r>
      <w:r w:rsidRPr="00242E09">
        <w:t>OMPI (DAS) acceptera et fournira uniquement les documents de priorité conformes à la norme ST.92 de l</w:t>
      </w:r>
      <w:r w:rsidR="00D87FB0" w:rsidRPr="00242E09">
        <w:t>’</w:t>
      </w:r>
      <w:r w:rsidRPr="00242E09">
        <w:t>O</w:t>
      </w:r>
      <w:r w:rsidR="00242E09" w:rsidRPr="00242E09">
        <w:t>MPI.  Le</w:t>
      </w:r>
      <w:r w:rsidRPr="00242E09">
        <w:t>s modalités techniques concernant la mise en œuvre de la norme proposée dans le Service d</w:t>
      </w:r>
      <w:r w:rsidR="00D87FB0" w:rsidRPr="00242E09">
        <w:t>’</w:t>
      </w:r>
      <w:r w:rsidRPr="00242E09">
        <w:t>accès numérique de l</w:t>
      </w:r>
      <w:r w:rsidR="00D87FB0" w:rsidRPr="00242E09">
        <w:t>’</w:t>
      </w:r>
      <w:r w:rsidRPr="00242E09">
        <w:t>OMPI (DAS) seront examinées séparément par les offices de propriété intellectuelle participant à ce service.</w:t>
      </w:r>
    </w:p>
    <w:p w14:paraId="30629B6F" w14:textId="77777777" w:rsidR="00325B29" w:rsidRPr="00242E09" w:rsidRDefault="00325B29" w:rsidP="00B8646D">
      <w:pPr>
        <w:pStyle w:val="Heading2"/>
      </w:pPr>
      <w:r w:rsidRPr="00242E09">
        <w:t>Proposition de révision de la tâche n° 65</w:t>
      </w:r>
    </w:p>
    <w:p w14:paraId="51F1C6E4" w14:textId="4560570B" w:rsidR="00325B29" w:rsidRPr="00242E09" w:rsidRDefault="00325B29" w:rsidP="002D6D5B">
      <w:pPr>
        <w:pStyle w:val="ONUMFS"/>
      </w:pPr>
      <w:r w:rsidRPr="00242E09">
        <w:t>Lorsque le CWS aura approuvé les révisions proposées de la norme ST.92 de l</w:t>
      </w:r>
      <w:r w:rsidR="00D87FB0" w:rsidRPr="00242E09">
        <w:t>’</w:t>
      </w:r>
      <w:r w:rsidRPr="00242E09">
        <w:t>OMPI, la tâche n° 65 sera considérée comme pratiquement achev</w:t>
      </w:r>
      <w:r w:rsidR="00242E09" w:rsidRPr="00242E09">
        <w:t>ée.  L’é</w:t>
      </w:r>
      <w:r w:rsidRPr="00242E09">
        <w:t>quipe d</w:t>
      </w:r>
      <w:r w:rsidR="00D87FB0" w:rsidRPr="00242E09">
        <w:t>’</w:t>
      </w:r>
      <w:r w:rsidRPr="00242E09">
        <w:t>experts poursuivra les discussions et la collaboration en ce qui concerne la mise en œuvre de la norme révis</w:t>
      </w:r>
      <w:r w:rsidR="00242E09" w:rsidRPr="00242E09">
        <w:t>ée.  En</w:t>
      </w:r>
      <w:r w:rsidRPr="00242E09">
        <w:t xml:space="preserve"> outre, lors de la mise en œuvre de la norme révisée, il se peut que les offices de propriété intellectuelle exigent que des améliorations soient apportées à la norme ST.92 de l</w:t>
      </w:r>
      <w:r w:rsidR="00D87FB0" w:rsidRPr="00242E09">
        <w:t>’</w:t>
      </w:r>
      <w:r w:rsidRPr="00242E09">
        <w:t>O</w:t>
      </w:r>
      <w:r w:rsidR="00242E09" w:rsidRPr="00242E09">
        <w:t>MPI.  Pa</w:t>
      </w:r>
      <w:r w:rsidRPr="00242E09">
        <w:t>r conséquent, l</w:t>
      </w:r>
      <w:r w:rsidR="00D87FB0" w:rsidRPr="00242E09">
        <w:t>’</w:t>
      </w:r>
      <w:r w:rsidRPr="00242E09">
        <w:t>équipe d</w:t>
      </w:r>
      <w:r w:rsidR="00D87FB0" w:rsidRPr="00242E09">
        <w:t>’</w:t>
      </w:r>
      <w:r w:rsidRPr="00242E09">
        <w:t>experts propose de réviser la description de la tâche n° 65 comme suit</w:t>
      </w:r>
      <w:r w:rsidR="00D87FB0" w:rsidRPr="00242E09">
        <w:t> :</w:t>
      </w:r>
    </w:p>
    <w:p w14:paraId="4368034D" w14:textId="44E846EE" w:rsidR="00325B29" w:rsidRPr="00242E09" w:rsidRDefault="00325B29" w:rsidP="00B8646D">
      <w:pPr>
        <w:pStyle w:val="ONUMFS"/>
        <w:numPr>
          <w:ilvl w:val="0"/>
          <w:numId w:val="0"/>
        </w:numPr>
        <w:ind w:firstLine="567"/>
      </w:pPr>
      <w:r w:rsidRPr="00242E09">
        <w:t>“</w:t>
      </w:r>
      <w:r w:rsidRPr="00242E09">
        <w:rPr>
          <w:i/>
        </w:rPr>
        <w:t>Procéder aux révisions et aux mises à jour nécessaires de la norme ST.92 de l</w:t>
      </w:r>
      <w:r w:rsidR="00D87FB0" w:rsidRPr="00242E09">
        <w:rPr>
          <w:i/>
        </w:rPr>
        <w:t>’</w:t>
      </w:r>
      <w:r w:rsidRPr="00242E09">
        <w:rPr>
          <w:i/>
        </w:rPr>
        <w:t>OMPI et soutenir les offices de propriété intellectuelle dans la mise en œuvre de la norme avant le</w:t>
      </w:r>
      <w:r w:rsidR="00D87FB0" w:rsidRPr="00242E09">
        <w:rPr>
          <w:i/>
        </w:rPr>
        <w:t xml:space="preserve"> 1</w:t>
      </w:r>
      <w:r w:rsidR="00D87FB0" w:rsidRPr="00242E09">
        <w:rPr>
          <w:i/>
          <w:vertAlign w:val="superscript"/>
        </w:rPr>
        <w:t>er</w:t>
      </w:r>
      <w:r w:rsidR="00D87FB0" w:rsidRPr="00242E09">
        <w:rPr>
          <w:i/>
        </w:rPr>
        <w:t> juillet 20</w:t>
      </w:r>
      <w:r w:rsidRPr="00242E09">
        <w:rPr>
          <w:i/>
        </w:rPr>
        <w:t>28</w:t>
      </w:r>
      <w:r w:rsidRPr="00242E09">
        <w:t>”.</w:t>
      </w:r>
    </w:p>
    <w:p w14:paraId="08537F16" w14:textId="544A5EFB" w:rsidR="00325B29" w:rsidRPr="00242E09" w:rsidRDefault="00325B29" w:rsidP="00B8646D">
      <w:pPr>
        <w:pStyle w:val="ONUMFS"/>
        <w:ind w:left="5533"/>
        <w:rPr>
          <w:i/>
        </w:rPr>
      </w:pPr>
      <w:r w:rsidRPr="00242E09">
        <w:rPr>
          <w:i/>
        </w:rPr>
        <w:t>Le CWS est invité</w:t>
      </w:r>
    </w:p>
    <w:p w14:paraId="063F27DE" w14:textId="77777777" w:rsidR="00325B29" w:rsidRPr="00242E09" w:rsidRDefault="00325B29" w:rsidP="00B8646D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242E09">
        <w:rPr>
          <w:i/>
        </w:rPr>
        <w:t>à</w:t>
      </w:r>
      <w:proofErr w:type="gramEnd"/>
      <w:r w:rsidRPr="00242E09">
        <w:rPr>
          <w:i/>
        </w:rPr>
        <w:t xml:space="preserve"> prendre note du contenu du présent document et des annexes du présent document,</w:t>
      </w:r>
    </w:p>
    <w:p w14:paraId="3FE91DF4" w14:textId="492D3C51" w:rsidR="00325B29" w:rsidRPr="00242E09" w:rsidRDefault="00325B29" w:rsidP="00B8646D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242E09">
        <w:rPr>
          <w:i/>
        </w:rPr>
        <w:t>à</w:t>
      </w:r>
      <w:proofErr w:type="gramEnd"/>
      <w:r w:rsidRPr="00242E09">
        <w:rPr>
          <w:i/>
        </w:rPr>
        <w:t xml:space="preserve"> prendre note des résultats de l</w:t>
      </w:r>
      <w:r w:rsidR="00D87FB0" w:rsidRPr="00242E09">
        <w:rPr>
          <w:i/>
        </w:rPr>
        <w:t>’</w:t>
      </w:r>
      <w:r w:rsidRPr="00242E09">
        <w:rPr>
          <w:i/>
        </w:rPr>
        <w:t>enquête sur le plan de mise en œuvre de la norme ST.92 de l</w:t>
      </w:r>
      <w:r w:rsidR="00D87FB0" w:rsidRPr="00242E09">
        <w:rPr>
          <w:i/>
        </w:rPr>
        <w:t>’</w:t>
      </w:r>
      <w:r w:rsidRPr="00242E09">
        <w:rPr>
          <w:i/>
        </w:rPr>
        <w:t>OMPI, indiqués aux paragraphes 7 à 13 et présentés en détail dans l</w:t>
      </w:r>
      <w:r w:rsidR="00D87FB0" w:rsidRPr="00242E09">
        <w:rPr>
          <w:i/>
        </w:rPr>
        <w:t>’annexe I</w:t>
      </w:r>
      <w:r w:rsidRPr="00242E09">
        <w:rPr>
          <w:i/>
        </w:rPr>
        <w:t xml:space="preserve"> du présent document,</w:t>
      </w:r>
    </w:p>
    <w:p w14:paraId="76AD8037" w14:textId="7689A572" w:rsidR="00D87FB0" w:rsidRPr="00242E09" w:rsidRDefault="00325B29" w:rsidP="00B8646D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242E09">
        <w:rPr>
          <w:i/>
        </w:rPr>
        <w:t>à</w:t>
      </w:r>
      <w:proofErr w:type="gramEnd"/>
      <w:r w:rsidRPr="00242E09">
        <w:rPr>
          <w:i/>
        </w:rPr>
        <w:t xml:space="preserve"> examiner et à approuver la proposition de révision de la norme ST.92 de l</w:t>
      </w:r>
      <w:r w:rsidR="00D87FB0" w:rsidRPr="00242E09">
        <w:rPr>
          <w:i/>
        </w:rPr>
        <w:t>’</w:t>
      </w:r>
      <w:r w:rsidRPr="00242E09">
        <w:rPr>
          <w:i/>
        </w:rPr>
        <w:t>OMPI, indiquée aux paragraphes 14 à 18 et présentée en détail dans l</w:t>
      </w:r>
      <w:r w:rsidR="00D87FB0" w:rsidRPr="00242E09">
        <w:rPr>
          <w:i/>
        </w:rPr>
        <w:t>’</w:t>
      </w:r>
      <w:r w:rsidRPr="00242E09">
        <w:rPr>
          <w:i/>
        </w:rPr>
        <w:t>annexe II du présent document,</w:t>
      </w:r>
    </w:p>
    <w:p w14:paraId="3EB5368B" w14:textId="3786D38F" w:rsidR="00325B29" w:rsidRPr="00242E09" w:rsidRDefault="00325B29" w:rsidP="00B8646D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242E09">
        <w:rPr>
          <w:i/>
        </w:rPr>
        <w:t>à</w:t>
      </w:r>
      <w:proofErr w:type="gramEnd"/>
      <w:r w:rsidRPr="00242E09">
        <w:rPr>
          <w:i/>
        </w:rPr>
        <w:t xml:space="preserve"> approuver le numéro de la nouvelle version, </w:t>
      </w:r>
      <w:r w:rsidR="00D87FB0" w:rsidRPr="00242E09">
        <w:rPr>
          <w:i/>
        </w:rPr>
        <w:t>à savoir</w:t>
      </w:r>
      <w:r w:rsidRPr="00242E09">
        <w:rPr>
          <w:i/>
        </w:rPr>
        <w:t xml:space="preserve"> la version 2.0 de la norme ST.92 de l</w:t>
      </w:r>
      <w:r w:rsidR="00D87FB0" w:rsidRPr="00242E09">
        <w:rPr>
          <w:i/>
        </w:rPr>
        <w:t>’</w:t>
      </w:r>
      <w:r w:rsidRPr="00242E09">
        <w:rPr>
          <w:i/>
        </w:rPr>
        <w:t>OMPI, indiqué au paragraphe 19,</w:t>
      </w:r>
    </w:p>
    <w:p w14:paraId="48FA4D3C" w14:textId="33A9FD9A" w:rsidR="00325B29" w:rsidRPr="00242E09" w:rsidRDefault="00325B29" w:rsidP="00B8646D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242E09">
        <w:rPr>
          <w:i/>
        </w:rPr>
        <w:t>à</w:t>
      </w:r>
      <w:proofErr w:type="gramEnd"/>
      <w:r w:rsidRPr="00242E09">
        <w:rPr>
          <w:i/>
        </w:rPr>
        <w:t xml:space="preserve"> prendre note de l</w:t>
      </w:r>
      <w:r w:rsidR="00D87FB0" w:rsidRPr="00242E09">
        <w:rPr>
          <w:i/>
        </w:rPr>
        <w:t>’</w:t>
      </w:r>
      <w:r w:rsidRPr="00242E09">
        <w:rPr>
          <w:i/>
        </w:rPr>
        <w:t>analyse du plan de mise en œuvre de la norme ST.92 de l</w:t>
      </w:r>
      <w:r w:rsidR="00D87FB0" w:rsidRPr="00242E09">
        <w:rPr>
          <w:i/>
        </w:rPr>
        <w:t>’</w:t>
      </w:r>
      <w:r w:rsidRPr="00242E09">
        <w:rPr>
          <w:i/>
        </w:rPr>
        <w:t>OMPI, indiquée aux paragraphes 20 à 22,</w:t>
      </w:r>
    </w:p>
    <w:p w14:paraId="4571CF5D" w14:textId="442AA3EB" w:rsidR="00325B29" w:rsidRPr="00242E09" w:rsidRDefault="00325B29" w:rsidP="00B8646D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242E09">
        <w:rPr>
          <w:i/>
        </w:rPr>
        <w:t>à</w:t>
      </w:r>
      <w:proofErr w:type="gramEnd"/>
      <w:r w:rsidRPr="00242E09">
        <w:rPr>
          <w:i/>
        </w:rPr>
        <w:t xml:space="preserve"> examiner et à approuver la date butoir, indiquée au paragraphe 21</w:t>
      </w:r>
      <w:r w:rsidR="00B8646D" w:rsidRPr="00242E09">
        <w:rPr>
          <w:i/>
        </w:rPr>
        <w:t>,</w:t>
      </w:r>
      <w:r w:rsidRPr="00242E09">
        <w:rPr>
          <w:i/>
        </w:rPr>
        <w:t xml:space="preserve"> et</w:t>
      </w:r>
    </w:p>
    <w:p w14:paraId="5C5D3DFA" w14:textId="77777777" w:rsidR="00D87FB0" w:rsidRPr="00242E09" w:rsidRDefault="00325B29" w:rsidP="00B8646D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242E09">
        <w:rPr>
          <w:i/>
        </w:rPr>
        <w:t>à</w:t>
      </w:r>
      <w:proofErr w:type="gramEnd"/>
      <w:r w:rsidRPr="00242E09">
        <w:rPr>
          <w:i/>
        </w:rPr>
        <w:t xml:space="preserve"> examiner et à approuver la proposition de nouvelle description de la tâche n° 65, indiquée au paragraphe 23.</w:t>
      </w:r>
    </w:p>
    <w:p w14:paraId="7FC5047D" w14:textId="1E08C151" w:rsidR="0099108F" w:rsidRPr="00242E09" w:rsidRDefault="00325B29" w:rsidP="002D6D5B">
      <w:pPr>
        <w:pStyle w:val="Endofdocument-Annex"/>
      </w:pPr>
      <w:r w:rsidRPr="00242E09">
        <w:t>[L</w:t>
      </w:r>
      <w:r w:rsidR="00D87FB0" w:rsidRPr="00242E09">
        <w:t>’annexe I</w:t>
      </w:r>
      <w:r w:rsidRPr="00242E09">
        <w:t xml:space="preserve"> suit]</w:t>
      </w:r>
    </w:p>
    <w:sectPr w:rsidR="0099108F" w:rsidRPr="00242E09" w:rsidSect="002D6D5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6AF31" w14:textId="77777777" w:rsidR="00B874AD" w:rsidRPr="00290DCD" w:rsidRDefault="00B874AD">
      <w:r w:rsidRPr="00290DCD">
        <w:separator/>
      </w:r>
    </w:p>
  </w:endnote>
  <w:endnote w:type="continuationSeparator" w:id="0">
    <w:p w14:paraId="348C4DAB" w14:textId="77777777" w:rsidR="00B874AD" w:rsidRPr="00290DCD" w:rsidRDefault="00B874AD" w:rsidP="00D45252">
      <w:pPr>
        <w:rPr>
          <w:sz w:val="17"/>
          <w:szCs w:val="17"/>
        </w:rPr>
      </w:pPr>
      <w:r w:rsidRPr="00290DCD">
        <w:rPr>
          <w:sz w:val="17"/>
          <w:szCs w:val="17"/>
        </w:rPr>
        <w:separator/>
      </w:r>
    </w:p>
    <w:p w14:paraId="058C6ADF" w14:textId="77777777" w:rsidR="00B874AD" w:rsidRPr="00290DCD" w:rsidRDefault="00B874AD" w:rsidP="00D45252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endnote>
  <w:endnote w:type="continuationNotice" w:id="1">
    <w:p w14:paraId="6FCFC1D4" w14:textId="77777777" w:rsidR="00B874AD" w:rsidRPr="00290DCD" w:rsidRDefault="00B874AD" w:rsidP="009D30E6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4677" w14:textId="77777777" w:rsidR="00B874AD" w:rsidRPr="00290DCD" w:rsidRDefault="00B874AD">
      <w:r w:rsidRPr="00290DCD">
        <w:separator/>
      </w:r>
    </w:p>
  </w:footnote>
  <w:footnote w:type="continuationSeparator" w:id="0">
    <w:p w14:paraId="541EE4DC" w14:textId="77777777" w:rsidR="00B874AD" w:rsidRPr="00290DCD" w:rsidRDefault="00B874AD" w:rsidP="007461F1">
      <w:r w:rsidRPr="00290DCD">
        <w:separator/>
      </w:r>
    </w:p>
    <w:p w14:paraId="403EB7E5" w14:textId="77777777" w:rsidR="00B874AD" w:rsidRPr="00290DCD" w:rsidRDefault="00B874AD" w:rsidP="007461F1">
      <w:pPr>
        <w:spacing w:after="60"/>
        <w:rPr>
          <w:sz w:val="17"/>
          <w:szCs w:val="17"/>
        </w:rPr>
      </w:pPr>
      <w:r w:rsidRPr="00290DCD">
        <w:rPr>
          <w:sz w:val="17"/>
          <w:szCs w:val="17"/>
        </w:rPr>
        <w:t>[Suite de la note de la page précédente]</w:t>
      </w:r>
    </w:p>
  </w:footnote>
  <w:footnote w:type="continuationNotice" w:id="1">
    <w:p w14:paraId="4172C385" w14:textId="77777777" w:rsidR="00B874AD" w:rsidRPr="00290DCD" w:rsidRDefault="00B874AD" w:rsidP="007461F1">
      <w:pPr>
        <w:spacing w:before="60"/>
        <w:jc w:val="right"/>
        <w:rPr>
          <w:sz w:val="17"/>
          <w:szCs w:val="17"/>
        </w:rPr>
      </w:pPr>
      <w:r w:rsidRPr="00290DCD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90AF5" w14:textId="65D4999C" w:rsidR="00F16975" w:rsidRPr="00290DCD" w:rsidRDefault="00325B29" w:rsidP="00477D6B">
    <w:pPr>
      <w:jc w:val="right"/>
    </w:pPr>
    <w:bookmarkStart w:id="5" w:name="Code2"/>
    <w:bookmarkEnd w:id="5"/>
    <w:r>
      <w:t>CWS/13/20</w:t>
    </w:r>
    <w:r w:rsidR="000D139F">
      <w:t> </w:t>
    </w:r>
    <w:r w:rsidR="00D33EB7">
      <w:t>Rev.</w:t>
    </w:r>
  </w:p>
  <w:p w14:paraId="7C563F94" w14:textId="77777777" w:rsidR="004F4E31" w:rsidRPr="00290DCD" w:rsidRDefault="00F16975" w:rsidP="0099108F">
    <w:pPr>
      <w:spacing w:after="480"/>
      <w:jc w:val="right"/>
    </w:pPr>
    <w:proofErr w:type="gramStart"/>
    <w:r w:rsidRPr="00290DCD">
      <w:t>page</w:t>
    </w:r>
    <w:proofErr w:type="gramEnd"/>
    <w:r w:rsidR="0099108F" w:rsidRPr="00290DCD">
      <w:t> </w:t>
    </w:r>
    <w:r w:rsidRPr="00290DCD">
      <w:fldChar w:fldCharType="begin"/>
    </w:r>
    <w:r w:rsidRPr="00290DCD">
      <w:instrText xml:space="preserve"> PAGE  \* MERGEFORMAT </w:instrText>
    </w:r>
    <w:r w:rsidRPr="00290DCD">
      <w:fldChar w:fldCharType="separate"/>
    </w:r>
    <w:r w:rsidR="004F4E31" w:rsidRPr="00290DCD">
      <w:t>2</w:t>
    </w:r>
    <w:r w:rsidRPr="00290D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F2415A"/>
    <w:multiLevelType w:val="hybridMultilevel"/>
    <w:tmpl w:val="C278EF22"/>
    <w:lvl w:ilvl="0" w:tplc="9586AA32">
      <w:start w:val="1"/>
      <w:numFmt w:val="lowerLetter"/>
      <w:lvlText w:val="(%1)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A9D40E2"/>
    <w:multiLevelType w:val="hybridMultilevel"/>
    <w:tmpl w:val="6C162328"/>
    <w:lvl w:ilvl="0" w:tplc="1C7C2A0C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CFA0F66"/>
    <w:multiLevelType w:val="hybridMultilevel"/>
    <w:tmpl w:val="3DA2DF02"/>
    <w:lvl w:ilvl="0" w:tplc="824ADBF4">
      <w:start w:val="1"/>
      <w:numFmt w:val="lowerLetter"/>
      <w:lvlText w:val="(%1)"/>
      <w:lvlJc w:val="left"/>
      <w:pPr>
        <w:ind w:left="1287" w:hanging="360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0C584D"/>
    <w:multiLevelType w:val="hybridMultilevel"/>
    <w:tmpl w:val="7DA6D36E"/>
    <w:lvl w:ilvl="0" w:tplc="03FE9D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17898"/>
    <w:multiLevelType w:val="multilevel"/>
    <w:tmpl w:val="356E26A6"/>
    <w:lvl w:ilvl="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num w:numId="1" w16cid:durableId="1398548192">
    <w:abstractNumId w:val="2"/>
  </w:num>
  <w:num w:numId="2" w16cid:durableId="1870607316">
    <w:abstractNumId w:val="7"/>
  </w:num>
  <w:num w:numId="3" w16cid:durableId="844322595">
    <w:abstractNumId w:val="0"/>
  </w:num>
  <w:num w:numId="4" w16cid:durableId="1456631763">
    <w:abstractNumId w:val="8"/>
  </w:num>
  <w:num w:numId="5" w16cid:durableId="628778745">
    <w:abstractNumId w:val="1"/>
  </w:num>
  <w:num w:numId="6" w16cid:durableId="670451745">
    <w:abstractNumId w:val="5"/>
  </w:num>
  <w:num w:numId="7" w16cid:durableId="905997996">
    <w:abstractNumId w:val="6"/>
  </w:num>
  <w:num w:numId="8" w16cid:durableId="1865246977">
    <w:abstractNumId w:val="3"/>
  </w:num>
  <w:num w:numId="9" w16cid:durableId="2022198761">
    <w:abstractNumId w:val="4"/>
  </w:num>
  <w:num w:numId="10" w16cid:durableId="818814004">
    <w:abstractNumId w:val="10"/>
  </w:num>
  <w:num w:numId="11" w16cid:durableId="2103136960">
    <w:abstractNumId w:val="9"/>
  </w:num>
  <w:num w:numId="12" w16cid:durableId="556740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29"/>
    <w:rsid w:val="00011B7D"/>
    <w:rsid w:val="00012B74"/>
    <w:rsid w:val="0001345E"/>
    <w:rsid w:val="00075432"/>
    <w:rsid w:val="000D139F"/>
    <w:rsid w:val="000F5E56"/>
    <w:rsid w:val="001352EC"/>
    <w:rsid w:val="001362EE"/>
    <w:rsid w:val="00157E3C"/>
    <w:rsid w:val="001832A6"/>
    <w:rsid w:val="00195C6E"/>
    <w:rsid w:val="00197881"/>
    <w:rsid w:val="001B266A"/>
    <w:rsid w:val="001D3D56"/>
    <w:rsid w:val="002277F2"/>
    <w:rsid w:val="00240654"/>
    <w:rsid w:val="00242E09"/>
    <w:rsid w:val="002634C4"/>
    <w:rsid w:val="00290DCD"/>
    <w:rsid w:val="002A392F"/>
    <w:rsid w:val="002D4918"/>
    <w:rsid w:val="002D6D5B"/>
    <w:rsid w:val="002E17FA"/>
    <w:rsid w:val="002E4D1A"/>
    <w:rsid w:val="002F16BC"/>
    <w:rsid w:val="002F4E68"/>
    <w:rsid w:val="00315FCA"/>
    <w:rsid w:val="00325B29"/>
    <w:rsid w:val="003845C1"/>
    <w:rsid w:val="003A1BCD"/>
    <w:rsid w:val="003A4734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A4C"/>
    <w:rsid w:val="00576171"/>
    <w:rsid w:val="005A3309"/>
    <w:rsid w:val="005E6516"/>
    <w:rsid w:val="005F0384"/>
    <w:rsid w:val="00605827"/>
    <w:rsid w:val="0061735A"/>
    <w:rsid w:val="00652F49"/>
    <w:rsid w:val="00676936"/>
    <w:rsid w:val="006B0DB5"/>
    <w:rsid w:val="006E4243"/>
    <w:rsid w:val="00726562"/>
    <w:rsid w:val="007461F1"/>
    <w:rsid w:val="007C04C6"/>
    <w:rsid w:val="007D6961"/>
    <w:rsid w:val="007E6DC5"/>
    <w:rsid w:val="007F07CB"/>
    <w:rsid w:val="00810CEF"/>
    <w:rsid w:val="0081208D"/>
    <w:rsid w:val="008236DE"/>
    <w:rsid w:val="00842A13"/>
    <w:rsid w:val="008B2CC1"/>
    <w:rsid w:val="008B7418"/>
    <w:rsid w:val="008E7930"/>
    <w:rsid w:val="008F1398"/>
    <w:rsid w:val="0090731E"/>
    <w:rsid w:val="0095435E"/>
    <w:rsid w:val="00966A22"/>
    <w:rsid w:val="00974CD6"/>
    <w:rsid w:val="0099108F"/>
    <w:rsid w:val="009C7909"/>
    <w:rsid w:val="009D30E6"/>
    <w:rsid w:val="009E3F6F"/>
    <w:rsid w:val="009F499F"/>
    <w:rsid w:val="00A02BD3"/>
    <w:rsid w:val="00A65E7E"/>
    <w:rsid w:val="00AA1F20"/>
    <w:rsid w:val="00AC030C"/>
    <w:rsid w:val="00AC0AE4"/>
    <w:rsid w:val="00AD61DB"/>
    <w:rsid w:val="00B100C1"/>
    <w:rsid w:val="00B6177F"/>
    <w:rsid w:val="00B66A77"/>
    <w:rsid w:val="00B8646D"/>
    <w:rsid w:val="00B874AD"/>
    <w:rsid w:val="00B87BCF"/>
    <w:rsid w:val="00BA62D4"/>
    <w:rsid w:val="00BC3FC3"/>
    <w:rsid w:val="00C153FD"/>
    <w:rsid w:val="00C40E15"/>
    <w:rsid w:val="00C664C8"/>
    <w:rsid w:val="00C76A79"/>
    <w:rsid w:val="00CA15F5"/>
    <w:rsid w:val="00CA72C1"/>
    <w:rsid w:val="00CF0460"/>
    <w:rsid w:val="00D33EB7"/>
    <w:rsid w:val="00D45252"/>
    <w:rsid w:val="00D71B4D"/>
    <w:rsid w:val="00D75C1E"/>
    <w:rsid w:val="00D87FB0"/>
    <w:rsid w:val="00D93D55"/>
    <w:rsid w:val="00DB0349"/>
    <w:rsid w:val="00DD6A16"/>
    <w:rsid w:val="00DE2F3D"/>
    <w:rsid w:val="00E0091A"/>
    <w:rsid w:val="00E203AA"/>
    <w:rsid w:val="00E527A5"/>
    <w:rsid w:val="00E7063B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8A77DE"/>
  <w15:docId w15:val="{8E47CA8B-AA21-425F-AF99-884F6E78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25B29"/>
    <w:pPr>
      <w:spacing w:before="720"/>
      <w:ind w:left="5534"/>
    </w:p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325B29"/>
    <w:pPr>
      <w:spacing w:after="220"/>
      <w:ind w:left="720"/>
    </w:pPr>
  </w:style>
  <w:style w:type="character" w:styleId="Hyperlink">
    <w:name w:val="Hyperlink"/>
    <w:uiPriority w:val="99"/>
    <w:rsid w:val="00325B29"/>
    <w:rPr>
      <w:noProof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325B29"/>
    <w:rPr>
      <w:rFonts w:ascii="Arial" w:eastAsia="SimSun" w:hAnsi="Arial" w:cs="Arial"/>
      <w:bCs/>
      <w:iCs/>
      <w:caps/>
      <w:sz w:val="22"/>
      <w:szCs w:val="28"/>
      <w:lang w:val="fr-FR" w:eastAsia="zh-CN"/>
    </w:rPr>
  </w:style>
  <w:style w:type="character" w:customStyle="1" w:styleId="text">
    <w:name w:val="text"/>
    <w:rsid w:val="00325B29"/>
    <w:rPr>
      <w:rFonts w:ascii="Arial Unicode MS" w:eastAsia="Arial Unicode MS" w:hAnsi="Arial Unicode MS" w:cs="Arial Unicode MS"/>
      <w:sz w:val="20"/>
      <w:szCs w:val="20"/>
    </w:rPr>
  </w:style>
  <w:style w:type="paragraph" w:styleId="Revision">
    <w:name w:val="Revision"/>
    <w:hidden/>
    <w:uiPriority w:val="99"/>
    <w:semiHidden/>
    <w:rsid w:val="007E6DC5"/>
    <w:rPr>
      <w:rFonts w:ascii="Arial" w:eastAsia="SimSun" w:hAnsi="Arial" w:cs="Arial"/>
      <w:sz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documents/d/cws/docs-fr-circulars-files-cws-195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CWS_13 (F)</Template>
  <TotalTime>22</TotalTime>
  <Pages>7</Pages>
  <Words>2845</Words>
  <Characters>15360</Characters>
  <Application>Microsoft Office Word</Application>
  <DocSecurity>0</DocSecurity>
  <Lines>365</Lines>
  <Paragraphs>256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CWS/13/20 Rev. (French) </vt:lpstr>
      <vt:lpstr>    Résumé</vt:lpstr>
      <vt:lpstr>    Rappel</vt:lpstr>
      <vt:lpstr>    Résultats de l’enquête sur le plan de mise en œuvre de la norme ST.92 de l’OMPI</vt:lpstr>
      <vt:lpstr>    Proposition de révision de la norme ST.92 de l’OMPI</vt:lpstr>
      <vt:lpstr>    Versions</vt:lpstr>
      <vt:lpstr>    Mise en œuvre de la norme ST.92 de l’OMPI</vt:lpstr>
      <vt:lpstr>    Proposition de révision de la tâche n  65</vt:lpstr>
    </vt:vector>
  </TitlesOfParts>
  <Company>WIPO</Company>
  <LinksUpToDate>false</LinksUpToDate>
  <CharactersWithSpaces>17949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CWS/13/20 Rev. (French) </dc:title>
  <dc:subject>Proposition de révision de la norme ST.92 de l’OMPI </dc:subject>
  <dc:creator>WIPO</dc:creator>
  <cp:keywords>WIPO CWS treizième session, Proposition de révision, norme ST.92 de l’OMPI </cp:keywords>
  <cp:lastModifiedBy>MURATAJ Erjola</cp:lastModifiedBy>
  <cp:revision>10</cp:revision>
  <cp:lastPrinted>2025-10-30T12:58:00Z</cp:lastPrinted>
  <dcterms:created xsi:type="dcterms:W3CDTF">2025-10-28T08:54:00Z</dcterms:created>
  <dcterms:modified xsi:type="dcterms:W3CDTF">2025-11-05T15:41:00Z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2025-06-12T13:23:13Z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717d40da-50e5-4df9-b411-3e5ab47e1f7b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