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BD1DF" w14:textId="77777777" w:rsidR="008B2CC1" w:rsidRPr="006236CF" w:rsidRDefault="00DB0349" w:rsidP="002D215E">
      <w:pPr>
        <w:spacing w:after="120"/>
        <w:jc w:val="right"/>
      </w:pPr>
      <w:r w:rsidRPr="006236CF">
        <w:rPr>
          <w:noProof/>
          <w:lang w:eastAsia="en-US"/>
        </w:rPr>
        <w:drawing>
          <wp:inline distT="0" distB="0" distL="0" distR="0" wp14:anchorId="38D2E0BD" wp14:editId="0D047BF2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6236CF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001398C2" wp14:editId="0AD7F38A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2727CF5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160F1562" w14:textId="0CCA113E" w:rsidR="008B2CC1" w:rsidRPr="006236CF" w:rsidRDefault="00197881" w:rsidP="002D215E">
      <w:pPr>
        <w:jc w:val="right"/>
        <w:rPr>
          <w:rFonts w:ascii="Arial Black" w:hAnsi="Arial Black"/>
          <w:caps/>
          <w:sz w:val="15"/>
          <w:szCs w:val="15"/>
        </w:rPr>
      </w:pPr>
      <w:r w:rsidRPr="006236CF">
        <w:rPr>
          <w:rFonts w:ascii="Arial Black" w:hAnsi="Arial Black"/>
          <w:caps/>
          <w:sz w:val="15"/>
          <w:szCs w:val="15"/>
        </w:rPr>
        <w:t>CWS/1</w:t>
      </w:r>
      <w:r w:rsidR="005A3309" w:rsidRPr="006236CF">
        <w:rPr>
          <w:rFonts w:ascii="Arial Black" w:hAnsi="Arial Black"/>
          <w:caps/>
          <w:sz w:val="15"/>
          <w:szCs w:val="15"/>
        </w:rPr>
        <w:t>3</w:t>
      </w:r>
      <w:r w:rsidRPr="006236CF"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 w:rsidR="00336188" w:rsidRPr="006236CF">
        <w:rPr>
          <w:rFonts w:ascii="Arial Black" w:hAnsi="Arial Black"/>
          <w:caps/>
          <w:sz w:val="15"/>
          <w:szCs w:val="15"/>
        </w:rPr>
        <w:t>19</w:t>
      </w:r>
    </w:p>
    <w:p w14:paraId="5BB3FB02" w14:textId="7BD8A5EF" w:rsidR="008B2CC1" w:rsidRPr="006236CF" w:rsidRDefault="00DB0349" w:rsidP="002D215E">
      <w:pPr>
        <w:jc w:val="right"/>
        <w:rPr>
          <w:rFonts w:ascii="Arial Black" w:hAnsi="Arial Black"/>
          <w:caps/>
          <w:sz w:val="15"/>
          <w:szCs w:val="15"/>
        </w:rPr>
      </w:pPr>
      <w:r w:rsidRPr="006236CF">
        <w:rPr>
          <w:rFonts w:ascii="Arial Black" w:hAnsi="Arial Black"/>
          <w:caps/>
          <w:sz w:val="15"/>
          <w:szCs w:val="15"/>
        </w:rPr>
        <w:t>Original</w:t>
      </w:r>
      <w:r w:rsidR="002D215E" w:rsidRPr="006236CF">
        <w:rPr>
          <w:rFonts w:ascii="Arial Black" w:hAnsi="Arial Black"/>
          <w:caps/>
          <w:sz w:val="15"/>
          <w:szCs w:val="15"/>
        </w:rPr>
        <w:t> :</w:t>
      </w:r>
      <w:r w:rsidRPr="006236CF">
        <w:rPr>
          <w:rFonts w:ascii="Arial Black" w:hAnsi="Arial Black"/>
          <w:caps/>
          <w:sz w:val="15"/>
          <w:szCs w:val="15"/>
        </w:rPr>
        <w:t xml:space="preserve"> </w:t>
      </w:r>
      <w:bookmarkStart w:id="1" w:name="Original"/>
      <w:r w:rsidR="00336188" w:rsidRPr="006236CF">
        <w:rPr>
          <w:rFonts w:ascii="Arial Black" w:hAnsi="Arial Black"/>
          <w:caps/>
          <w:sz w:val="15"/>
          <w:szCs w:val="15"/>
        </w:rPr>
        <w:t>anglais</w:t>
      </w:r>
    </w:p>
    <w:bookmarkEnd w:id="1"/>
    <w:p w14:paraId="22B17497" w14:textId="0427BED0" w:rsidR="008B2CC1" w:rsidRPr="006236CF" w:rsidRDefault="00B66A77" w:rsidP="002D215E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6236CF">
        <w:rPr>
          <w:rFonts w:ascii="Arial Black" w:hAnsi="Arial Black"/>
          <w:caps/>
          <w:sz w:val="15"/>
          <w:szCs w:val="15"/>
        </w:rPr>
        <w:t>D</w:t>
      </w:r>
      <w:r w:rsidR="00DB0349" w:rsidRPr="006236CF">
        <w:rPr>
          <w:rFonts w:ascii="Arial Black" w:hAnsi="Arial Black"/>
          <w:caps/>
          <w:sz w:val="15"/>
          <w:szCs w:val="15"/>
        </w:rPr>
        <w:t>ate</w:t>
      </w:r>
      <w:r w:rsidR="002D215E" w:rsidRPr="006236CF">
        <w:rPr>
          <w:rFonts w:ascii="Arial Black" w:hAnsi="Arial Black"/>
          <w:caps/>
          <w:sz w:val="15"/>
          <w:szCs w:val="15"/>
        </w:rPr>
        <w:t> :</w:t>
      </w:r>
      <w:r w:rsidR="00DB0349" w:rsidRPr="006236CF">
        <w:rPr>
          <w:rFonts w:ascii="Arial Black" w:hAnsi="Arial Black"/>
          <w:caps/>
          <w:sz w:val="15"/>
          <w:szCs w:val="15"/>
        </w:rPr>
        <w:t xml:space="preserve"> </w:t>
      </w:r>
      <w:bookmarkStart w:id="2" w:name="Date"/>
      <w:r w:rsidR="00336188" w:rsidRPr="006236CF">
        <w:rPr>
          <w:rFonts w:ascii="Arial Black" w:hAnsi="Arial Black"/>
          <w:caps/>
          <w:sz w:val="15"/>
          <w:szCs w:val="15"/>
        </w:rPr>
        <w:t>8 octobre 2025</w:t>
      </w:r>
    </w:p>
    <w:bookmarkEnd w:id="2"/>
    <w:p w14:paraId="0CD277CF" w14:textId="63CB500E" w:rsidR="00C40E15" w:rsidRPr="006236CF" w:rsidRDefault="00197881" w:rsidP="002D215E">
      <w:pPr>
        <w:spacing w:after="600"/>
        <w:rPr>
          <w:b/>
          <w:sz w:val="28"/>
          <w:szCs w:val="28"/>
        </w:rPr>
      </w:pPr>
      <w:r w:rsidRPr="006236CF">
        <w:rPr>
          <w:b/>
          <w:sz w:val="28"/>
          <w:szCs w:val="28"/>
        </w:rPr>
        <w:t>Comité des normes de l</w:t>
      </w:r>
      <w:r w:rsidR="002D215E" w:rsidRPr="006236CF">
        <w:rPr>
          <w:b/>
          <w:sz w:val="28"/>
          <w:szCs w:val="28"/>
        </w:rPr>
        <w:t>’</w:t>
      </w:r>
      <w:r w:rsidRPr="006236CF">
        <w:rPr>
          <w:b/>
          <w:sz w:val="28"/>
          <w:szCs w:val="28"/>
        </w:rPr>
        <w:t>OMPI (CWS)</w:t>
      </w:r>
    </w:p>
    <w:p w14:paraId="014B0776" w14:textId="17EF8C98" w:rsidR="008B2CC1" w:rsidRPr="006236CF" w:rsidRDefault="0099108F" w:rsidP="002D215E">
      <w:pPr>
        <w:rPr>
          <w:b/>
          <w:sz w:val="28"/>
          <w:szCs w:val="24"/>
        </w:rPr>
      </w:pPr>
      <w:r w:rsidRPr="006236CF">
        <w:rPr>
          <w:b/>
          <w:sz w:val="24"/>
        </w:rPr>
        <w:t>Treiz</w:t>
      </w:r>
      <w:r w:rsidR="002D215E" w:rsidRPr="006236CF">
        <w:rPr>
          <w:b/>
          <w:sz w:val="24"/>
        </w:rPr>
        <w:t>ième session</w:t>
      </w:r>
    </w:p>
    <w:p w14:paraId="3669E361" w14:textId="77777777" w:rsidR="008B2CC1" w:rsidRPr="006236CF" w:rsidRDefault="00197881" w:rsidP="002D215E">
      <w:pPr>
        <w:spacing w:after="720"/>
        <w:rPr>
          <w:b/>
          <w:sz w:val="28"/>
          <w:szCs w:val="24"/>
        </w:rPr>
      </w:pPr>
      <w:r w:rsidRPr="006236CF">
        <w:rPr>
          <w:b/>
          <w:sz w:val="24"/>
        </w:rPr>
        <w:t>Genève,</w:t>
      </w:r>
      <w:r w:rsidR="001352EC" w:rsidRPr="006236CF">
        <w:rPr>
          <w:b/>
          <w:sz w:val="24"/>
        </w:rPr>
        <w:t xml:space="preserve"> 1</w:t>
      </w:r>
      <w:r w:rsidR="0099108F" w:rsidRPr="006236CF">
        <w:rPr>
          <w:b/>
          <w:sz w:val="24"/>
        </w:rPr>
        <w:t>0</w:t>
      </w:r>
      <w:r w:rsidR="001352EC" w:rsidRPr="006236CF">
        <w:rPr>
          <w:b/>
          <w:sz w:val="24"/>
        </w:rPr>
        <w:t xml:space="preserve"> – </w:t>
      </w:r>
      <w:r w:rsidR="0099108F" w:rsidRPr="006236CF">
        <w:rPr>
          <w:b/>
          <w:sz w:val="24"/>
        </w:rPr>
        <w:t>14 nov</w:t>
      </w:r>
      <w:r w:rsidR="001352EC" w:rsidRPr="006236CF">
        <w:rPr>
          <w:b/>
          <w:sz w:val="24"/>
        </w:rPr>
        <w:t>embre</w:t>
      </w:r>
      <w:r w:rsidR="0099108F" w:rsidRPr="006236CF">
        <w:rPr>
          <w:b/>
          <w:sz w:val="24"/>
        </w:rPr>
        <w:t> </w:t>
      </w:r>
      <w:r w:rsidR="001352EC" w:rsidRPr="006236CF">
        <w:rPr>
          <w:b/>
          <w:sz w:val="24"/>
        </w:rPr>
        <w:t>202</w:t>
      </w:r>
      <w:r w:rsidR="0099108F" w:rsidRPr="006236CF">
        <w:rPr>
          <w:b/>
          <w:sz w:val="24"/>
        </w:rPr>
        <w:t>5</w:t>
      </w:r>
    </w:p>
    <w:p w14:paraId="21C29171" w14:textId="517A7360" w:rsidR="00336188" w:rsidRPr="006236CF" w:rsidRDefault="00336188" w:rsidP="002D215E">
      <w:pPr>
        <w:spacing w:after="360"/>
        <w:rPr>
          <w:caps/>
          <w:sz w:val="24"/>
        </w:rPr>
      </w:pPr>
      <w:bookmarkStart w:id="3" w:name="TitleOfDoc"/>
      <w:r w:rsidRPr="006236CF">
        <w:rPr>
          <w:caps/>
          <w:sz w:val="24"/>
        </w:rPr>
        <w:t>Proposition de révision de la norme ST.</w:t>
      </w:r>
      <w:bookmarkEnd w:id="3"/>
      <w:r w:rsidRPr="006236CF">
        <w:rPr>
          <w:caps/>
          <w:sz w:val="24"/>
        </w:rPr>
        <w:t>90 de l</w:t>
      </w:r>
      <w:r w:rsidR="002D215E" w:rsidRPr="006236CF">
        <w:rPr>
          <w:caps/>
          <w:sz w:val="24"/>
        </w:rPr>
        <w:t>’</w:t>
      </w:r>
      <w:r w:rsidRPr="006236CF">
        <w:rPr>
          <w:caps/>
          <w:sz w:val="24"/>
        </w:rPr>
        <w:t>OMPI</w:t>
      </w:r>
    </w:p>
    <w:p w14:paraId="405255AC" w14:textId="653DF7C7" w:rsidR="00336188" w:rsidRPr="006236CF" w:rsidRDefault="00336188" w:rsidP="002D215E">
      <w:pPr>
        <w:spacing w:after="960"/>
        <w:rPr>
          <w:i/>
        </w:rPr>
      </w:pPr>
      <w:bookmarkStart w:id="4" w:name="Prepared"/>
      <w:r w:rsidRPr="006236CF">
        <w:rPr>
          <w:i/>
          <w:iCs/>
        </w:rPr>
        <w:t xml:space="preserve">Document établi par </w:t>
      </w:r>
      <w:bookmarkEnd w:id="4"/>
      <w:r w:rsidRPr="006236CF">
        <w:rPr>
          <w:i/>
          <w:iCs/>
        </w:rPr>
        <w:t>les coresponsables de l</w:t>
      </w:r>
      <w:r w:rsidR="002D215E" w:rsidRPr="006236CF">
        <w:rPr>
          <w:i/>
          <w:iCs/>
        </w:rPr>
        <w:t>’</w:t>
      </w:r>
      <w:r w:rsidRPr="006236CF">
        <w:rPr>
          <w:i/>
          <w:iCs/>
        </w:rPr>
        <w:t>Équipe d</w:t>
      </w:r>
      <w:r w:rsidR="002D215E" w:rsidRPr="006236CF">
        <w:rPr>
          <w:i/>
          <w:iCs/>
        </w:rPr>
        <w:t>’</w:t>
      </w:r>
      <w:r w:rsidRPr="006236CF">
        <w:rPr>
          <w:i/>
          <w:iCs/>
        </w:rPr>
        <w:t>experts chargée</w:t>
      </w:r>
      <w:r w:rsidR="002D215E" w:rsidRPr="006236CF">
        <w:rPr>
          <w:i/>
          <w:iCs/>
        </w:rPr>
        <w:t xml:space="preserve"> des API</w:t>
      </w:r>
    </w:p>
    <w:p w14:paraId="31AD837F" w14:textId="77777777" w:rsidR="00336188" w:rsidRPr="006236CF" w:rsidRDefault="00336188" w:rsidP="006236CF">
      <w:pPr>
        <w:pStyle w:val="Heading2"/>
      </w:pPr>
      <w:r w:rsidRPr="006236CF">
        <w:t>Résumé</w:t>
      </w:r>
    </w:p>
    <w:p w14:paraId="689A7B12" w14:textId="472AE1F4" w:rsidR="00336188" w:rsidRPr="006236CF" w:rsidRDefault="00336188" w:rsidP="002D215E">
      <w:pPr>
        <w:pStyle w:val="ONUMFS"/>
      </w:pPr>
      <w:r w:rsidRPr="006236CF">
        <w:t>L</w:t>
      </w:r>
      <w:r w:rsidR="002D215E" w:rsidRPr="006236CF">
        <w:t>’</w:t>
      </w:r>
      <w:r w:rsidRPr="006236CF">
        <w:t>Équipe d</w:t>
      </w:r>
      <w:r w:rsidR="002D215E" w:rsidRPr="006236CF">
        <w:t>’</w:t>
      </w:r>
      <w:r w:rsidRPr="006236CF">
        <w:t>experts chargée</w:t>
      </w:r>
      <w:r w:rsidR="002D215E" w:rsidRPr="006236CF">
        <w:t xml:space="preserve"> des API</w:t>
      </w:r>
      <w:r w:rsidRPr="006236CF">
        <w:t xml:space="preserve"> propose une révision de la norme ST.90 de l</w:t>
      </w:r>
      <w:r w:rsidR="002D215E" w:rsidRPr="006236CF">
        <w:t>’</w:t>
      </w:r>
      <w:r w:rsidRPr="006236CF">
        <w:t>OMPI, notamment le remplacement des normes et conventions obsolètes de l</w:t>
      </w:r>
      <w:r w:rsidR="002D215E" w:rsidRPr="006236CF">
        <w:t>’</w:t>
      </w:r>
      <w:r w:rsidRPr="006236CF">
        <w:t>industrie de l</w:t>
      </w:r>
      <w:r w:rsidR="002D215E" w:rsidRPr="006236CF">
        <w:t>’</w:t>
      </w:r>
      <w:r w:rsidRPr="006236CF">
        <w:t>Internet par des références actualisées, l</w:t>
      </w:r>
      <w:r w:rsidR="002D215E" w:rsidRPr="006236CF">
        <w:t>’</w:t>
      </w:r>
      <w:r w:rsidRPr="006236CF">
        <w:t>amélioration de la clarté et de la cohérence de certaines descriptions de règles, un format amélioré pour l</w:t>
      </w:r>
      <w:r w:rsidR="002D215E" w:rsidRPr="006236CF">
        <w:t>’annexe I</w:t>
      </w:r>
      <w:r w:rsidRPr="006236CF">
        <w:t xml:space="preserve"> de la norme ST.90, “Liste des règles et conventions de conception des services Web RESTful”, et une meilleure intégration du vocabulaire de la norme ST.97 de l</w:t>
      </w:r>
      <w:r w:rsidR="002D215E" w:rsidRPr="006236CF">
        <w:t>’</w:t>
      </w:r>
      <w:r w:rsidRPr="006236CF">
        <w:t>OMPI dans l</w:t>
      </w:r>
      <w:r w:rsidR="002D215E" w:rsidRPr="006236CF">
        <w:t>’</w:t>
      </w:r>
      <w:r w:rsidRPr="006236CF">
        <w:t>annexe II de la norme ST.90.</w:t>
      </w:r>
    </w:p>
    <w:p w14:paraId="09705CE0" w14:textId="77777777" w:rsidR="00336188" w:rsidRPr="006236CF" w:rsidRDefault="00336188" w:rsidP="006236CF">
      <w:pPr>
        <w:pStyle w:val="Heading2"/>
      </w:pPr>
      <w:r w:rsidRPr="006236CF">
        <w:t>Rappel</w:t>
      </w:r>
    </w:p>
    <w:p w14:paraId="36A7B01A" w14:textId="6052DA91" w:rsidR="00336188" w:rsidRPr="006236CF" w:rsidRDefault="00336188" w:rsidP="002D215E">
      <w:pPr>
        <w:pStyle w:val="ONUMFS"/>
        <w:rPr>
          <w:iCs/>
          <w:color w:val="000000" w:themeColor="text1"/>
        </w:rPr>
      </w:pPr>
      <w:r w:rsidRPr="006236CF">
        <w:t>L</w:t>
      </w:r>
      <w:r w:rsidR="002D215E" w:rsidRPr="006236CF">
        <w:t>’</w:t>
      </w:r>
      <w:r w:rsidRPr="006236CF">
        <w:t>Équipe d</w:t>
      </w:r>
      <w:r w:rsidR="002D215E" w:rsidRPr="006236CF">
        <w:t>’</w:t>
      </w:r>
      <w:r w:rsidRPr="006236CF">
        <w:t>experts chargée</w:t>
      </w:r>
      <w:r w:rsidR="002D215E" w:rsidRPr="006236CF">
        <w:t xml:space="preserve"> des API</w:t>
      </w:r>
      <w:r w:rsidRPr="006236CF">
        <w:t xml:space="preserve"> est responsable de la révision de la norme ST.90 de l</w:t>
      </w:r>
      <w:r w:rsidR="002D215E" w:rsidRPr="006236CF">
        <w:t>’</w:t>
      </w:r>
      <w:r w:rsidRPr="006236CF">
        <w:t>OMPI, dans le cadre de la tâche n° 56 dont la description est ainsi libellée</w:t>
      </w:r>
      <w:r w:rsidR="002D215E" w:rsidRPr="006236CF">
        <w:t> :</w:t>
      </w:r>
    </w:p>
    <w:p w14:paraId="5A1BAE29" w14:textId="0B3D00E7" w:rsidR="00336188" w:rsidRPr="006236CF" w:rsidRDefault="00336188" w:rsidP="006236CF">
      <w:pPr>
        <w:pStyle w:val="ONUMFS"/>
        <w:numPr>
          <w:ilvl w:val="0"/>
          <w:numId w:val="0"/>
        </w:numPr>
        <w:ind w:firstLine="567"/>
        <w:rPr>
          <w:iCs/>
          <w:color w:val="000000" w:themeColor="text1"/>
        </w:rPr>
      </w:pPr>
      <w:r w:rsidRPr="006236CF">
        <w:rPr>
          <w:i/>
          <w:color w:val="000000" w:themeColor="text1"/>
        </w:rPr>
        <w:t>“Procéder aux révisions et mises à jour nécessaires de la norme ST.90 de l</w:t>
      </w:r>
      <w:r w:rsidR="002D215E" w:rsidRPr="006236CF">
        <w:rPr>
          <w:i/>
          <w:color w:val="000000" w:themeColor="text1"/>
        </w:rPr>
        <w:t>’</w:t>
      </w:r>
      <w:r w:rsidRPr="006236CF">
        <w:rPr>
          <w:i/>
          <w:color w:val="000000" w:themeColor="text1"/>
        </w:rPr>
        <w:t>OMPI;  aider le Bureau international à promouvoir et à mettre en œuvre la norme ST.90 de l</w:t>
      </w:r>
      <w:r w:rsidR="002D215E" w:rsidRPr="006236CF">
        <w:rPr>
          <w:i/>
          <w:color w:val="000000" w:themeColor="text1"/>
        </w:rPr>
        <w:t>’</w:t>
      </w:r>
      <w:r w:rsidRPr="006236CF">
        <w:rPr>
          <w:i/>
          <w:color w:val="000000" w:themeColor="text1"/>
        </w:rPr>
        <w:t>OMPI;  et promouvoir le Catalogue</w:t>
      </w:r>
      <w:r w:rsidR="002D215E" w:rsidRPr="006236CF">
        <w:rPr>
          <w:i/>
          <w:color w:val="000000" w:themeColor="text1"/>
        </w:rPr>
        <w:t xml:space="preserve"> des API</w:t>
      </w:r>
      <w:r w:rsidRPr="006236CF">
        <w:rPr>
          <w:i/>
          <w:color w:val="000000" w:themeColor="text1"/>
        </w:rPr>
        <w:t xml:space="preserve"> en matière de propriété intellectuelle”</w:t>
      </w:r>
      <w:r w:rsidR="006236CF" w:rsidRPr="006236CF">
        <w:rPr>
          <w:iCs/>
          <w:color w:val="000000" w:themeColor="text1"/>
        </w:rPr>
        <w:t>.</w:t>
      </w:r>
    </w:p>
    <w:p w14:paraId="72F53721" w14:textId="18DD7948" w:rsidR="00336188" w:rsidRPr="006236CF" w:rsidRDefault="00336188" w:rsidP="002D215E">
      <w:pPr>
        <w:pStyle w:val="ONUMFS"/>
        <w:rPr>
          <w:color w:val="000000" w:themeColor="text1"/>
        </w:rPr>
      </w:pPr>
      <w:r w:rsidRPr="006236CF">
        <w:t>À sa huit</w:t>
      </w:r>
      <w:r w:rsidR="002D215E" w:rsidRPr="006236CF">
        <w:t>ième session</w:t>
      </w:r>
      <w:r w:rsidRPr="006236CF">
        <w:t xml:space="preserve"> tenue </w:t>
      </w:r>
      <w:r w:rsidR="002D215E" w:rsidRPr="006236CF">
        <w:t>en 2020</w:t>
      </w:r>
      <w:r w:rsidRPr="006236CF">
        <w:t>,</w:t>
      </w:r>
      <w:r w:rsidR="002D215E" w:rsidRPr="006236CF">
        <w:t xml:space="preserve"> le CWS</w:t>
      </w:r>
      <w:r w:rsidRPr="006236CF">
        <w:t xml:space="preserve"> a adopté la norme ST.90 de l</w:t>
      </w:r>
      <w:r w:rsidR="002D215E" w:rsidRPr="006236CF">
        <w:t>’</w:t>
      </w:r>
      <w:r w:rsidRPr="006236CF">
        <w:t>OMPI intitulée “</w:t>
      </w:r>
      <w:r w:rsidRPr="006236CF">
        <w:rPr>
          <w:i/>
          <w:iCs/>
        </w:rPr>
        <w:t>Recommandations relatives au traitement et à la communication des données de propriété intellectuelle aux API Web (interfaces de programmation d</w:t>
      </w:r>
      <w:r w:rsidR="002D215E" w:rsidRPr="006236CF">
        <w:rPr>
          <w:i/>
          <w:iCs/>
        </w:rPr>
        <w:t>’</w:t>
      </w:r>
      <w:r w:rsidRPr="006236CF">
        <w:rPr>
          <w:i/>
          <w:iCs/>
        </w:rPr>
        <w:t>application)</w:t>
      </w:r>
      <w:r w:rsidRPr="006236CF">
        <w:t>”.</w:t>
      </w:r>
    </w:p>
    <w:p w14:paraId="4450DDD5" w14:textId="3D692E8D" w:rsidR="00336188" w:rsidRPr="006236CF" w:rsidRDefault="00336188" w:rsidP="002D215E">
      <w:pPr>
        <w:pStyle w:val="ONUMFS"/>
        <w:rPr>
          <w:color w:val="000000" w:themeColor="text1"/>
        </w:rPr>
      </w:pPr>
      <w:r w:rsidRPr="006236CF">
        <w:t>À sa dix</w:t>
      </w:r>
      <w:r w:rsidR="002D215E" w:rsidRPr="006236CF">
        <w:t>ième session</w:t>
      </w:r>
      <w:r w:rsidRPr="006236CF">
        <w:t>,</w:t>
      </w:r>
      <w:r w:rsidR="002D215E" w:rsidRPr="006236CF">
        <w:t xml:space="preserve"> le CWS</w:t>
      </w:r>
      <w:r w:rsidRPr="006236CF">
        <w:t xml:space="preserve"> a approuvé la version 1.1 de la norme ST.90 de l</w:t>
      </w:r>
      <w:r w:rsidR="002D215E" w:rsidRPr="006236CF">
        <w:t>’</w:t>
      </w:r>
      <w:r w:rsidRPr="006236CF">
        <w:t>OMPI, qui contenait des renvois à la norme ST.97 de l</w:t>
      </w:r>
      <w:r w:rsidR="002D215E" w:rsidRPr="006236CF">
        <w:t>’</w:t>
      </w:r>
      <w:r w:rsidRPr="006236CF">
        <w:t>OMPI récemment adoptée, ainsi que d</w:t>
      </w:r>
      <w:r w:rsidR="002D215E" w:rsidRPr="006236CF">
        <w:t>’</w:t>
      </w:r>
      <w:r w:rsidRPr="006236CF">
        <w:t>autres mises à jour nécessaires d</w:t>
      </w:r>
      <w:r w:rsidR="002D215E" w:rsidRPr="006236CF">
        <w:t>’</w:t>
      </w:r>
      <w:r w:rsidRPr="006236CF">
        <w:t>ordre rédactionn</w:t>
      </w:r>
      <w:r w:rsidR="006236CF" w:rsidRPr="006236CF">
        <w:t xml:space="preserve">el.  </w:t>
      </w:r>
      <w:r w:rsidR="006236CF" w:rsidRPr="006236CF">
        <w:rPr>
          <w:color w:val="000000" w:themeColor="text1"/>
        </w:rPr>
        <w:t>La</w:t>
      </w:r>
      <w:r w:rsidRPr="006236CF">
        <w:rPr>
          <w:color w:val="000000" w:themeColor="text1"/>
        </w:rPr>
        <w:t xml:space="preserve"> version révisée a été publiée </w:t>
      </w:r>
      <w:r w:rsidR="002D215E" w:rsidRPr="006236CF">
        <w:rPr>
          <w:color w:val="000000" w:themeColor="text1"/>
        </w:rPr>
        <w:t>en 2023</w:t>
      </w:r>
      <w:r w:rsidRPr="006236CF">
        <w:rPr>
          <w:color w:val="000000" w:themeColor="text1"/>
        </w:rPr>
        <w:t>.</w:t>
      </w:r>
    </w:p>
    <w:p w14:paraId="6D5AFD22" w14:textId="3214E5E8" w:rsidR="00336188" w:rsidRPr="006236CF" w:rsidRDefault="00336188" w:rsidP="002D215E">
      <w:pPr>
        <w:pStyle w:val="ONUMFS"/>
      </w:pPr>
      <w:r w:rsidRPr="006236CF">
        <w:lastRenderedPageBreak/>
        <w:t>En ce qui concerne la tâche n° 64, l</w:t>
      </w:r>
      <w:r w:rsidR="002D215E" w:rsidRPr="006236CF">
        <w:t>’</w:t>
      </w:r>
      <w:r w:rsidRPr="006236CF">
        <w:t>Équipe d</w:t>
      </w:r>
      <w:r w:rsidR="002D215E" w:rsidRPr="006236CF">
        <w:t>’</w:t>
      </w:r>
      <w:r w:rsidRPr="006236CF">
        <w:t>experts chargée</w:t>
      </w:r>
      <w:r w:rsidR="002D215E" w:rsidRPr="006236CF">
        <w:t xml:space="preserve"> des API</w:t>
      </w:r>
      <w:r w:rsidRPr="006236CF">
        <w:t xml:space="preserve"> s</w:t>
      </w:r>
      <w:r w:rsidR="002D215E" w:rsidRPr="006236CF">
        <w:t>’</w:t>
      </w:r>
      <w:r w:rsidRPr="006236CF">
        <w:t>est réunie virtuellement tous les trimestres tout au long de l</w:t>
      </w:r>
      <w:r w:rsidR="002D215E" w:rsidRPr="006236CF">
        <w:t>’</w:t>
      </w:r>
      <w:r w:rsidRPr="006236CF">
        <w:t>année 2025 et a discuté des améliorations à apporter à la norme ST.90 de l</w:t>
      </w:r>
      <w:r w:rsidR="002D215E" w:rsidRPr="006236CF">
        <w:t>’</w:t>
      </w:r>
      <w:r w:rsidRPr="006236CF">
        <w:t>O</w:t>
      </w:r>
      <w:r w:rsidR="006236CF" w:rsidRPr="006236CF">
        <w:t>MPI.  En</w:t>
      </w:r>
      <w:r w:rsidRPr="006236CF">
        <w:t xml:space="preserve"> outre, une réunion conjointe de l</w:t>
      </w:r>
      <w:r w:rsidR="002D215E" w:rsidRPr="006236CF">
        <w:t>’</w:t>
      </w:r>
      <w:r w:rsidRPr="006236CF">
        <w:t>Équipe d</w:t>
      </w:r>
      <w:r w:rsidR="002D215E" w:rsidRPr="006236CF">
        <w:t>’</w:t>
      </w:r>
      <w:r w:rsidRPr="006236CF">
        <w:t>experts chargée</w:t>
      </w:r>
      <w:r w:rsidR="002D215E" w:rsidRPr="006236CF">
        <w:t xml:space="preserve"> des API</w:t>
      </w:r>
      <w:r w:rsidRPr="006236CF">
        <w:t xml:space="preserve"> et de l</w:t>
      </w:r>
      <w:r w:rsidR="002D215E" w:rsidRPr="006236CF">
        <w:t>’</w:t>
      </w:r>
      <w:r w:rsidRPr="006236CF">
        <w:t>Équipe d</w:t>
      </w:r>
      <w:r w:rsidR="002D215E" w:rsidRPr="006236CF">
        <w:t>’</w:t>
      </w:r>
      <w:r w:rsidRPr="006236CF">
        <w:t>experts chargée de la norme XML4IP s</w:t>
      </w:r>
      <w:r w:rsidR="002D215E" w:rsidRPr="006236CF">
        <w:t>’</w:t>
      </w:r>
      <w:r w:rsidRPr="006236CF">
        <w:t>est tenue sous forme hybride à Genève et en ligne du 21 au 24 </w:t>
      </w:r>
      <w:r w:rsidR="002D215E" w:rsidRPr="006236CF">
        <w:t>juillet 20</w:t>
      </w:r>
      <w:r w:rsidRPr="006236CF">
        <w:t>25.  Durant cette réunion, les équipes d</w:t>
      </w:r>
      <w:r w:rsidR="002D215E" w:rsidRPr="006236CF">
        <w:t>’</w:t>
      </w:r>
      <w:r w:rsidRPr="006236CF">
        <w:t>experts ont collaboré à la rédaction d</w:t>
      </w:r>
      <w:r w:rsidR="002D215E" w:rsidRPr="006236CF">
        <w:t>’</w:t>
      </w:r>
      <w:r w:rsidRPr="006236CF">
        <w:t>un projet de révision de la norme ST.90 de l</w:t>
      </w:r>
      <w:r w:rsidR="002D215E" w:rsidRPr="006236CF">
        <w:t>’</w:t>
      </w:r>
      <w:r w:rsidRPr="006236CF">
        <w:t>OMPI, pour</w:t>
      </w:r>
      <w:r w:rsidR="002D215E" w:rsidRPr="006236CF">
        <w:t> :</w:t>
      </w:r>
    </w:p>
    <w:p w14:paraId="56ADE980" w14:textId="719BD066" w:rsidR="00336188" w:rsidRPr="006236CF" w:rsidRDefault="00336188" w:rsidP="006236CF">
      <w:pPr>
        <w:pStyle w:val="ONUMFS"/>
        <w:numPr>
          <w:ilvl w:val="0"/>
          <w:numId w:val="14"/>
        </w:numPr>
        <w:ind w:left="1134" w:hanging="567"/>
      </w:pPr>
      <w:r w:rsidRPr="006236CF">
        <w:t>mettre à jour les renvois à des normes et conventions obsolètes, notamment plusieurs appels à observations (RFC) de l</w:t>
      </w:r>
      <w:r w:rsidR="002D215E" w:rsidRPr="006236CF">
        <w:t>’</w:t>
      </w:r>
      <w:r w:rsidRPr="006236CF">
        <w:t xml:space="preserve">Internet Engineering </w:t>
      </w:r>
      <w:proofErr w:type="spellStart"/>
      <w:r w:rsidRPr="006236CF">
        <w:t>Task</w:t>
      </w:r>
      <w:proofErr w:type="spellEnd"/>
      <w:r w:rsidRPr="006236CF">
        <w:t xml:space="preserve"> Force (IETF);</w:t>
      </w:r>
    </w:p>
    <w:p w14:paraId="68E3BFEB" w14:textId="125BD343" w:rsidR="00336188" w:rsidRPr="006236CF" w:rsidRDefault="00336188" w:rsidP="006236CF">
      <w:pPr>
        <w:pStyle w:val="ONUMFS"/>
        <w:numPr>
          <w:ilvl w:val="0"/>
          <w:numId w:val="14"/>
        </w:numPr>
        <w:ind w:left="1134" w:hanging="567"/>
      </w:pPr>
      <w:r w:rsidRPr="006236CF">
        <w:t>réviser plusieurs descriptions de règles, afin de les mettre en conformité avec les principes directeurs les plus récents définis par l</w:t>
      </w:r>
      <w:r w:rsidR="002D215E" w:rsidRPr="006236CF">
        <w:t>’</w:t>
      </w:r>
      <w:r w:rsidRPr="006236CF">
        <w:t>IETF;</w:t>
      </w:r>
    </w:p>
    <w:p w14:paraId="04469435" w14:textId="77777777" w:rsidR="00336188" w:rsidRPr="006236CF" w:rsidRDefault="00336188" w:rsidP="006236CF">
      <w:pPr>
        <w:pStyle w:val="ONUMFS"/>
        <w:numPr>
          <w:ilvl w:val="0"/>
          <w:numId w:val="14"/>
        </w:numPr>
        <w:ind w:left="1134" w:hanging="567"/>
      </w:pPr>
      <w:r w:rsidRPr="006236CF">
        <w:t>ajouter des exemples supplémentaires nécessaires pour clarifier la mise en œuvre;</w:t>
      </w:r>
    </w:p>
    <w:p w14:paraId="22B07612" w14:textId="77777777" w:rsidR="00336188" w:rsidRPr="006236CF" w:rsidRDefault="00336188" w:rsidP="006236CF">
      <w:pPr>
        <w:pStyle w:val="ONUMFS"/>
        <w:numPr>
          <w:ilvl w:val="0"/>
          <w:numId w:val="14"/>
        </w:numPr>
        <w:ind w:left="1134" w:hanging="567"/>
      </w:pPr>
      <w:r w:rsidRPr="006236CF">
        <w:t>apporter des améliorations rédactionnelles et des corrections grammaticales mineures;</w:t>
      </w:r>
    </w:p>
    <w:p w14:paraId="66AE4895" w14:textId="170A64E9" w:rsidR="00336188" w:rsidRPr="006236CF" w:rsidRDefault="00336188" w:rsidP="006236CF">
      <w:pPr>
        <w:pStyle w:val="ONUMFS"/>
        <w:numPr>
          <w:ilvl w:val="0"/>
          <w:numId w:val="14"/>
        </w:numPr>
        <w:ind w:left="1134" w:hanging="567"/>
      </w:pPr>
      <w:r w:rsidRPr="006236CF">
        <w:t>améliorer la lisibilité de l</w:t>
      </w:r>
      <w:r w:rsidR="002D215E" w:rsidRPr="006236CF">
        <w:t>’annexe I</w:t>
      </w:r>
      <w:r w:rsidRPr="006236CF">
        <w:t xml:space="preserve">; </w:t>
      </w:r>
      <w:r w:rsidR="009D040C" w:rsidRPr="006236CF">
        <w:t xml:space="preserve"> </w:t>
      </w:r>
      <w:r w:rsidRPr="006236CF">
        <w:t>et</w:t>
      </w:r>
    </w:p>
    <w:p w14:paraId="4723773C" w14:textId="5733D039" w:rsidR="00336188" w:rsidRPr="006236CF" w:rsidRDefault="00336188" w:rsidP="006236CF">
      <w:pPr>
        <w:pStyle w:val="ONUMFS"/>
        <w:numPr>
          <w:ilvl w:val="0"/>
          <w:numId w:val="14"/>
        </w:numPr>
        <w:ind w:left="1134" w:hanging="567"/>
      </w:pPr>
      <w:r w:rsidRPr="006236CF">
        <w:t>ajouter des renvois au vocabulaire de la norme ST.97 de l</w:t>
      </w:r>
      <w:r w:rsidR="002D215E" w:rsidRPr="006236CF">
        <w:t>’</w:t>
      </w:r>
      <w:r w:rsidRPr="006236CF">
        <w:t>OMPI dans l</w:t>
      </w:r>
      <w:r w:rsidR="002D215E" w:rsidRPr="006236CF">
        <w:t>’</w:t>
      </w:r>
      <w:r w:rsidRPr="006236CF">
        <w:t>annexe II de la norme ST.90 de l</w:t>
      </w:r>
      <w:r w:rsidR="002D215E" w:rsidRPr="006236CF">
        <w:t>’</w:t>
      </w:r>
      <w:r w:rsidRPr="006236CF">
        <w:t>OMPI.</w:t>
      </w:r>
    </w:p>
    <w:p w14:paraId="6898ACE1" w14:textId="673472D2" w:rsidR="002D215E" w:rsidRPr="006236CF" w:rsidRDefault="00336188" w:rsidP="006236CF">
      <w:pPr>
        <w:pStyle w:val="ONUMFS"/>
        <w:numPr>
          <w:ilvl w:val="0"/>
          <w:numId w:val="0"/>
        </w:numPr>
      </w:pPr>
      <w:r w:rsidRPr="006236CF">
        <w:t>De plus amples informations concernant les travaux de l</w:t>
      </w:r>
      <w:r w:rsidR="002D215E" w:rsidRPr="006236CF">
        <w:t>’</w:t>
      </w:r>
      <w:r w:rsidRPr="006236CF">
        <w:t>équipe d</w:t>
      </w:r>
      <w:r w:rsidR="002D215E" w:rsidRPr="006236CF">
        <w:t>’</w:t>
      </w:r>
      <w:r w:rsidRPr="006236CF">
        <w:t xml:space="preserve">experts depuis la dernière session du CWS sont présentées dans le </w:t>
      </w:r>
      <w:r w:rsidR="002D215E" w:rsidRPr="006236CF">
        <w:t>document</w:t>
      </w:r>
      <w:r w:rsidR="006236CF">
        <w:t> </w:t>
      </w:r>
      <w:r w:rsidR="002D215E" w:rsidRPr="006236CF">
        <w:t>CW</w:t>
      </w:r>
      <w:r w:rsidRPr="006236CF">
        <w:t>S/13/8.</w:t>
      </w:r>
    </w:p>
    <w:p w14:paraId="0532CC0D" w14:textId="132AB61A" w:rsidR="00336188" w:rsidRPr="006236CF" w:rsidRDefault="00336188" w:rsidP="006236CF">
      <w:pPr>
        <w:pStyle w:val="Heading2"/>
      </w:pPr>
      <w:r w:rsidRPr="006236CF">
        <w:t>Proposition de révision</w:t>
      </w:r>
    </w:p>
    <w:p w14:paraId="08CAC37A" w14:textId="0FE71266" w:rsidR="00336188" w:rsidRPr="006236CF" w:rsidRDefault="00336188" w:rsidP="002D215E">
      <w:pPr>
        <w:pStyle w:val="ONUMFS"/>
      </w:pPr>
      <w:r w:rsidRPr="006236CF">
        <w:t>L</w:t>
      </w:r>
      <w:r w:rsidR="002D215E" w:rsidRPr="006236CF">
        <w:t>’</w:t>
      </w:r>
      <w:r w:rsidRPr="006236CF">
        <w:t>Équipe d</w:t>
      </w:r>
      <w:r w:rsidR="002D215E" w:rsidRPr="006236CF">
        <w:t>’</w:t>
      </w:r>
      <w:r w:rsidRPr="006236CF">
        <w:t>experts chargée</w:t>
      </w:r>
      <w:r w:rsidR="002D215E" w:rsidRPr="006236CF">
        <w:t xml:space="preserve"> des API</w:t>
      </w:r>
      <w:r w:rsidRPr="006236CF">
        <w:t xml:space="preserve"> a élaboré une proposition de révision de la norme ST.90 de l</w:t>
      </w:r>
      <w:r w:rsidR="002D215E" w:rsidRPr="006236CF">
        <w:t>’</w:t>
      </w:r>
      <w:r w:rsidRPr="006236CF">
        <w:t>OMPI pour examen et, le cas échéant, approbation par le </w:t>
      </w:r>
      <w:r w:rsidR="006236CF" w:rsidRPr="006236CF">
        <w:t>CWS.  La</w:t>
      </w:r>
      <w:r w:rsidRPr="006236CF">
        <w:t xml:space="preserve"> proposition de révision de la norme figure à l</w:t>
      </w:r>
      <w:r w:rsidR="002D215E" w:rsidRPr="006236CF">
        <w:t>’</w:t>
      </w:r>
      <w:r w:rsidRPr="006236CF">
        <w:t>annexe du présent document et toutes les modifications sont indiquées en mode “changements apparents”.  Le texte biffé indique une suppression et le texte souligné indique un ajout.</w:t>
      </w:r>
    </w:p>
    <w:p w14:paraId="65B9CE00" w14:textId="2EB98B7B" w:rsidR="00336188" w:rsidRPr="006236CF" w:rsidRDefault="00336188" w:rsidP="002D215E">
      <w:pPr>
        <w:pStyle w:val="ONUMFS"/>
      </w:pPr>
      <w:r w:rsidRPr="006236CF">
        <w:t>Les propositions de modification de la norme ST.90 peuvent être résumées comme suit</w:t>
      </w:r>
      <w:r w:rsidR="002D215E" w:rsidRPr="006236CF">
        <w:t> :</w:t>
      </w:r>
    </w:p>
    <w:p w14:paraId="2420B60F" w14:textId="2D211639" w:rsidR="00336188" w:rsidRPr="006236CF" w:rsidRDefault="00336188" w:rsidP="006236CF">
      <w:pPr>
        <w:pStyle w:val="ONUMFS"/>
        <w:numPr>
          <w:ilvl w:val="1"/>
          <w:numId w:val="6"/>
        </w:numPr>
      </w:pPr>
      <w:r w:rsidRPr="006236CF">
        <w:t>Les renvois obsolètes à plusieurs RFC et l</w:t>
      </w:r>
      <w:r w:rsidR="002D215E" w:rsidRPr="006236CF">
        <w:t>’</w:t>
      </w:r>
      <w:r w:rsidRPr="006236CF">
        <w:t>IETF ont été remplacés par leurs équivalents actue</w:t>
      </w:r>
      <w:r w:rsidR="006236CF" w:rsidRPr="006236CF">
        <w:t>ls.  La</w:t>
      </w:r>
      <w:r w:rsidRPr="006236CF">
        <w:t xml:space="preserve"> liste</w:t>
      </w:r>
      <w:r w:rsidR="002D215E" w:rsidRPr="006236CF">
        <w:t xml:space="preserve"> des RFC</w:t>
      </w:r>
      <w:r w:rsidRPr="006236CF">
        <w:t xml:space="preserve"> est disponible à l</w:t>
      </w:r>
      <w:r w:rsidR="002D215E" w:rsidRPr="006236CF">
        <w:t>’</w:t>
      </w:r>
      <w:r w:rsidRPr="006236CF">
        <w:t>adresse suivante</w:t>
      </w:r>
      <w:r w:rsidR="002D215E" w:rsidRPr="006236CF">
        <w:t> :</w:t>
      </w:r>
      <w:r w:rsidRPr="006236CF">
        <w:t xml:space="preserve"> </w:t>
      </w:r>
      <w:hyperlink r:id="rId8" w:history="1">
        <w:r w:rsidRPr="006236CF">
          <w:rPr>
            <w:rStyle w:val="Hyperlink"/>
          </w:rPr>
          <w:t>www.ietf.org</w:t>
        </w:r>
      </w:hyperlink>
      <w:r w:rsidRPr="006236CF">
        <w:t>.  Les règles ci</w:t>
      </w:r>
      <w:r w:rsidR="006236CF">
        <w:noBreakHyphen/>
      </w:r>
      <w:r w:rsidRPr="006236CF">
        <w:t>après de la norme ST.90 sont affectées par ces mises à jour</w:t>
      </w:r>
      <w:r w:rsidR="002D215E" w:rsidRPr="006236CF">
        <w:t> :</w:t>
      </w:r>
    </w:p>
    <w:p w14:paraId="15F5320C" w14:textId="36B34B76" w:rsidR="00336188" w:rsidRPr="006236CF" w:rsidRDefault="00C9655D" w:rsidP="006236CF">
      <w:pPr>
        <w:pStyle w:val="ONUMFS"/>
        <w:numPr>
          <w:ilvl w:val="0"/>
          <w:numId w:val="17"/>
        </w:numPr>
        <w:ind w:left="1701" w:hanging="567"/>
      </w:pPr>
      <w:r>
        <w:t>l</w:t>
      </w:r>
      <w:r w:rsidR="00336188" w:rsidRPr="006236CF">
        <w:t>e remplacement</w:t>
      </w:r>
      <w:r w:rsidR="002D215E" w:rsidRPr="006236CF">
        <w:t xml:space="preserve"> du RFC</w:t>
      </w:r>
      <w:r w:rsidR="00336188" w:rsidRPr="006236CF">
        <w:t> 7231 par</w:t>
      </w:r>
      <w:r w:rsidR="002D215E" w:rsidRPr="006236CF">
        <w:t xml:space="preserve"> le RFC</w:t>
      </w:r>
      <w:r w:rsidR="00336188" w:rsidRPr="006236CF">
        <w:t> 9110 affecte les règles [RSG</w:t>
      </w:r>
      <w:r w:rsidR="006236CF">
        <w:noBreakHyphen/>
      </w:r>
      <w:r w:rsidR="00336188" w:rsidRPr="006236CF">
        <w:t>20], [RSG</w:t>
      </w:r>
      <w:r w:rsidR="006236CF">
        <w:noBreakHyphen/>
      </w:r>
      <w:r w:rsidR="00336188" w:rsidRPr="006236CF">
        <w:t>28], [RSG</w:t>
      </w:r>
      <w:r w:rsidR="006236CF">
        <w:noBreakHyphen/>
      </w:r>
      <w:r w:rsidR="00336188" w:rsidRPr="006236CF">
        <w:t>66], [RSG</w:t>
      </w:r>
      <w:r w:rsidR="006236CF">
        <w:noBreakHyphen/>
      </w:r>
      <w:r w:rsidR="00336188" w:rsidRPr="006236CF">
        <w:t>102], [RSG</w:t>
      </w:r>
      <w:r w:rsidR="006236CF">
        <w:noBreakHyphen/>
      </w:r>
      <w:r w:rsidR="00336188" w:rsidRPr="006236CF">
        <w:t>103], [RSG</w:t>
      </w:r>
      <w:r w:rsidR="006236CF">
        <w:noBreakHyphen/>
      </w:r>
      <w:r w:rsidR="00336188" w:rsidRPr="006236CF">
        <w:t>114], [RSG</w:t>
      </w:r>
      <w:r w:rsidR="006236CF">
        <w:noBreakHyphen/>
      </w:r>
      <w:r w:rsidR="00336188" w:rsidRPr="006236CF">
        <w:t>115] et [RSG</w:t>
      </w:r>
      <w:r w:rsidR="006236CF">
        <w:noBreakHyphen/>
      </w:r>
      <w:r w:rsidR="00336188" w:rsidRPr="006236CF">
        <w:t>138];</w:t>
      </w:r>
    </w:p>
    <w:p w14:paraId="7A8DAC9B" w14:textId="42BCA620" w:rsidR="00336188" w:rsidRPr="006236CF" w:rsidRDefault="00C9655D" w:rsidP="006236CF">
      <w:pPr>
        <w:pStyle w:val="ONUMFS"/>
        <w:numPr>
          <w:ilvl w:val="0"/>
          <w:numId w:val="17"/>
        </w:numPr>
        <w:ind w:left="1701" w:hanging="567"/>
      </w:pPr>
      <w:r>
        <w:t>l</w:t>
      </w:r>
      <w:r w:rsidR="00336188" w:rsidRPr="006236CF">
        <w:t>e remplacement</w:t>
      </w:r>
      <w:r w:rsidR="002D215E" w:rsidRPr="006236CF">
        <w:t xml:space="preserve"> du RFC</w:t>
      </w:r>
      <w:r w:rsidR="00336188" w:rsidRPr="006236CF">
        <w:t> 2616 par</w:t>
      </w:r>
      <w:r w:rsidR="002D215E" w:rsidRPr="006236CF">
        <w:t xml:space="preserve"> le RFC</w:t>
      </w:r>
      <w:r w:rsidR="00336188" w:rsidRPr="006236CF">
        <w:t> 9110 affecte les règles [RSG</w:t>
      </w:r>
      <w:r w:rsidR="006236CF">
        <w:noBreakHyphen/>
      </w:r>
      <w:r w:rsidR="00336188" w:rsidRPr="006236CF">
        <w:t>33], [RSG</w:t>
      </w:r>
      <w:r w:rsidR="006236CF">
        <w:noBreakHyphen/>
      </w:r>
      <w:r w:rsidR="00336188" w:rsidRPr="006236CF">
        <w:t>34], [RSG</w:t>
      </w:r>
      <w:r w:rsidR="006236CF">
        <w:noBreakHyphen/>
      </w:r>
      <w:r w:rsidR="00336188" w:rsidRPr="006236CF">
        <w:t>35], [RSG</w:t>
      </w:r>
      <w:r w:rsidR="006236CF">
        <w:noBreakHyphen/>
      </w:r>
      <w:r w:rsidR="00336188" w:rsidRPr="006236CF">
        <w:t>36], [RSG</w:t>
      </w:r>
      <w:r w:rsidR="006236CF">
        <w:noBreakHyphen/>
      </w:r>
      <w:r w:rsidR="00336188" w:rsidRPr="006236CF">
        <w:t>37], [RSG</w:t>
      </w:r>
      <w:r w:rsidR="006236CF">
        <w:noBreakHyphen/>
      </w:r>
      <w:r w:rsidR="00336188" w:rsidRPr="006236CF">
        <w:t>38], [RSG</w:t>
      </w:r>
      <w:r w:rsidR="006236CF">
        <w:noBreakHyphen/>
      </w:r>
      <w:r w:rsidR="00336188" w:rsidRPr="006236CF">
        <w:t>39], [RSG</w:t>
      </w:r>
      <w:r w:rsidR="006236CF">
        <w:noBreakHyphen/>
      </w:r>
      <w:r w:rsidR="00336188" w:rsidRPr="006236CF">
        <w:t>46], [RSG</w:t>
      </w:r>
      <w:r w:rsidR="006236CF">
        <w:noBreakHyphen/>
      </w:r>
      <w:r w:rsidR="00336188" w:rsidRPr="006236CF">
        <w:t>47], [RSG</w:t>
      </w:r>
      <w:r w:rsidR="006236CF">
        <w:noBreakHyphen/>
      </w:r>
      <w:r w:rsidR="00336188" w:rsidRPr="006236CF">
        <w:t>48], [RSJ</w:t>
      </w:r>
      <w:r w:rsidR="006236CF">
        <w:noBreakHyphen/>
      </w:r>
      <w:r w:rsidR="00336188" w:rsidRPr="006236CF">
        <w:t>49], [RSG</w:t>
      </w:r>
      <w:r w:rsidR="006236CF">
        <w:noBreakHyphen/>
      </w:r>
      <w:r w:rsidR="00336188" w:rsidRPr="006236CF">
        <w:t>50], [RSG</w:t>
      </w:r>
      <w:r w:rsidR="006236CF">
        <w:noBreakHyphen/>
      </w:r>
      <w:r w:rsidR="00336188" w:rsidRPr="006236CF">
        <w:t>51], [RSG</w:t>
      </w:r>
      <w:r w:rsidR="006236CF">
        <w:noBreakHyphen/>
      </w:r>
      <w:r w:rsidR="00336188" w:rsidRPr="006236CF">
        <w:t>52], [RSG</w:t>
      </w:r>
      <w:r w:rsidR="006236CF">
        <w:noBreakHyphen/>
      </w:r>
      <w:r w:rsidR="00336188" w:rsidRPr="006236CF">
        <w:t>53], [RSG</w:t>
      </w:r>
      <w:r w:rsidR="006236CF">
        <w:noBreakHyphen/>
      </w:r>
      <w:r w:rsidR="00336188" w:rsidRPr="006236CF">
        <w:t>54], [RSG</w:t>
      </w:r>
      <w:r w:rsidR="006236CF">
        <w:noBreakHyphen/>
      </w:r>
      <w:r w:rsidR="00336188" w:rsidRPr="006236CF">
        <w:t>55], [RSG</w:t>
      </w:r>
      <w:r w:rsidR="006236CF">
        <w:noBreakHyphen/>
      </w:r>
      <w:r w:rsidR="00336188" w:rsidRPr="006236CF">
        <w:t>56], [RSG</w:t>
      </w:r>
      <w:r w:rsidR="006236CF">
        <w:noBreakHyphen/>
      </w:r>
      <w:r w:rsidR="00336188" w:rsidRPr="006236CF">
        <w:t>57], [RSG</w:t>
      </w:r>
      <w:r w:rsidR="006236CF">
        <w:noBreakHyphen/>
      </w:r>
      <w:r w:rsidR="00336188" w:rsidRPr="006236CF">
        <w:t>58], [RSG</w:t>
      </w:r>
      <w:r w:rsidR="006236CF">
        <w:noBreakHyphen/>
      </w:r>
      <w:r w:rsidR="00336188" w:rsidRPr="006236CF">
        <w:t>59], [RSG</w:t>
      </w:r>
      <w:r w:rsidR="006236CF">
        <w:noBreakHyphen/>
      </w:r>
      <w:r w:rsidR="00336188" w:rsidRPr="006236CF">
        <w:t>60] et [RSG</w:t>
      </w:r>
      <w:r w:rsidR="006236CF">
        <w:noBreakHyphen/>
      </w:r>
      <w:r w:rsidR="00336188" w:rsidRPr="006236CF">
        <w:t>91];</w:t>
      </w:r>
    </w:p>
    <w:p w14:paraId="2823A3A1" w14:textId="15F40AEE" w:rsidR="00336188" w:rsidRPr="006236CF" w:rsidRDefault="00C9655D" w:rsidP="006236CF">
      <w:pPr>
        <w:pStyle w:val="ONUMFS"/>
        <w:numPr>
          <w:ilvl w:val="0"/>
          <w:numId w:val="17"/>
        </w:numPr>
        <w:ind w:left="1701" w:hanging="567"/>
      </w:pPr>
      <w:r>
        <w:t>l</w:t>
      </w:r>
      <w:r w:rsidR="00336188" w:rsidRPr="006236CF">
        <w:t>e remplacement</w:t>
      </w:r>
      <w:r w:rsidR="002D215E" w:rsidRPr="006236CF">
        <w:t xml:space="preserve"> du RFC</w:t>
      </w:r>
      <w:r w:rsidR="00336188" w:rsidRPr="006236CF">
        <w:t> 7240 par</w:t>
      </w:r>
      <w:r w:rsidR="002D215E" w:rsidRPr="006236CF">
        <w:t xml:space="preserve"> le RFC</w:t>
      </w:r>
      <w:r w:rsidR="00336188" w:rsidRPr="006236CF">
        <w:t> 8144 affecte la règle [RSG</w:t>
      </w:r>
      <w:r w:rsidR="006236CF">
        <w:noBreakHyphen/>
      </w:r>
      <w:r w:rsidR="00336188" w:rsidRPr="006236CF">
        <w:t>112];  et</w:t>
      </w:r>
    </w:p>
    <w:p w14:paraId="7A4931EC" w14:textId="0A882997" w:rsidR="00336188" w:rsidRPr="006236CF" w:rsidRDefault="00C9655D" w:rsidP="006236CF">
      <w:pPr>
        <w:pStyle w:val="ONUMFS"/>
        <w:numPr>
          <w:ilvl w:val="0"/>
          <w:numId w:val="17"/>
        </w:numPr>
        <w:ind w:left="1701" w:hanging="567"/>
      </w:pPr>
      <w:r>
        <w:t>l</w:t>
      </w:r>
      <w:r w:rsidR="00336188" w:rsidRPr="006236CF">
        <w:t>e remplacement</w:t>
      </w:r>
      <w:r w:rsidR="002D215E" w:rsidRPr="006236CF">
        <w:t xml:space="preserve"> du RFC</w:t>
      </w:r>
      <w:r w:rsidR="00336188" w:rsidRPr="006236CF">
        <w:t> 3339 par</w:t>
      </w:r>
      <w:r w:rsidR="002D215E" w:rsidRPr="006236CF">
        <w:t xml:space="preserve"> le RFC</w:t>
      </w:r>
      <w:r w:rsidR="00336188" w:rsidRPr="006236CF">
        <w:t> 9557 affecte les règles [CS</w:t>
      </w:r>
      <w:r w:rsidR="006236CF">
        <w:noBreakHyphen/>
      </w:r>
      <w:r w:rsidR="00336188" w:rsidRPr="006236CF">
        <w:t>01], [CS</w:t>
      </w:r>
      <w:r w:rsidR="006236CF">
        <w:noBreakHyphen/>
      </w:r>
      <w:r w:rsidR="00336188" w:rsidRPr="006236CF">
        <w:t>02], [CS</w:t>
      </w:r>
      <w:r w:rsidR="006236CF">
        <w:noBreakHyphen/>
      </w:r>
      <w:r w:rsidR="00336188" w:rsidRPr="006236CF">
        <w:t>03], [CS</w:t>
      </w:r>
      <w:r w:rsidR="006236CF">
        <w:noBreakHyphen/>
      </w:r>
      <w:r w:rsidR="00336188" w:rsidRPr="006236CF">
        <w:t>04] et [CS</w:t>
      </w:r>
      <w:r w:rsidR="006236CF">
        <w:noBreakHyphen/>
      </w:r>
      <w:r w:rsidR="00336188" w:rsidRPr="006236CF">
        <w:t>05].</w:t>
      </w:r>
    </w:p>
    <w:p w14:paraId="650D3427" w14:textId="4D9859D3" w:rsidR="00336188" w:rsidRPr="006236CF" w:rsidRDefault="00336188" w:rsidP="006236CF">
      <w:pPr>
        <w:pStyle w:val="ONUMFS"/>
        <w:numPr>
          <w:ilvl w:val="1"/>
          <w:numId w:val="6"/>
        </w:numPr>
      </w:pPr>
      <w:r w:rsidRPr="006236CF">
        <w:t>Plusieurs descriptions de règles ont été révisées afin d</w:t>
      </w:r>
      <w:r w:rsidR="002D215E" w:rsidRPr="006236CF">
        <w:t>’</w:t>
      </w:r>
      <w:r w:rsidRPr="006236CF">
        <w:t>améliorer leur clarté et leur alignement avec les pratiques actuelles de l</w:t>
      </w:r>
      <w:r w:rsidR="002D215E" w:rsidRPr="006236CF">
        <w:t>’</w:t>
      </w:r>
      <w:r w:rsidRPr="006236CF">
        <w:t>IETF</w:t>
      </w:r>
      <w:r w:rsidR="002D215E" w:rsidRPr="006236CF">
        <w:t> :</w:t>
      </w:r>
    </w:p>
    <w:p w14:paraId="46969B1A" w14:textId="1A93C106" w:rsidR="00336188" w:rsidRPr="006236CF" w:rsidRDefault="00C9655D" w:rsidP="006236CF">
      <w:pPr>
        <w:pStyle w:val="ONUMFS"/>
        <w:numPr>
          <w:ilvl w:val="0"/>
          <w:numId w:val="16"/>
        </w:numPr>
        <w:ind w:left="1701" w:hanging="567"/>
      </w:pPr>
      <w:r>
        <w:t>l</w:t>
      </w:r>
      <w:r w:rsidR="00336188" w:rsidRPr="006236CF">
        <w:t>a description des règles ci</w:t>
      </w:r>
      <w:r w:rsidR="006236CF">
        <w:noBreakHyphen/>
      </w:r>
      <w:r w:rsidR="00336188" w:rsidRPr="006236CF">
        <w:t>après a été améliorée pour plus de clarté ou pour corriger certaines petites erreurs d</w:t>
      </w:r>
      <w:r w:rsidR="002D215E" w:rsidRPr="006236CF">
        <w:t>’</w:t>
      </w:r>
      <w:r w:rsidR="00336188" w:rsidRPr="006236CF">
        <w:t>ordre rédactionnel</w:t>
      </w:r>
      <w:r w:rsidR="002D215E" w:rsidRPr="006236CF">
        <w:t> :</w:t>
      </w:r>
      <w:r w:rsidR="00336188" w:rsidRPr="006236CF">
        <w:t xml:space="preserve"> [RSG</w:t>
      </w:r>
      <w:r w:rsidR="006236CF">
        <w:noBreakHyphen/>
      </w:r>
      <w:r w:rsidR="00336188" w:rsidRPr="006236CF">
        <w:t>12], [RSG</w:t>
      </w:r>
      <w:r w:rsidR="006236CF">
        <w:noBreakHyphen/>
      </w:r>
      <w:r w:rsidR="00336188" w:rsidRPr="006236CF">
        <w:t>23], [RSG</w:t>
      </w:r>
      <w:r w:rsidR="006236CF">
        <w:noBreakHyphen/>
      </w:r>
      <w:r w:rsidR="00336188" w:rsidRPr="006236CF">
        <w:t>31], [RSG</w:t>
      </w:r>
      <w:r w:rsidR="006236CF">
        <w:noBreakHyphen/>
      </w:r>
      <w:r w:rsidR="00336188" w:rsidRPr="006236CF">
        <w:t>44], [RSG</w:t>
      </w:r>
      <w:r w:rsidR="006236CF">
        <w:noBreakHyphen/>
      </w:r>
      <w:r w:rsidR="00336188" w:rsidRPr="006236CF">
        <w:t>46], [RSG</w:t>
      </w:r>
      <w:r w:rsidR="006236CF">
        <w:noBreakHyphen/>
      </w:r>
      <w:r w:rsidR="00336188" w:rsidRPr="006236CF">
        <w:t>121], [RSJ</w:t>
      </w:r>
      <w:r w:rsidR="006236CF">
        <w:noBreakHyphen/>
      </w:r>
      <w:r w:rsidR="00336188" w:rsidRPr="006236CF">
        <w:t>150] et [RSJ</w:t>
      </w:r>
      <w:r w:rsidR="006236CF">
        <w:noBreakHyphen/>
      </w:r>
      <w:r w:rsidR="00336188" w:rsidRPr="006236CF">
        <w:t>152];</w:t>
      </w:r>
    </w:p>
    <w:p w14:paraId="1AC9139B" w14:textId="680F6866" w:rsidR="00336188" w:rsidRPr="006236CF" w:rsidRDefault="00C9655D" w:rsidP="006236CF">
      <w:pPr>
        <w:pStyle w:val="ONUMFS"/>
        <w:numPr>
          <w:ilvl w:val="0"/>
          <w:numId w:val="16"/>
        </w:numPr>
        <w:ind w:left="1701" w:hanging="567"/>
      </w:pPr>
      <w:r>
        <w:t>p</w:t>
      </w:r>
      <w:r w:rsidR="00336188" w:rsidRPr="006236CF">
        <w:t>our la règle [RSG</w:t>
      </w:r>
      <w:r w:rsidR="006236CF">
        <w:noBreakHyphen/>
      </w:r>
      <w:r w:rsidR="00336188" w:rsidRPr="006236CF">
        <w:t>18], le niveau d</w:t>
      </w:r>
      <w:r w:rsidR="002D215E" w:rsidRPr="006236CF">
        <w:t>’</w:t>
      </w:r>
      <w:r w:rsidR="00336188" w:rsidRPr="006236CF">
        <w:t>obligation des paramètres de requête a été modifié de “DOIT” à “DEVRAIT”.  De plus, la deuxième phrase de la description originale de la règle a été supprimée en raison d</w:t>
      </w:r>
      <w:r w:rsidR="002D215E" w:rsidRPr="006236CF">
        <w:t>’</w:t>
      </w:r>
      <w:r w:rsidR="00336188" w:rsidRPr="006236CF">
        <w:t>une contradiction avec la première partie;</w:t>
      </w:r>
    </w:p>
    <w:p w14:paraId="2F01EF03" w14:textId="4E093CB7" w:rsidR="00336188" w:rsidRPr="006236CF" w:rsidRDefault="00C9655D" w:rsidP="006236CF">
      <w:pPr>
        <w:pStyle w:val="ONUMFS"/>
        <w:numPr>
          <w:ilvl w:val="0"/>
          <w:numId w:val="16"/>
        </w:numPr>
        <w:ind w:left="1701" w:hanging="567"/>
      </w:pPr>
      <w:r>
        <w:t>e</w:t>
      </w:r>
      <w:r w:rsidR="00336188" w:rsidRPr="006236CF">
        <w:t>n ce qui concerne les règles [RSG</w:t>
      </w:r>
      <w:r w:rsidR="006236CF">
        <w:noBreakHyphen/>
      </w:r>
      <w:r w:rsidR="00336188" w:rsidRPr="006236CF">
        <w:t>50] et [RSG</w:t>
      </w:r>
      <w:r w:rsidR="006236CF">
        <w:noBreakHyphen/>
      </w:r>
      <w:r w:rsidR="00336188" w:rsidRPr="006236CF">
        <w:t>54], leurs descriptions ont été révisées afin de tenir compte des modifications apportées lors du remplacement</w:t>
      </w:r>
      <w:r w:rsidR="002D215E" w:rsidRPr="006236CF">
        <w:t xml:space="preserve"> du RFC</w:t>
      </w:r>
      <w:r w:rsidR="00336188" w:rsidRPr="006236CF">
        <w:t> 2616 par RFC 9110.  Les méthodes DELETE et TRACE sont maintenant définies comme “DOIT” être idempotente plutôt que comme “NE DOIT PAS”;  et</w:t>
      </w:r>
    </w:p>
    <w:p w14:paraId="783B076D" w14:textId="4EEF76D9" w:rsidR="00336188" w:rsidRPr="006236CF" w:rsidRDefault="00C9655D" w:rsidP="006236CF">
      <w:pPr>
        <w:pStyle w:val="ONUMFS"/>
        <w:numPr>
          <w:ilvl w:val="0"/>
          <w:numId w:val="16"/>
        </w:numPr>
        <w:ind w:left="1701" w:hanging="567"/>
      </w:pPr>
      <w:r>
        <w:t>e</w:t>
      </w:r>
      <w:r w:rsidR="00336188" w:rsidRPr="006236CF">
        <w:t>n ce qui concerne les règles [RSG</w:t>
      </w:r>
      <w:r w:rsidR="006236CF">
        <w:noBreakHyphen/>
      </w:r>
      <w:r w:rsidR="00336188" w:rsidRPr="006236CF">
        <w:t>80], [RSG</w:t>
      </w:r>
      <w:r w:rsidR="006236CF">
        <w:noBreakHyphen/>
      </w:r>
      <w:r w:rsidR="00336188" w:rsidRPr="006236CF">
        <w:t>82] et [RSG</w:t>
      </w:r>
      <w:r w:rsidR="006236CF">
        <w:noBreakHyphen/>
      </w:r>
      <w:r w:rsidR="00336188" w:rsidRPr="006236CF">
        <w:t>97], les exigences ont été assouplies pour permettre une mise en œuvre plus souple.</w:t>
      </w:r>
    </w:p>
    <w:p w14:paraId="0B98C96D" w14:textId="0D2520F9" w:rsidR="00336188" w:rsidRPr="006236CF" w:rsidRDefault="00336188" w:rsidP="006236CF">
      <w:pPr>
        <w:pStyle w:val="ONUMFS"/>
        <w:numPr>
          <w:ilvl w:val="1"/>
          <w:numId w:val="6"/>
        </w:numPr>
      </w:pPr>
      <w:r w:rsidRPr="006236CF">
        <w:t>De nouveaux exemples ont été ajoutés lorsque cela était nécessaire afin de clarifier l</w:t>
      </w:r>
      <w:r w:rsidR="002D215E" w:rsidRPr="006236CF">
        <w:t>’</w:t>
      </w:r>
      <w:r w:rsidRPr="006236CF">
        <w:t>application des règles et de faciliter leur compréhension.</w:t>
      </w:r>
    </w:p>
    <w:p w14:paraId="7F741291" w14:textId="5A40169B" w:rsidR="00336188" w:rsidRPr="006236CF" w:rsidRDefault="00336188" w:rsidP="006236CF">
      <w:pPr>
        <w:pStyle w:val="ONUMFS"/>
        <w:numPr>
          <w:ilvl w:val="1"/>
          <w:numId w:val="6"/>
        </w:numPr>
      </w:pPr>
      <w:r w:rsidRPr="006236CF">
        <w:t>Des améliorations rédactionnelles mineures et des corrections grammaticales ont été apportées à l</w:t>
      </w:r>
      <w:r w:rsidR="002D215E" w:rsidRPr="006236CF">
        <w:t>’</w:t>
      </w:r>
      <w:r w:rsidRPr="006236CF">
        <w:t>ensemble du document afin d</w:t>
      </w:r>
      <w:r w:rsidR="002D215E" w:rsidRPr="006236CF">
        <w:t>’</w:t>
      </w:r>
      <w:r w:rsidRPr="006236CF">
        <w:t>en améliorer la lisibilité et l</w:t>
      </w:r>
      <w:r w:rsidR="002D215E" w:rsidRPr="006236CF">
        <w:t>’</w:t>
      </w:r>
      <w:r w:rsidRPr="006236CF">
        <w:t>exactitude.</w:t>
      </w:r>
    </w:p>
    <w:p w14:paraId="22F938D1" w14:textId="03EF4379" w:rsidR="00336188" w:rsidRPr="006236CF" w:rsidRDefault="00336188" w:rsidP="006236CF">
      <w:pPr>
        <w:pStyle w:val="ONUMFS"/>
        <w:numPr>
          <w:ilvl w:val="1"/>
          <w:numId w:val="6"/>
        </w:numPr>
      </w:pPr>
      <w:r w:rsidRPr="006236CF">
        <w:t>Les renvois au vocabulaire de la norme ST.97 de l</w:t>
      </w:r>
      <w:r w:rsidR="002D215E" w:rsidRPr="006236CF">
        <w:t>’</w:t>
      </w:r>
      <w:r w:rsidRPr="006236CF">
        <w:t>OMPI figurent à l</w:t>
      </w:r>
      <w:r w:rsidR="002D215E" w:rsidRPr="006236CF">
        <w:t>’</w:t>
      </w:r>
      <w:r w:rsidRPr="006236CF">
        <w:t>annexe II de la norme ST.90 de l</w:t>
      </w:r>
      <w:r w:rsidR="002D215E" w:rsidRPr="006236CF">
        <w:t>’</w:t>
      </w:r>
      <w:r w:rsidRPr="006236CF">
        <w:t>OMPI.</w:t>
      </w:r>
    </w:p>
    <w:p w14:paraId="4E057262" w14:textId="301D7FD5" w:rsidR="00336188" w:rsidRPr="006236CF" w:rsidRDefault="00336188" w:rsidP="006236CF">
      <w:pPr>
        <w:pStyle w:val="ONUMFS"/>
        <w:numPr>
          <w:ilvl w:val="1"/>
          <w:numId w:val="6"/>
        </w:numPr>
      </w:pPr>
      <w:r w:rsidRPr="006236CF">
        <w:t>Pour faciliter l</w:t>
      </w:r>
      <w:r w:rsidR="002D215E" w:rsidRPr="006236CF">
        <w:t>’</w:t>
      </w:r>
      <w:r w:rsidRPr="006236CF">
        <w:t>utilisation de l</w:t>
      </w:r>
      <w:r w:rsidR="002D215E" w:rsidRPr="006236CF">
        <w:t>’annexe I</w:t>
      </w:r>
      <w:r w:rsidRPr="006236CF">
        <w:t xml:space="preserve"> de la norme</w:t>
      </w:r>
      <w:r w:rsidR="009D040C" w:rsidRPr="006236CF">
        <w:t> </w:t>
      </w:r>
      <w:r w:rsidRPr="006236CF">
        <w:t>ST.90 (“</w:t>
      </w:r>
      <w:r w:rsidRPr="006236CF">
        <w:rPr>
          <w:i/>
          <w:iCs/>
        </w:rPr>
        <w:t>Liste des règles et conventions de conception des services Web RESTful</w:t>
      </w:r>
      <w:r w:rsidRPr="006236CF">
        <w:t>”), celle</w:t>
      </w:r>
      <w:r w:rsidR="006236CF">
        <w:noBreakHyphen/>
      </w:r>
      <w:r w:rsidRPr="006236CF">
        <w:t>ci est remplacée par un fichier Excel autono</w:t>
      </w:r>
      <w:r w:rsidR="006236CF" w:rsidRPr="006236CF">
        <w:t>me.  L’a</w:t>
      </w:r>
      <w:r w:rsidR="002D215E" w:rsidRPr="006236CF">
        <w:t>nnexe I</w:t>
      </w:r>
      <w:r w:rsidRPr="006236CF">
        <w:t xml:space="preserve"> actuelle de la version 1.1 de la norme ST.90 comprend quatre</w:t>
      </w:r>
      <w:r w:rsidR="009D040C" w:rsidRPr="006236CF">
        <w:t> </w:t>
      </w:r>
      <w:r w:rsidRPr="006236CF">
        <w:t>tableaux de conformité, qui sont longs et difficiles à consult</w:t>
      </w:r>
      <w:r w:rsidR="006236CF" w:rsidRPr="006236CF">
        <w:t>er.  Un</w:t>
      </w:r>
      <w:r w:rsidRPr="006236CF">
        <w:t xml:space="preserve"> lien pour télécharger le fichier Excel est inclus dans l</w:t>
      </w:r>
      <w:r w:rsidR="002D215E" w:rsidRPr="006236CF">
        <w:t>’annexe I</w:t>
      </w:r>
      <w:r w:rsidRPr="006236CF">
        <w:t xml:space="preserve"> de la norme ST.90.  Le fichier Excel proposé</w:t>
      </w:r>
      <w:r w:rsidR="002D215E" w:rsidRPr="006236CF">
        <w:t> :</w:t>
      </w:r>
    </w:p>
    <w:p w14:paraId="4201E5E1" w14:textId="03DA0E1E" w:rsidR="00336188" w:rsidRPr="006236CF" w:rsidRDefault="00C9655D" w:rsidP="006236CF">
      <w:pPr>
        <w:pStyle w:val="ONUMFS"/>
        <w:numPr>
          <w:ilvl w:val="0"/>
          <w:numId w:val="15"/>
        </w:numPr>
        <w:ind w:left="1701" w:hanging="567"/>
      </w:pPr>
      <w:r>
        <w:t>r</w:t>
      </w:r>
      <w:r w:rsidR="00336188" w:rsidRPr="006236CF">
        <w:t>egroupement des quatre</w:t>
      </w:r>
      <w:r w:rsidR="009D040C" w:rsidRPr="006236CF">
        <w:t> </w:t>
      </w:r>
      <w:r w:rsidR="00336188" w:rsidRPr="006236CF">
        <w:t>niveaux de conformité (AJ, AX, AAJ, AAX) dans une seule feuille;</w:t>
      </w:r>
    </w:p>
    <w:p w14:paraId="5DDCBF21" w14:textId="73CFAB58" w:rsidR="00336188" w:rsidRPr="006236CF" w:rsidRDefault="00C9655D" w:rsidP="006236CF">
      <w:pPr>
        <w:pStyle w:val="ONUMFS"/>
        <w:numPr>
          <w:ilvl w:val="0"/>
          <w:numId w:val="15"/>
        </w:numPr>
        <w:ind w:left="1701" w:hanging="567"/>
      </w:pPr>
      <w:r>
        <w:t>u</w:t>
      </w:r>
      <w:r w:rsidR="00336188" w:rsidRPr="006236CF">
        <w:t>tilisation d</w:t>
      </w:r>
      <w:r w:rsidR="002D215E" w:rsidRPr="006236CF">
        <w:t>’</w:t>
      </w:r>
      <w:r w:rsidR="00336188" w:rsidRPr="006236CF">
        <w:t xml:space="preserve">un “X” pour indiquer les règles applicables à chaque niveau de conformité; </w:t>
      </w:r>
      <w:r w:rsidR="009D040C" w:rsidRPr="006236CF">
        <w:t xml:space="preserve"> </w:t>
      </w:r>
      <w:r w:rsidR="00336188" w:rsidRPr="006236CF">
        <w:t>et</w:t>
      </w:r>
    </w:p>
    <w:p w14:paraId="789D3F62" w14:textId="294B5098" w:rsidR="00336188" w:rsidRPr="006236CF" w:rsidRDefault="00C9655D" w:rsidP="006236CF">
      <w:pPr>
        <w:pStyle w:val="ONUMFS"/>
        <w:numPr>
          <w:ilvl w:val="0"/>
          <w:numId w:val="15"/>
        </w:numPr>
        <w:ind w:left="1701" w:hanging="567"/>
      </w:pPr>
      <w:r>
        <w:t>p</w:t>
      </w:r>
      <w:r w:rsidR="00336188" w:rsidRPr="006236CF">
        <w:t>rise en charge du filtrage pour améliorer la navigation et la convivialité.</w:t>
      </w:r>
    </w:p>
    <w:p w14:paraId="4395901B" w14:textId="759811A8" w:rsidR="00336188" w:rsidRPr="006236CF" w:rsidRDefault="00336188" w:rsidP="002D215E">
      <w:pPr>
        <w:pStyle w:val="ONUMFS"/>
      </w:pPr>
      <w:r w:rsidRPr="006236CF">
        <w:t>Au moment de l</w:t>
      </w:r>
      <w:r w:rsidR="002D215E" w:rsidRPr="006236CF">
        <w:t>’</w:t>
      </w:r>
      <w:r w:rsidRPr="006236CF">
        <w:t>établissement du présent document, les coresponsables de l</w:t>
      </w:r>
      <w:r w:rsidR="002D215E" w:rsidRPr="006236CF">
        <w:t>’</w:t>
      </w:r>
      <w:r w:rsidRPr="006236CF">
        <w:t>Équipe d</w:t>
      </w:r>
      <w:r w:rsidR="002D215E" w:rsidRPr="006236CF">
        <w:t>’</w:t>
      </w:r>
      <w:r w:rsidRPr="006236CF">
        <w:t>experts chargée</w:t>
      </w:r>
      <w:r w:rsidR="002D215E" w:rsidRPr="006236CF">
        <w:t xml:space="preserve"> des API</w:t>
      </w:r>
      <w:r w:rsidRPr="006236CF">
        <w:t xml:space="preserve"> et le Secrétariat examinaient la version révisée la plus récente de la norme ST.90 de l</w:t>
      </w:r>
      <w:r w:rsidR="002D215E" w:rsidRPr="006236CF">
        <w:t>’</w:t>
      </w:r>
      <w:r w:rsidRPr="006236CF">
        <w:t>OMPI, précédemment approuvée par l</w:t>
      </w:r>
      <w:r w:rsidR="002D215E" w:rsidRPr="006236CF">
        <w:t>’</w:t>
      </w:r>
      <w:r w:rsidRPr="006236CF">
        <w:t>équipe d</w:t>
      </w:r>
      <w:r w:rsidR="002D215E" w:rsidRPr="006236CF">
        <w:t>’</w:t>
      </w:r>
      <w:r w:rsidRPr="006236CF">
        <w:t>exper</w:t>
      </w:r>
      <w:r w:rsidR="006236CF" w:rsidRPr="006236CF">
        <w:t>ts.  Du</w:t>
      </w:r>
      <w:r w:rsidRPr="006236CF">
        <w:t>rant cet examen, plusieurs améliorations supplémentaires ont été identifié</w:t>
      </w:r>
      <w:r w:rsidR="006236CF" w:rsidRPr="006236CF">
        <w:t>es.  Le</w:t>
      </w:r>
      <w:r w:rsidRPr="006236CF">
        <w:t>s modifications supplémentaires proposées peuvent être résumées comme suit</w:t>
      </w:r>
      <w:r w:rsidR="002D215E" w:rsidRPr="006236CF">
        <w:t> :</w:t>
      </w:r>
    </w:p>
    <w:p w14:paraId="5BC63F3D" w14:textId="75DF17B7" w:rsidR="00336188" w:rsidRPr="006236CF" w:rsidRDefault="00336188" w:rsidP="006236CF">
      <w:pPr>
        <w:pStyle w:val="ONUMFS"/>
        <w:numPr>
          <w:ilvl w:val="1"/>
          <w:numId w:val="6"/>
        </w:numPr>
        <w:rPr>
          <w:szCs w:val="22"/>
        </w:rPr>
      </w:pPr>
      <w:r w:rsidRPr="006236CF">
        <w:t>Dans le paragraphe 34 de la norme, supprimer la phrase “(ou verbes HTTP)” pour garantir la cohérence avec</w:t>
      </w:r>
      <w:r w:rsidR="002D215E" w:rsidRPr="006236CF">
        <w:t xml:space="preserve"> le RFC</w:t>
      </w:r>
      <w:r w:rsidRPr="006236CF">
        <w:t> 9110, qui utilise le terme “méthodes” plutôt que “verbes”</w:t>
      </w:r>
      <w:r w:rsidR="00C9655D">
        <w:t>.</w:t>
      </w:r>
    </w:p>
    <w:p w14:paraId="5F74E26C" w14:textId="627830F1" w:rsidR="00336188" w:rsidRPr="006236CF" w:rsidRDefault="00336188" w:rsidP="006236CF">
      <w:pPr>
        <w:pStyle w:val="ONUMFS"/>
        <w:numPr>
          <w:ilvl w:val="1"/>
          <w:numId w:val="6"/>
        </w:numPr>
      </w:pPr>
      <w:r w:rsidRPr="006236CF">
        <w:t>Dans la règle [RSG</w:t>
      </w:r>
      <w:r w:rsidR="006236CF">
        <w:noBreakHyphen/>
      </w:r>
      <w:r w:rsidRPr="006236CF">
        <w:t>31], améliorer la description pour supprimer toute confusion potentielle avec la règle [RSG</w:t>
      </w:r>
      <w:r w:rsidR="006236CF">
        <w:noBreakHyphen/>
      </w:r>
      <w:r w:rsidRPr="006236CF">
        <w:t>12]</w:t>
      </w:r>
      <w:r w:rsidR="00C9655D">
        <w:t>.</w:t>
      </w:r>
    </w:p>
    <w:p w14:paraId="221F2C38" w14:textId="1FB8B255" w:rsidR="00336188" w:rsidRPr="006236CF" w:rsidRDefault="00336188" w:rsidP="006236CF">
      <w:pPr>
        <w:pStyle w:val="ONUMFS"/>
        <w:numPr>
          <w:ilvl w:val="1"/>
          <w:numId w:val="6"/>
        </w:numPr>
      </w:pPr>
      <w:r w:rsidRPr="006236CF">
        <w:t>Dans la règle [RSG</w:t>
      </w:r>
      <w:r w:rsidR="006236CF">
        <w:noBreakHyphen/>
      </w:r>
      <w:r w:rsidRPr="006236CF">
        <w:t>36], améliorer la description afin de préciser que la limite de 255 octets est une recommandation pratique et non une exigence stricte, afin d</w:t>
      </w:r>
      <w:r w:rsidR="002D215E" w:rsidRPr="006236CF">
        <w:t>’</w:t>
      </w:r>
      <w:r w:rsidRPr="006236CF">
        <w:t>éviter tout conflit avec</w:t>
      </w:r>
      <w:r w:rsidR="002D215E" w:rsidRPr="006236CF">
        <w:t xml:space="preserve"> le RFC</w:t>
      </w:r>
      <w:r w:rsidRPr="006236CF">
        <w:t> 9110, qui autorise une limite de 8 000 octets</w:t>
      </w:r>
      <w:r w:rsidR="00C9655D">
        <w:t>.</w:t>
      </w:r>
    </w:p>
    <w:p w14:paraId="20F011CC" w14:textId="50650D2E" w:rsidR="00336188" w:rsidRPr="006236CF" w:rsidRDefault="00336188" w:rsidP="006236CF">
      <w:pPr>
        <w:pStyle w:val="ONUMFS"/>
        <w:numPr>
          <w:ilvl w:val="1"/>
          <w:numId w:val="6"/>
        </w:numPr>
      </w:pPr>
      <w:r w:rsidRPr="006236CF">
        <w:t>Dans les règles [RSG</w:t>
      </w:r>
      <w:r w:rsidR="006236CF">
        <w:noBreakHyphen/>
      </w:r>
      <w:r w:rsidRPr="006236CF">
        <w:t>44] et [RSG</w:t>
      </w:r>
      <w:r w:rsidR="006236CF">
        <w:noBreakHyphen/>
      </w:r>
      <w:r w:rsidRPr="006236CF">
        <w:t>46], améliorer les descriptions afin de garantir leur conformité avec</w:t>
      </w:r>
      <w:r w:rsidR="002D215E" w:rsidRPr="006236CF">
        <w:t xml:space="preserve"> le RFC</w:t>
      </w:r>
      <w:r w:rsidRPr="006236CF">
        <w:t> 9110</w:t>
      </w:r>
      <w:r w:rsidR="00C9655D">
        <w:t>.</w:t>
      </w:r>
    </w:p>
    <w:p w14:paraId="34E79474" w14:textId="4D83419C" w:rsidR="00336188" w:rsidRPr="006236CF" w:rsidRDefault="00336188" w:rsidP="006236CF">
      <w:pPr>
        <w:pStyle w:val="ONUMFS"/>
        <w:numPr>
          <w:ilvl w:val="1"/>
          <w:numId w:val="6"/>
        </w:numPr>
      </w:pPr>
      <w:r w:rsidRPr="006236CF">
        <w:t>Dans la règle [RSG</w:t>
      </w:r>
      <w:r w:rsidR="006236CF">
        <w:noBreakHyphen/>
      </w:r>
      <w:r w:rsidRPr="006236CF">
        <w:t>46], ajouter “Par défaut” à la description afin d</w:t>
      </w:r>
      <w:r w:rsidR="002D215E" w:rsidRPr="006236CF">
        <w:t>’</w:t>
      </w:r>
      <w:r w:rsidRPr="006236CF">
        <w:t>éviter toute interprétation erronée, en particulier en relation avec la règle [RSG</w:t>
      </w:r>
      <w:r w:rsidR="006236CF">
        <w:noBreakHyphen/>
      </w:r>
      <w:r w:rsidRPr="006236CF">
        <w:t>47]</w:t>
      </w:r>
      <w:r w:rsidR="00C9655D">
        <w:t>.</w:t>
      </w:r>
    </w:p>
    <w:p w14:paraId="3336FBB6" w14:textId="18B17C9F" w:rsidR="00336188" w:rsidRPr="006236CF" w:rsidRDefault="00336188" w:rsidP="006236CF">
      <w:pPr>
        <w:pStyle w:val="ONUMFS"/>
        <w:numPr>
          <w:ilvl w:val="1"/>
          <w:numId w:val="6"/>
        </w:numPr>
      </w:pPr>
      <w:r w:rsidRPr="006236CF">
        <w:t>Dans la règle [RSG</w:t>
      </w:r>
      <w:r w:rsidR="006236CF">
        <w:noBreakHyphen/>
      </w:r>
      <w:r w:rsidRPr="006236CF">
        <w:t>49], remplacer le mot “contenu” par “média” dans la description de la règle</w:t>
      </w:r>
      <w:r w:rsidR="00C9655D">
        <w:t>.</w:t>
      </w:r>
    </w:p>
    <w:p w14:paraId="5F63393A" w14:textId="52CA02A7" w:rsidR="00336188" w:rsidRPr="006236CF" w:rsidRDefault="00336188" w:rsidP="006236CF">
      <w:pPr>
        <w:pStyle w:val="ONUMFS"/>
        <w:numPr>
          <w:ilvl w:val="1"/>
          <w:numId w:val="6"/>
        </w:numPr>
      </w:pPr>
      <w:r w:rsidRPr="006236CF">
        <w:t>Dans la règle [RSG</w:t>
      </w:r>
      <w:r w:rsidR="006236CF">
        <w:noBreakHyphen/>
      </w:r>
      <w:r w:rsidRPr="006236CF">
        <w:t>66], remplacer le renvoi</w:t>
      </w:r>
      <w:r w:rsidR="002D215E" w:rsidRPr="006236CF">
        <w:t xml:space="preserve"> au RFC</w:t>
      </w:r>
      <w:r w:rsidRPr="006236CF">
        <w:t> 7238, qui a d</w:t>
      </w:r>
      <w:r w:rsidR="002D215E" w:rsidRPr="006236CF">
        <w:t>’</w:t>
      </w:r>
      <w:r w:rsidRPr="006236CF">
        <w:t>abord été rendu obsolète par</w:t>
      </w:r>
      <w:r w:rsidR="002D215E" w:rsidRPr="006236CF">
        <w:t xml:space="preserve"> le RFC</w:t>
      </w:r>
      <w:r w:rsidRPr="006236CF">
        <w:t> 7538, puis par</w:t>
      </w:r>
      <w:r w:rsidR="002D215E" w:rsidRPr="006236CF">
        <w:t xml:space="preserve"> le RFC</w:t>
      </w:r>
      <w:r w:rsidRPr="006236CF">
        <w:t> 9110</w:t>
      </w:r>
      <w:r w:rsidR="00C9655D">
        <w:t>.</w:t>
      </w:r>
    </w:p>
    <w:p w14:paraId="7C97442D" w14:textId="7589C954" w:rsidR="00336188" w:rsidRPr="006236CF" w:rsidRDefault="00336188" w:rsidP="006236CF">
      <w:pPr>
        <w:pStyle w:val="ONUMFS"/>
        <w:numPr>
          <w:ilvl w:val="1"/>
          <w:numId w:val="6"/>
        </w:numPr>
      </w:pPr>
      <w:r w:rsidRPr="006236CF">
        <w:t xml:space="preserve">Dans le paragraphe 57 de la norme ST.90, actualiser le paramètre de requête en remplaçant </w:t>
      </w:r>
      <w:proofErr w:type="spellStart"/>
      <w:r w:rsidRPr="006236CF">
        <w:rPr>
          <w:rFonts w:ascii="Courier New" w:hAnsi="Courier New"/>
        </w:rPr>
        <w:t>fullName</w:t>
      </w:r>
      <w:proofErr w:type="spellEnd"/>
      <w:r w:rsidRPr="006236CF">
        <w:t xml:space="preserve"> par </w:t>
      </w:r>
      <w:proofErr w:type="spellStart"/>
      <w:r w:rsidRPr="006236CF">
        <w:rPr>
          <w:rFonts w:ascii="Courier New" w:hAnsi="Courier New"/>
        </w:rPr>
        <w:t>personFullName</w:t>
      </w:r>
      <w:proofErr w:type="spellEnd"/>
      <w:r w:rsidRPr="006236CF">
        <w:t xml:space="preserve"> afin d</w:t>
      </w:r>
      <w:r w:rsidR="002D215E" w:rsidRPr="006236CF">
        <w:t>’</w:t>
      </w:r>
      <w:r w:rsidRPr="006236CF">
        <w:t>assurer la cohérence avec la norme ST.97 de l</w:t>
      </w:r>
      <w:r w:rsidR="002D215E" w:rsidRPr="006236CF">
        <w:t>’</w:t>
      </w:r>
      <w:r w:rsidRPr="006236CF">
        <w:t>OMPI et l</w:t>
      </w:r>
      <w:r w:rsidR="002D215E" w:rsidRPr="006236CF">
        <w:t>’</w:t>
      </w:r>
      <w:r w:rsidRPr="006236CF">
        <w:t>exemple XML figurant dans la norme ST.96 de l</w:t>
      </w:r>
      <w:r w:rsidR="002D215E" w:rsidRPr="006236CF">
        <w:t>’</w:t>
      </w:r>
      <w:r w:rsidRPr="006236CF">
        <w:t>OMPI.</w:t>
      </w:r>
    </w:p>
    <w:p w14:paraId="521F77F2" w14:textId="38358A8A" w:rsidR="00336188" w:rsidRPr="006236CF" w:rsidRDefault="00336188" w:rsidP="006236CF">
      <w:pPr>
        <w:pStyle w:val="ONUMFS"/>
        <w:numPr>
          <w:ilvl w:val="1"/>
          <w:numId w:val="6"/>
        </w:numPr>
      </w:pPr>
      <w:r w:rsidRPr="006236CF">
        <w:t>Dans la règle [RSG</w:t>
      </w:r>
      <w:r w:rsidR="006236CF">
        <w:noBreakHyphen/>
      </w:r>
      <w:r w:rsidRPr="006236CF">
        <w:t>91], remplacer le renvoi</w:t>
      </w:r>
      <w:r w:rsidR="002D215E" w:rsidRPr="006236CF">
        <w:t xml:space="preserve"> au RFC</w:t>
      </w:r>
      <w:r w:rsidRPr="006236CF">
        <w:t> 9110 par</w:t>
      </w:r>
      <w:r w:rsidR="002D215E" w:rsidRPr="006236CF">
        <w:t xml:space="preserve"> le RFC</w:t>
      </w:r>
      <w:r w:rsidRPr="006236CF">
        <w:t> 9112 de l</w:t>
      </w:r>
      <w:r w:rsidR="002D215E" w:rsidRPr="006236CF">
        <w:t>’</w:t>
      </w:r>
      <w:r w:rsidRPr="006236CF">
        <w:t>IETF</w:t>
      </w:r>
      <w:r w:rsidR="00C9655D">
        <w:t>.</w:t>
      </w:r>
    </w:p>
    <w:p w14:paraId="1C4953A9" w14:textId="0D5B9DE5" w:rsidR="00336188" w:rsidRPr="006236CF" w:rsidRDefault="00336188" w:rsidP="006236CF">
      <w:pPr>
        <w:pStyle w:val="ONUMFS"/>
        <w:numPr>
          <w:ilvl w:val="1"/>
          <w:numId w:val="6"/>
        </w:numPr>
      </w:pPr>
      <w:r w:rsidRPr="006236CF">
        <w:t>Dans les règles [RSG</w:t>
      </w:r>
      <w:r w:rsidR="006236CF">
        <w:noBreakHyphen/>
      </w:r>
      <w:r w:rsidRPr="006236CF">
        <w:t>102] et [RSG</w:t>
      </w:r>
      <w:r w:rsidR="006236CF">
        <w:noBreakHyphen/>
      </w:r>
      <w:r w:rsidRPr="006236CF">
        <w:t>103], remplacer le renvoi</w:t>
      </w:r>
      <w:r w:rsidR="002D215E" w:rsidRPr="006236CF">
        <w:t xml:space="preserve"> au RFC</w:t>
      </w:r>
      <w:r w:rsidRPr="006236CF">
        <w:t> 7232 par</w:t>
      </w:r>
      <w:r w:rsidR="002D215E" w:rsidRPr="006236CF">
        <w:t xml:space="preserve"> le RFC</w:t>
      </w:r>
      <w:r w:rsidRPr="006236CF">
        <w:t> 9110</w:t>
      </w:r>
      <w:r w:rsidR="00C9655D">
        <w:t>.</w:t>
      </w:r>
    </w:p>
    <w:p w14:paraId="441B3E94" w14:textId="3814B185" w:rsidR="00336188" w:rsidRPr="006236CF" w:rsidRDefault="00336188" w:rsidP="006236CF">
      <w:pPr>
        <w:pStyle w:val="ONUMFS"/>
        <w:numPr>
          <w:ilvl w:val="1"/>
          <w:numId w:val="6"/>
        </w:numPr>
      </w:pPr>
      <w:r w:rsidRPr="006236CF">
        <w:t>Dans la règle [RSG</w:t>
      </w:r>
      <w:r w:rsidR="006236CF">
        <w:noBreakHyphen/>
      </w:r>
      <w:r w:rsidRPr="006236CF">
        <w:t>115], ajouter un renvoi manquant à la section 15.3.3</w:t>
      </w:r>
      <w:r w:rsidR="002D215E" w:rsidRPr="006236CF">
        <w:t xml:space="preserve"> du RFC</w:t>
      </w:r>
      <w:r w:rsidRPr="006236CF">
        <w:t> 9110</w:t>
      </w:r>
      <w:r w:rsidR="00C9655D">
        <w:t>.</w:t>
      </w:r>
    </w:p>
    <w:p w14:paraId="643C98D8" w14:textId="58A2F16E" w:rsidR="00336188" w:rsidRPr="006236CF" w:rsidRDefault="00336188" w:rsidP="006236CF">
      <w:pPr>
        <w:pStyle w:val="ONUMFS"/>
        <w:numPr>
          <w:ilvl w:val="1"/>
          <w:numId w:val="6"/>
        </w:numPr>
      </w:pPr>
      <w:r w:rsidRPr="006236CF">
        <w:t xml:space="preserve">Renommer la </w:t>
      </w:r>
      <w:r w:rsidR="002D215E" w:rsidRPr="006236CF">
        <w:t>règle C</w:t>
      </w:r>
      <w:r w:rsidRPr="006236CF">
        <w:t>SJ</w:t>
      </w:r>
      <w:r w:rsidR="006236CF">
        <w:noBreakHyphen/>
      </w:r>
      <w:r w:rsidRPr="006236CF">
        <w:t>11 en CS</w:t>
      </w:r>
      <w:r w:rsidR="006236CF">
        <w:noBreakHyphen/>
      </w:r>
      <w:r w:rsidRPr="006236CF">
        <w:t>11 afin de tenir compte du fait que la règle peut également s</w:t>
      </w:r>
      <w:r w:rsidR="002D215E" w:rsidRPr="006236CF">
        <w:t>’</w:t>
      </w:r>
      <w:r w:rsidRPr="006236CF">
        <w:t>appliquer aux énumérations en XML, et pas seulement en JSON</w:t>
      </w:r>
      <w:r w:rsidR="00C9655D">
        <w:t>.</w:t>
      </w:r>
    </w:p>
    <w:p w14:paraId="03C07196" w14:textId="695E0F82" w:rsidR="00336188" w:rsidRPr="006236CF" w:rsidRDefault="00336188" w:rsidP="006236CF">
      <w:pPr>
        <w:pStyle w:val="ONUMFS"/>
        <w:numPr>
          <w:ilvl w:val="1"/>
          <w:numId w:val="6"/>
        </w:numPr>
      </w:pPr>
      <w:r w:rsidRPr="006236CF">
        <w:t>Dans le paragraphe 24 de la norme ST.90, remplacer le renvoi</w:t>
      </w:r>
      <w:r w:rsidR="002D215E" w:rsidRPr="006236CF">
        <w:t xml:space="preserve"> au RFC</w:t>
      </w:r>
      <w:r w:rsidRPr="006236CF">
        <w:t> 7807 par</w:t>
      </w:r>
      <w:r w:rsidR="002D215E" w:rsidRPr="006236CF">
        <w:t xml:space="preserve"> le RFC</w:t>
      </w:r>
      <w:r w:rsidRPr="006236CF">
        <w:t> 9110</w:t>
      </w:r>
      <w:r w:rsidR="006236CF">
        <w:t>.</w:t>
      </w:r>
      <w:r w:rsidRPr="006236CF">
        <w:t xml:space="preserve">  Il convient de noter que ni</w:t>
      </w:r>
      <w:r w:rsidR="002D215E" w:rsidRPr="006236CF">
        <w:t xml:space="preserve"> le RFC</w:t>
      </w:r>
      <w:r w:rsidRPr="006236CF">
        <w:t> 7807 ni</w:t>
      </w:r>
      <w:r w:rsidR="002D215E" w:rsidRPr="006236CF">
        <w:t xml:space="preserve"> le RFC</w:t>
      </w:r>
      <w:r w:rsidRPr="006236CF">
        <w:t> 9457 ne renvoient directement aux codes d</w:t>
      </w:r>
      <w:r w:rsidR="002D215E" w:rsidRPr="006236CF">
        <w:t>’</w:t>
      </w:r>
      <w:r w:rsidRPr="006236CF">
        <w:t>état HTTP, mais ceux</w:t>
      </w:r>
      <w:r w:rsidR="006236CF">
        <w:noBreakHyphen/>
      </w:r>
      <w:r w:rsidRPr="006236CF">
        <w:t>ci sont définis dans</w:t>
      </w:r>
      <w:r w:rsidR="002D215E" w:rsidRPr="006236CF">
        <w:t xml:space="preserve"> le RFC</w:t>
      </w:r>
      <w:r w:rsidRPr="006236CF">
        <w:t> 9110.  Un renvoi plus précis et plus complet a été ajouté au registre des codes d</w:t>
      </w:r>
      <w:r w:rsidR="002D215E" w:rsidRPr="006236CF">
        <w:t>’</w:t>
      </w:r>
      <w:r w:rsidRPr="006236CF">
        <w:t>état HTTP tenu par l</w:t>
      </w:r>
      <w:r w:rsidR="002D215E" w:rsidRPr="006236CF">
        <w:t>’</w:t>
      </w:r>
      <w:r w:rsidRPr="006236CF">
        <w:t xml:space="preserve">Internet </w:t>
      </w:r>
      <w:proofErr w:type="spellStart"/>
      <w:r w:rsidRPr="006236CF">
        <w:t>Assigned</w:t>
      </w:r>
      <w:proofErr w:type="spellEnd"/>
      <w:r w:rsidRPr="006236CF">
        <w:t xml:space="preserve"> Numbers </w:t>
      </w:r>
      <w:proofErr w:type="spellStart"/>
      <w:r w:rsidRPr="006236CF">
        <w:t>Authority</w:t>
      </w:r>
      <w:proofErr w:type="spellEnd"/>
      <w:r w:rsidRPr="006236CF">
        <w:t xml:space="preserve"> (IANA).</w:t>
      </w:r>
    </w:p>
    <w:p w14:paraId="08D2362D" w14:textId="77777777" w:rsidR="00336188" w:rsidRPr="006236CF" w:rsidRDefault="00336188" w:rsidP="006236CF">
      <w:pPr>
        <w:pStyle w:val="Heading2"/>
      </w:pPr>
      <w:r w:rsidRPr="006236CF">
        <w:t>Versions</w:t>
      </w:r>
    </w:p>
    <w:p w14:paraId="1200FAD3" w14:textId="29B4D0AE" w:rsidR="002D215E" w:rsidRPr="006236CF" w:rsidRDefault="00336188" w:rsidP="002D215E">
      <w:pPr>
        <w:pStyle w:val="ONUMFS"/>
      </w:pPr>
      <w:r w:rsidRPr="006236CF">
        <w:t>Il est proposé que la révision de la norme ST.90 de l</w:t>
      </w:r>
      <w:r w:rsidR="002D215E" w:rsidRPr="006236CF">
        <w:t>’</w:t>
      </w:r>
      <w:r w:rsidRPr="006236CF">
        <w:t>OMPI soit présentée sous la forme d</w:t>
      </w:r>
      <w:r w:rsidR="002D215E" w:rsidRPr="006236CF">
        <w:t>’</w:t>
      </w:r>
      <w:r w:rsidRPr="006236CF">
        <w:t>une version 2.0.  Cela est dû aux modifications proposées, notamment celles concernant le remplacement de NE DOIT PAS par DOIT dans les règles [RSG</w:t>
      </w:r>
      <w:r w:rsidR="006236CF">
        <w:noBreakHyphen/>
      </w:r>
      <w:r w:rsidRPr="006236CF">
        <w:t>50] et [RSG</w:t>
      </w:r>
      <w:r w:rsidR="006236CF">
        <w:noBreakHyphen/>
      </w:r>
      <w:r w:rsidRPr="006236CF">
        <w:t xml:space="preserve">54], qui ne sont pas considérées comme </w:t>
      </w:r>
      <w:proofErr w:type="spellStart"/>
      <w:r w:rsidRPr="006236CF">
        <w:t>rétrocompatibles</w:t>
      </w:r>
      <w:proofErr w:type="spellEnd"/>
      <w:r w:rsidRPr="006236CF">
        <w:t xml:space="preserve"> avec la version 1.1, et qui constituent donc une mise à jour majeure.</w:t>
      </w:r>
    </w:p>
    <w:p w14:paraId="3DDB7897" w14:textId="2941CBEB" w:rsidR="00336188" w:rsidRPr="006236CF" w:rsidRDefault="00336188" w:rsidP="006236CF">
      <w:pPr>
        <w:pStyle w:val="ONUMFS"/>
        <w:ind w:left="5533"/>
        <w:rPr>
          <w:i/>
        </w:rPr>
      </w:pPr>
      <w:r w:rsidRPr="006236CF">
        <w:rPr>
          <w:i/>
        </w:rPr>
        <w:t>Le CWS est invité</w:t>
      </w:r>
    </w:p>
    <w:p w14:paraId="71E9DDEC" w14:textId="77777777" w:rsidR="002D215E" w:rsidRPr="006236CF" w:rsidRDefault="00336188" w:rsidP="006236CF">
      <w:pPr>
        <w:pStyle w:val="ONUMFS"/>
        <w:numPr>
          <w:ilvl w:val="1"/>
          <w:numId w:val="6"/>
        </w:numPr>
        <w:ind w:left="5533" w:firstLine="704"/>
        <w:rPr>
          <w:i/>
        </w:rPr>
      </w:pPr>
      <w:r w:rsidRPr="006236CF">
        <w:rPr>
          <w:i/>
        </w:rPr>
        <w:t>à prendre note du contenu du présent document et de son annexe,</w:t>
      </w:r>
    </w:p>
    <w:p w14:paraId="5C7A638D" w14:textId="39781A04" w:rsidR="00336188" w:rsidRPr="006236CF" w:rsidRDefault="00336188" w:rsidP="006236CF">
      <w:pPr>
        <w:pStyle w:val="ONUMFS"/>
        <w:numPr>
          <w:ilvl w:val="1"/>
          <w:numId w:val="6"/>
        </w:numPr>
        <w:ind w:left="5533" w:firstLine="704"/>
        <w:rPr>
          <w:i/>
        </w:rPr>
      </w:pPr>
      <w:r w:rsidRPr="006236CF">
        <w:rPr>
          <w:i/>
        </w:rPr>
        <w:t>à examiner et à approuver la proposition de révision de la norme ST.90 de l</w:t>
      </w:r>
      <w:r w:rsidR="002D215E" w:rsidRPr="006236CF">
        <w:rPr>
          <w:i/>
        </w:rPr>
        <w:t>’</w:t>
      </w:r>
      <w:r w:rsidRPr="006236CF">
        <w:rPr>
          <w:i/>
        </w:rPr>
        <w:t>OMPI, telle qu</w:t>
      </w:r>
      <w:r w:rsidR="002D215E" w:rsidRPr="006236CF">
        <w:rPr>
          <w:i/>
        </w:rPr>
        <w:t>’</w:t>
      </w:r>
      <w:r w:rsidRPr="006236CF">
        <w:rPr>
          <w:i/>
        </w:rPr>
        <w:t>indiquée aux paragraphes 6 à 8 et présentée en détail dans l</w:t>
      </w:r>
      <w:r w:rsidR="002D215E" w:rsidRPr="006236CF">
        <w:rPr>
          <w:i/>
        </w:rPr>
        <w:t>’</w:t>
      </w:r>
      <w:r w:rsidRPr="006236CF">
        <w:rPr>
          <w:i/>
        </w:rPr>
        <w:t>annexe du présent document</w:t>
      </w:r>
      <w:r w:rsidR="006236CF">
        <w:rPr>
          <w:i/>
        </w:rPr>
        <w:t>,</w:t>
      </w:r>
      <w:r w:rsidRPr="006236CF">
        <w:rPr>
          <w:i/>
        </w:rPr>
        <w:t xml:space="preserve"> et</w:t>
      </w:r>
    </w:p>
    <w:p w14:paraId="48A23DD3" w14:textId="30EB8515" w:rsidR="002D215E" w:rsidRPr="006236CF" w:rsidRDefault="00336188" w:rsidP="006236CF">
      <w:pPr>
        <w:pStyle w:val="ONUMFS"/>
        <w:numPr>
          <w:ilvl w:val="1"/>
          <w:numId w:val="6"/>
        </w:numPr>
        <w:ind w:left="5533" w:firstLine="704"/>
        <w:rPr>
          <w:i/>
        </w:rPr>
      </w:pPr>
      <w:r w:rsidRPr="006236CF">
        <w:rPr>
          <w:i/>
        </w:rPr>
        <w:t xml:space="preserve">à approuver le numéro de la nouvelle version, </w:t>
      </w:r>
      <w:r w:rsidR="002D215E" w:rsidRPr="006236CF">
        <w:rPr>
          <w:i/>
        </w:rPr>
        <w:t>à savoir</w:t>
      </w:r>
      <w:r w:rsidRPr="006236CF">
        <w:rPr>
          <w:i/>
        </w:rPr>
        <w:t xml:space="preserve"> la version 2.0 de la norme ST.90 de l</w:t>
      </w:r>
      <w:r w:rsidR="002D215E" w:rsidRPr="006236CF">
        <w:rPr>
          <w:i/>
        </w:rPr>
        <w:t>’</w:t>
      </w:r>
      <w:r w:rsidRPr="006236CF">
        <w:rPr>
          <w:i/>
        </w:rPr>
        <w:t>OMPI, comme indiqué au paragraphe 9.</w:t>
      </w:r>
    </w:p>
    <w:p w14:paraId="3245BF91" w14:textId="4A1B0501" w:rsidR="0099108F" w:rsidRPr="006236CF" w:rsidRDefault="00336188" w:rsidP="002D215E">
      <w:pPr>
        <w:pStyle w:val="Endofdocument-Annex"/>
      </w:pPr>
      <w:r w:rsidRPr="006236CF">
        <w:t>[L</w:t>
      </w:r>
      <w:r w:rsidR="002D215E" w:rsidRPr="006236CF">
        <w:t>’</w:t>
      </w:r>
      <w:r w:rsidRPr="006236CF">
        <w:t>annexe (norme ST.90 de l</w:t>
      </w:r>
      <w:r w:rsidR="002D215E" w:rsidRPr="006236CF">
        <w:t>’</w:t>
      </w:r>
      <w:r w:rsidRPr="006236CF">
        <w:t>OMPI révisée) suit]</w:t>
      </w:r>
    </w:p>
    <w:sectPr w:rsidR="0099108F" w:rsidRPr="006236CF" w:rsidSect="002D215E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157DC" w14:textId="77777777" w:rsidR="003F6B53" w:rsidRPr="00290DCD" w:rsidRDefault="003F6B53">
      <w:r w:rsidRPr="00290DCD">
        <w:separator/>
      </w:r>
    </w:p>
  </w:endnote>
  <w:endnote w:type="continuationSeparator" w:id="0">
    <w:p w14:paraId="62EB910F" w14:textId="77777777" w:rsidR="003F6B53" w:rsidRPr="00290DCD" w:rsidRDefault="003F6B53" w:rsidP="00D45252">
      <w:pPr>
        <w:rPr>
          <w:sz w:val="17"/>
          <w:szCs w:val="17"/>
        </w:rPr>
      </w:pPr>
      <w:r w:rsidRPr="00290DCD">
        <w:rPr>
          <w:sz w:val="17"/>
          <w:szCs w:val="17"/>
        </w:rPr>
        <w:separator/>
      </w:r>
    </w:p>
    <w:p w14:paraId="0228D308" w14:textId="77777777" w:rsidR="003F6B53" w:rsidRPr="00290DCD" w:rsidRDefault="003F6B53" w:rsidP="00D45252">
      <w:pPr>
        <w:spacing w:after="60"/>
        <w:rPr>
          <w:sz w:val="17"/>
          <w:szCs w:val="17"/>
        </w:rPr>
      </w:pPr>
      <w:r w:rsidRPr="00290DCD">
        <w:rPr>
          <w:sz w:val="17"/>
          <w:szCs w:val="17"/>
        </w:rPr>
        <w:t>[Suite de la note de la page précédente]</w:t>
      </w:r>
    </w:p>
  </w:endnote>
  <w:endnote w:type="continuationNotice" w:id="1">
    <w:p w14:paraId="40353064" w14:textId="77777777" w:rsidR="003F6B53" w:rsidRPr="00290DCD" w:rsidRDefault="003F6B53" w:rsidP="009D30E6">
      <w:pPr>
        <w:spacing w:before="60"/>
        <w:jc w:val="right"/>
        <w:rPr>
          <w:sz w:val="17"/>
          <w:szCs w:val="17"/>
        </w:rPr>
      </w:pPr>
      <w:r w:rsidRPr="00290DCD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7C400" w14:textId="77777777" w:rsidR="003F6B53" w:rsidRPr="00290DCD" w:rsidRDefault="003F6B53">
      <w:r w:rsidRPr="00290DCD">
        <w:separator/>
      </w:r>
    </w:p>
  </w:footnote>
  <w:footnote w:type="continuationSeparator" w:id="0">
    <w:p w14:paraId="19DC33AA" w14:textId="77777777" w:rsidR="003F6B53" w:rsidRPr="00290DCD" w:rsidRDefault="003F6B53" w:rsidP="007461F1">
      <w:r w:rsidRPr="00290DCD">
        <w:separator/>
      </w:r>
    </w:p>
    <w:p w14:paraId="2FB6CB03" w14:textId="77777777" w:rsidR="003F6B53" w:rsidRPr="00290DCD" w:rsidRDefault="003F6B53" w:rsidP="007461F1">
      <w:pPr>
        <w:spacing w:after="60"/>
        <w:rPr>
          <w:sz w:val="17"/>
          <w:szCs w:val="17"/>
        </w:rPr>
      </w:pPr>
      <w:r w:rsidRPr="00290DCD">
        <w:rPr>
          <w:sz w:val="17"/>
          <w:szCs w:val="17"/>
        </w:rPr>
        <w:t>[Suite de la note de la page précédente]</w:t>
      </w:r>
    </w:p>
  </w:footnote>
  <w:footnote w:type="continuationNotice" w:id="1">
    <w:p w14:paraId="47BA1ABF" w14:textId="77777777" w:rsidR="003F6B53" w:rsidRPr="00290DCD" w:rsidRDefault="003F6B53" w:rsidP="007461F1">
      <w:pPr>
        <w:spacing w:before="60"/>
        <w:jc w:val="right"/>
        <w:rPr>
          <w:sz w:val="17"/>
          <w:szCs w:val="17"/>
        </w:rPr>
      </w:pPr>
      <w:r w:rsidRPr="00290DCD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67729" w14:textId="1846992F" w:rsidR="00F16975" w:rsidRPr="00290DCD" w:rsidRDefault="00336188" w:rsidP="00477D6B">
    <w:pPr>
      <w:jc w:val="right"/>
    </w:pPr>
    <w:bookmarkStart w:id="5" w:name="Code2"/>
    <w:bookmarkEnd w:id="5"/>
    <w:r>
      <w:t>CWS/13/19</w:t>
    </w:r>
  </w:p>
  <w:p w14:paraId="4CC6202F" w14:textId="77777777" w:rsidR="004F4E31" w:rsidRPr="00290DCD" w:rsidRDefault="00F16975" w:rsidP="0099108F">
    <w:pPr>
      <w:spacing w:after="480"/>
      <w:jc w:val="right"/>
    </w:pPr>
    <w:r w:rsidRPr="00290DCD">
      <w:t>page</w:t>
    </w:r>
    <w:r w:rsidR="0099108F" w:rsidRPr="00290DCD">
      <w:t> </w:t>
    </w:r>
    <w:r w:rsidRPr="00290DCD">
      <w:fldChar w:fldCharType="begin"/>
    </w:r>
    <w:r w:rsidRPr="00290DCD">
      <w:instrText xml:space="preserve"> PAGE  \* MERGEFORMAT </w:instrText>
    </w:r>
    <w:r w:rsidRPr="00290DCD">
      <w:fldChar w:fldCharType="separate"/>
    </w:r>
    <w:r w:rsidR="004F4E31" w:rsidRPr="00290DCD">
      <w:t>2</w:t>
    </w:r>
    <w:r w:rsidRPr="00290DCD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B8F1A80"/>
    <w:multiLevelType w:val="multilevel"/>
    <w:tmpl w:val="0A5CBCAC"/>
    <w:lvl w:ilvl="0">
      <w:start w:val="1"/>
      <w:numFmt w:val="lowerLetter"/>
      <w:lvlText w:val="(%1)"/>
      <w:lvlJc w:val="left"/>
      <w:pPr>
        <w:tabs>
          <w:tab w:val="num" w:pos="1118"/>
        </w:tabs>
        <w:ind w:left="551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685"/>
        </w:tabs>
        <w:ind w:left="1118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52"/>
        </w:tabs>
        <w:ind w:left="1685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19"/>
        </w:tabs>
        <w:ind w:left="2252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386"/>
        </w:tabs>
        <w:ind w:left="2819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53"/>
        </w:tabs>
        <w:ind w:left="3386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20"/>
        </w:tabs>
        <w:ind w:left="3953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086"/>
        </w:tabs>
        <w:ind w:left="4520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53"/>
        </w:tabs>
        <w:ind w:left="5086" w:firstLine="0"/>
      </w:pPr>
      <w:rPr>
        <w:rFonts w:hint="default"/>
      </w:rPr>
    </w:lvl>
  </w:abstractNum>
  <w:abstractNum w:abstractNumId="3" w15:restartNumberingAfterBreak="0">
    <w:nsid w:val="0F682BED"/>
    <w:multiLevelType w:val="hybridMultilevel"/>
    <w:tmpl w:val="C6B4815A"/>
    <w:lvl w:ilvl="0" w:tplc="2F4A732A">
      <w:start w:val="1"/>
      <w:numFmt w:val="bullet"/>
      <w:lvlText w:val=""/>
      <w:lvlJc w:val="left"/>
      <w:pPr>
        <w:ind w:left="14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C65171B"/>
    <w:multiLevelType w:val="multilevel"/>
    <w:tmpl w:val="9CC24378"/>
    <w:lvl w:ilvl="0">
      <w:start w:val="1"/>
      <w:numFmt w:val="bullet"/>
      <w:lvlText w:val=""/>
      <w:lvlJc w:val="left"/>
      <w:pPr>
        <w:tabs>
          <w:tab w:val="num" w:pos="1277"/>
        </w:tabs>
        <w:ind w:left="127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997"/>
        </w:tabs>
        <w:ind w:left="199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17"/>
        </w:tabs>
        <w:ind w:left="271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37"/>
        </w:tabs>
        <w:ind w:left="343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57"/>
        </w:tabs>
        <w:ind w:left="415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77"/>
        </w:tabs>
        <w:ind w:left="487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97"/>
        </w:tabs>
        <w:ind w:left="559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17"/>
        </w:tabs>
        <w:ind w:left="631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37"/>
        </w:tabs>
        <w:ind w:left="7037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2C947282"/>
    <w:multiLevelType w:val="hybridMultilevel"/>
    <w:tmpl w:val="4C885E94"/>
    <w:lvl w:ilvl="0" w:tplc="D41E06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D7B05"/>
    <w:multiLevelType w:val="hybridMultilevel"/>
    <w:tmpl w:val="7CA8A54A"/>
    <w:lvl w:ilvl="0" w:tplc="D41E06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3B669A"/>
    <w:multiLevelType w:val="hybridMultilevel"/>
    <w:tmpl w:val="E44E21BC"/>
    <w:lvl w:ilvl="0" w:tplc="D41E0678">
      <w:start w:val="1"/>
      <w:numFmt w:val="bullet"/>
      <w:lvlText w:val=""/>
      <w:lvlJc w:val="left"/>
      <w:pPr>
        <w:ind w:left="12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10" w15:restartNumberingAfterBreak="0">
    <w:nsid w:val="39595030"/>
    <w:multiLevelType w:val="hybridMultilevel"/>
    <w:tmpl w:val="2006D4AA"/>
    <w:lvl w:ilvl="0" w:tplc="D41E06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282805"/>
    <w:multiLevelType w:val="hybridMultilevel"/>
    <w:tmpl w:val="015442E2"/>
    <w:lvl w:ilvl="0" w:tplc="D41E06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4F2FAD"/>
    <w:multiLevelType w:val="hybridMultilevel"/>
    <w:tmpl w:val="C42EC3B8"/>
    <w:lvl w:ilvl="0" w:tplc="90B874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702094"/>
    <w:multiLevelType w:val="hybridMultilevel"/>
    <w:tmpl w:val="2948145A"/>
    <w:lvl w:ilvl="0" w:tplc="90B874AC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4F844A3"/>
    <w:multiLevelType w:val="multilevel"/>
    <w:tmpl w:val="0478E938"/>
    <w:lvl w:ilvl="0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trike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 w16cid:durableId="1398548192">
    <w:abstractNumId w:val="4"/>
  </w:num>
  <w:num w:numId="2" w16cid:durableId="1870607316">
    <w:abstractNumId w:val="13"/>
  </w:num>
  <w:num w:numId="3" w16cid:durableId="844322595">
    <w:abstractNumId w:val="0"/>
  </w:num>
  <w:num w:numId="4" w16cid:durableId="1456631763">
    <w:abstractNumId w:val="14"/>
  </w:num>
  <w:num w:numId="5" w16cid:durableId="628778745">
    <w:abstractNumId w:val="1"/>
  </w:num>
  <w:num w:numId="6" w16cid:durableId="670451745">
    <w:abstractNumId w:val="6"/>
  </w:num>
  <w:num w:numId="7" w16cid:durableId="1199006242">
    <w:abstractNumId w:val="2"/>
  </w:num>
  <w:num w:numId="8" w16cid:durableId="1253120733">
    <w:abstractNumId w:val="12"/>
  </w:num>
  <w:num w:numId="9" w16cid:durableId="918249869">
    <w:abstractNumId w:val="9"/>
  </w:num>
  <w:num w:numId="10" w16cid:durableId="243103843">
    <w:abstractNumId w:val="5"/>
  </w:num>
  <w:num w:numId="11" w16cid:durableId="1104033437">
    <w:abstractNumId w:val="15"/>
  </w:num>
  <w:num w:numId="12" w16cid:durableId="2072921986">
    <w:abstractNumId w:val="3"/>
  </w:num>
  <w:num w:numId="13" w16cid:durableId="1527479053">
    <w:abstractNumId w:val="16"/>
  </w:num>
  <w:num w:numId="14" w16cid:durableId="1318344734">
    <w:abstractNumId w:val="10"/>
  </w:num>
  <w:num w:numId="15" w16cid:durableId="2076387568">
    <w:abstractNumId w:val="11"/>
  </w:num>
  <w:num w:numId="16" w16cid:durableId="2091342050">
    <w:abstractNumId w:val="7"/>
  </w:num>
  <w:num w:numId="17" w16cid:durableId="9882418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188"/>
    <w:rsid w:val="000101E2"/>
    <w:rsid w:val="00011B7D"/>
    <w:rsid w:val="00075432"/>
    <w:rsid w:val="000F5E56"/>
    <w:rsid w:val="001352EC"/>
    <w:rsid w:val="001362EE"/>
    <w:rsid w:val="00157E3C"/>
    <w:rsid w:val="001832A6"/>
    <w:rsid w:val="00195C6E"/>
    <w:rsid w:val="00197881"/>
    <w:rsid w:val="001B266A"/>
    <w:rsid w:val="001D3D56"/>
    <w:rsid w:val="00240654"/>
    <w:rsid w:val="002634C4"/>
    <w:rsid w:val="00290DCD"/>
    <w:rsid w:val="002D215E"/>
    <w:rsid w:val="002D4918"/>
    <w:rsid w:val="002E4D1A"/>
    <w:rsid w:val="002F16BC"/>
    <w:rsid w:val="002F4E68"/>
    <w:rsid w:val="00315FCA"/>
    <w:rsid w:val="00336188"/>
    <w:rsid w:val="003845C1"/>
    <w:rsid w:val="003A1BCD"/>
    <w:rsid w:val="003F6B53"/>
    <w:rsid w:val="004008A2"/>
    <w:rsid w:val="004025DF"/>
    <w:rsid w:val="00423E3E"/>
    <w:rsid w:val="00427AF4"/>
    <w:rsid w:val="004647DA"/>
    <w:rsid w:val="00477D6B"/>
    <w:rsid w:val="004D6471"/>
    <w:rsid w:val="004F4E31"/>
    <w:rsid w:val="00525B63"/>
    <w:rsid w:val="00547476"/>
    <w:rsid w:val="00561DB8"/>
    <w:rsid w:val="00567A4C"/>
    <w:rsid w:val="00576171"/>
    <w:rsid w:val="005A3309"/>
    <w:rsid w:val="005E6516"/>
    <w:rsid w:val="00605827"/>
    <w:rsid w:val="006236CF"/>
    <w:rsid w:val="00676936"/>
    <w:rsid w:val="00692D58"/>
    <w:rsid w:val="006B0DB5"/>
    <w:rsid w:val="006E4243"/>
    <w:rsid w:val="006E7559"/>
    <w:rsid w:val="007461F1"/>
    <w:rsid w:val="007C04C6"/>
    <w:rsid w:val="007D6961"/>
    <w:rsid w:val="007F07CB"/>
    <w:rsid w:val="00810CEF"/>
    <w:rsid w:val="0081208D"/>
    <w:rsid w:val="008236DE"/>
    <w:rsid w:val="00842A13"/>
    <w:rsid w:val="008B2CC1"/>
    <w:rsid w:val="008B7418"/>
    <w:rsid w:val="008E7930"/>
    <w:rsid w:val="0090731E"/>
    <w:rsid w:val="00966A22"/>
    <w:rsid w:val="00974CD6"/>
    <w:rsid w:val="0099108F"/>
    <w:rsid w:val="009D040C"/>
    <w:rsid w:val="009D30E6"/>
    <w:rsid w:val="009E3F6F"/>
    <w:rsid w:val="009F499F"/>
    <w:rsid w:val="00A02BD3"/>
    <w:rsid w:val="00A65E7E"/>
    <w:rsid w:val="00AA1F20"/>
    <w:rsid w:val="00AC0AE4"/>
    <w:rsid w:val="00AD61DB"/>
    <w:rsid w:val="00B6177F"/>
    <w:rsid w:val="00B66A77"/>
    <w:rsid w:val="00B87BCF"/>
    <w:rsid w:val="00BA62D4"/>
    <w:rsid w:val="00BC3FC3"/>
    <w:rsid w:val="00C153FD"/>
    <w:rsid w:val="00C40E15"/>
    <w:rsid w:val="00C664C8"/>
    <w:rsid w:val="00C76A79"/>
    <w:rsid w:val="00C9655D"/>
    <w:rsid w:val="00CA15F5"/>
    <w:rsid w:val="00CA72C1"/>
    <w:rsid w:val="00CF0460"/>
    <w:rsid w:val="00D45252"/>
    <w:rsid w:val="00D71B4D"/>
    <w:rsid w:val="00D75C1E"/>
    <w:rsid w:val="00D93D55"/>
    <w:rsid w:val="00DB0349"/>
    <w:rsid w:val="00DD6A16"/>
    <w:rsid w:val="00E0091A"/>
    <w:rsid w:val="00E203AA"/>
    <w:rsid w:val="00E520C1"/>
    <w:rsid w:val="00E527A5"/>
    <w:rsid w:val="00E76456"/>
    <w:rsid w:val="00EE71CB"/>
    <w:rsid w:val="00F16975"/>
    <w:rsid w:val="00F66152"/>
    <w:rsid w:val="00FA532B"/>
    <w:rsid w:val="00FC5939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A5345A"/>
  <w15:docId w15:val="{A949689D-3E7C-442D-941D-B50E209F7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FR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2D215E"/>
    <w:pPr>
      <w:spacing w:before="720"/>
      <w:ind w:left="5533"/>
    </w:p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customStyle="1" w:styleId="Heading2Char">
    <w:name w:val="Heading 2 Char"/>
    <w:basedOn w:val="DefaultParagraphFont"/>
    <w:link w:val="Heading2"/>
    <w:rsid w:val="00336188"/>
    <w:rPr>
      <w:rFonts w:ascii="Arial" w:eastAsia="SimSun" w:hAnsi="Arial" w:cs="Arial"/>
      <w:bCs/>
      <w:iCs/>
      <w:caps/>
      <w:sz w:val="22"/>
      <w:szCs w:val="28"/>
      <w:lang w:val="fr-FR" w:eastAsia="zh-CN"/>
    </w:rPr>
  </w:style>
  <w:style w:type="paragraph" w:styleId="ListParagraph">
    <w:name w:val="List Paragraph"/>
    <w:basedOn w:val="Normal"/>
    <w:uiPriority w:val="34"/>
    <w:qFormat/>
    <w:rsid w:val="00336188"/>
    <w:pPr>
      <w:ind w:left="720"/>
      <w:contextualSpacing/>
    </w:pPr>
  </w:style>
  <w:style w:type="character" w:styleId="Hyperlink">
    <w:name w:val="Hyperlink"/>
    <w:basedOn w:val="DefaultParagraphFont"/>
    <w:unhideWhenUsed/>
    <w:rsid w:val="003361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etf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_13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CWS_13 (F).dotm</Template>
  <TotalTime>24</TotalTime>
  <Pages>1</Pages>
  <Words>1483</Words>
  <Characters>8459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CWS/13/19 (French)</vt:lpstr>
    </vt:vector>
  </TitlesOfParts>
  <Company>WIPO</Company>
  <LinksUpToDate>false</LinksUpToDate>
  <CharactersWithSpaces>9923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CWS/13/19 (French)</dc:title>
  <dc:subject>Proposition de révision de la norme ST.90 de l’OMPI </dc:subject>
  <dc:creator>WIPO</dc:creator>
  <cp:keywords>WIPO CWS treizième session, Proposition de révision, norme ST.90 de l’OMPI </cp:keywords>
  <cp:lastModifiedBy>Author</cp:lastModifiedBy>
  <cp:revision>7</cp:revision>
  <cp:lastPrinted>2025-10-30T14:22:00Z</cp:lastPrinted>
  <dcterms:created xsi:type="dcterms:W3CDTF">2025-10-28T09:53:00Z</dcterms:created>
  <dcterms:modified xsi:type="dcterms:W3CDTF">2025-10-30T14:22:00Z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4be00795-0332-471b-bc48-392ea471087a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2025-06-12T13:23:13Z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717d40da-50e5-4df9-b411-3e5ab47e1f7b</vt:lpwstr>
  </property>
  <property fmtid="{D5CDD505-2E9C-101B-9397-08002B2CF9AE}" pid="14" name="MSIP_Label_20773ee6-353b-4fb9-a59d-0b94c8c67bea_ContentBits">
    <vt:lpwstr>0</vt:lpwstr>
  </property>
  <property fmtid="{D5CDD505-2E9C-101B-9397-08002B2CF9AE}" pid="15" name="MSIP_Label_20773ee6-353b-4fb9-a59d-0b94c8c67bea_Tag">
    <vt:lpwstr>10, 0, 1, 1</vt:lpwstr>
  </property>
</Properties>
</file>