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30F5" w14:textId="351901CD" w:rsidR="002A53A0" w:rsidRPr="007574ED" w:rsidRDefault="007574ED" w:rsidP="007574ED">
      <w:pPr>
        <w:pStyle w:val="Heading1"/>
      </w:pPr>
      <w:r w:rsidRPr="007574ED">
        <w:t>Analyse des résultats de l’enquête sur les pratiques et les difficultés rencontrées en matière d’échange de données sur la propriété intellectuelle</w:t>
      </w:r>
    </w:p>
    <w:p w14:paraId="62E522DD" w14:textId="0691A9B9" w:rsidR="00055E85" w:rsidRDefault="003D16AC" w:rsidP="007574ED">
      <w:pPr>
        <w:spacing w:after="960"/>
        <w:rPr>
          <w:i/>
          <w:iCs/>
        </w:rPr>
      </w:pPr>
      <w:r>
        <w:rPr>
          <w:i/>
        </w:rPr>
        <w:t>Document établi par les coresponsables de l</w:t>
      </w:r>
      <w:r w:rsidR="002A53A0">
        <w:rPr>
          <w:i/>
        </w:rPr>
        <w:t>’</w:t>
      </w:r>
      <w:r>
        <w:rPr>
          <w:i/>
        </w:rPr>
        <w:t>Équipe d</w:t>
      </w:r>
      <w:r w:rsidR="002A53A0">
        <w:rPr>
          <w:i/>
        </w:rPr>
        <w:t>’</w:t>
      </w:r>
      <w:r>
        <w:rPr>
          <w:i/>
        </w:rPr>
        <w:t>experts chargée de l</w:t>
      </w:r>
      <w:r w:rsidR="002A53A0">
        <w:rPr>
          <w:i/>
        </w:rPr>
        <w:t>’</w:t>
      </w:r>
      <w:r>
        <w:rPr>
          <w:i/>
        </w:rPr>
        <w:t>échange de données sur la propriété intellectuelle</w:t>
      </w:r>
    </w:p>
    <w:p w14:paraId="796D1360" w14:textId="59F7E4FD" w:rsidR="002A53A0" w:rsidRDefault="007574ED" w:rsidP="007574ED">
      <w:pPr>
        <w:pStyle w:val="Heading2"/>
      </w:pPr>
      <w:r>
        <w:t>Rappel</w:t>
      </w:r>
    </w:p>
    <w:p w14:paraId="7E7062EA" w14:textId="6EA3864F" w:rsidR="00C967D3" w:rsidRPr="00ED1C5C" w:rsidRDefault="00377808" w:rsidP="007574ED">
      <w:pPr>
        <w:pStyle w:val="ONUMFS"/>
        <w:numPr>
          <w:ilvl w:val="0"/>
          <w:numId w:val="0"/>
        </w:numPr>
      </w:pPr>
      <w:r>
        <w:t>L</w:t>
      </w:r>
      <w:r w:rsidR="002A53A0">
        <w:t>’</w:t>
      </w:r>
      <w:r>
        <w:t>Équipe d</w:t>
      </w:r>
      <w:r w:rsidR="002A53A0">
        <w:t>’</w:t>
      </w:r>
      <w:r>
        <w:t>experts chargée de l</w:t>
      </w:r>
      <w:r w:rsidR="002A53A0">
        <w:t>’</w:t>
      </w:r>
      <w:r>
        <w:t>échange de données sur la propriété intellectuelle a été créée à la douz</w:t>
      </w:r>
      <w:r w:rsidR="002A53A0">
        <w:t>ième session du </w:t>
      </w:r>
      <w:r w:rsidR="007574ED">
        <w:t>CWS.  Co</w:t>
      </w:r>
      <w:r>
        <w:t>nformément à son programme de travail, l</w:t>
      </w:r>
      <w:r w:rsidR="002A53A0">
        <w:t>’</w:t>
      </w:r>
      <w:r>
        <w:t>équipe d</w:t>
      </w:r>
      <w:r w:rsidR="002A53A0">
        <w:t>’</w:t>
      </w:r>
      <w:r>
        <w:t>experts est convenue de mener une enquête auprès des offices des membres de l</w:t>
      </w:r>
      <w:r w:rsidR="002A53A0">
        <w:t>’</w:t>
      </w:r>
      <w:r>
        <w:t>équipe d</w:t>
      </w:r>
      <w:r w:rsidR="002A53A0">
        <w:t>’</w:t>
      </w:r>
      <w:r>
        <w:t>experts afin de recueillir les pratiques existantes et les difficultés rencontrées par ces offices en matière d</w:t>
      </w:r>
      <w:r w:rsidR="002A53A0">
        <w:t>’</w:t>
      </w:r>
      <w:r>
        <w:t>échange de données sur la propriété intellectuel</w:t>
      </w:r>
      <w:r w:rsidR="007574ED">
        <w:t>le.  L’e</w:t>
      </w:r>
      <w:r>
        <w:t>nquête a été menée du 27 janvier au 23 </w:t>
      </w:r>
      <w:r w:rsidR="002A53A0">
        <w:t>avril 20</w:t>
      </w:r>
      <w:r>
        <w:t>25.  Vingt membres de l</w:t>
      </w:r>
      <w:r w:rsidR="002A53A0">
        <w:t>’</w:t>
      </w:r>
      <w:r>
        <w:t>équipe d</w:t>
      </w:r>
      <w:r w:rsidR="002A53A0">
        <w:t>’</w:t>
      </w:r>
      <w:r>
        <w:t>experts ont participé à l</w:t>
      </w:r>
      <w:r w:rsidR="002A53A0">
        <w:t>’</w:t>
      </w:r>
      <w:r>
        <w:t>enquête, notamment les offices des États membres suivants</w:t>
      </w:r>
      <w:r w:rsidR="002A53A0">
        <w:t> :</w:t>
      </w:r>
      <w:r>
        <w:t xml:space="preserve"> </w:t>
      </w:r>
      <w:r w:rsidR="002A53A0">
        <w:t>Arabie saoudite</w:t>
      </w:r>
      <w:r>
        <w:t xml:space="preserve"> (SA), Australie (AU), Brésil (BR), Canada</w:t>
      </w:r>
      <w:r w:rsidR="00874E97">
        <w:t> </w:t>
      </w:r>
      <w:r>
        <w:t>(CA), Chine (CN), Croatie (HR), États</w:t>
      </w:r>
      <w:r w:rsidR="007574ED">
        <w:noBreakHyphen/>
      </w:r>
      <w:r>
        <w:t>Unis d</w:t>
      </w:r>
      <w:r w:rsidR="002A53A0">
        <w:t>’</w:t>
      </w:r>
      <w:r>
        <w:t>Amérique (US), Fédération de Russie</w:t>
      </w:r>
      <w:r w:rsidR="00874E97">
        <w:t> </w:t>
      </w:r>
      <w:r>
        <w:t>(RU), Ghana (GH), Honduras (HN), Japon (JP), Mexique (MX), Pérou (PE), Pologne</w:t>
      </w:r>
      <w:r w:rsidR="00874E97">
        <w:t> </w:t>
      </w:r>
      <w:r>
        <w:t>(PL), République de Corée (KR), Royaume</w:t>
      </w:r>
      <w:r w:rsidR="007574ED">
        <w:noBreakHyphen/>
      </w:r>
      <w:r>
        <w:t>Uni (GB),</w:t>
      </w:r>
      <w:r>
        <w:rPr>
          <w:color w:val="393939"/>
        </w:rPr>
        <w:t xml:space="preserve"> </w:t>
      </w:r>
      <w:r>
        <w:t xml:space="preserve">Ukraine (UA) et Uruguay (UY); </w:t>
      </w:r>
      <w:r w:rsidR="00E35D25">
        <w:t xml:space="preserve"> </w:t>
      </w:r>
      <w:r>
        <w:t>et les offices régionaux suivants</w:t>
      </w:r>
      <w:r w:rsidR="002A53A0">
        <w:t> :</w:t>
      </w:r>
      <w:r>
        <w:t xml:space="preserve"> Organisation européenne des brevets (EP) et Office de l</w:t>
      </w:r>
      <w:r w:rsidR="002A53A0">
        <w:t>’</w:t>
      </w:r>
      <w:r>
        <w:t>Union européenne pour la propriété intellectuelle (EM).  Parmi les offices ayant répondu, 19 partagent activement des données de propriété intellectuelle avec d</w:t>
      </w:r>
      <w:r w:rsidR="002A53A0">
        <w:t>’</w:t>
      </w:r>
      <w:r>
        <w:t>autres offices de propriété intellectuel</w:t>
      </w:r>
      <w:r w:rsidR="007574ED">
        <w:t>le.  Il</w:t>
      </w:r>
      <w:r>
        <w:t xml:space="preserve"> convient de noter que le bureau du droit d</w:t>
      </w:r>
      <w:r w:rsidR="002A53A0">
        <w:t>’</w:t>
      </w:r>
      <w:r>
        <w:t>auteur en Jordanie a publié un commentaire, mais celui</w:t>
      </w:r>
      <w:r w:rsidR="007574ED">
        <w:noBreakHyphen/>
      </w:r>
      <w:r>
        <w:t>ci n</w:t>
      </w:r>
      <w:r w:rsidR="002A53A0">
        <w:t>’</w:t>
      </w:r>
      <w:r>
        <w:t>a pas été pris en compte dans la présente analyse car il ne répondait pas au questionnaire de l</w:t>
      </w:r>
      <w:r w:rsidR="002A53A0">
        <w:t>’</w:t>
      </w:r>
      <w:r>
        <w:t>enquête.</w:t>
      </w:r>
    </w:p>
    <w:p w14:paraId="1B06F5CB" w14:textId="028080B2" w:rsidR="00A645FB" w:rsidRPr="00ED1C5C" w:rsidRDefault="00A645FB" w:rsidP="007574ED">
      <w:pPr>
        <w:pStyle w:val="Heading2"/>
      </w:pPr>
      <w:r>
        <w:t>Lois nationales régissant l</w:t>
      </w:r>
      <w:r w:rsidR="002A53A0">
        <w:t>’</w:t>
      </w:r>
      <w:r>
        <w:t>échange de données sur la propriété intellectuelle</w:t>
      </w:r>
    </w:p>
    <w:p w14:paraId="751028FC" w14:textId="696D1342" w:rsidR="00A645FB" w:rsidRPr="00ED1C5C" w:rsidRDefault="00A645FB" w:rsidP="007574ED">
      <w:pPr>
        <w:pStyle w:val="ONUMFS"/>
        <w:numPr>
          <w:ilvl w:val="0"/>
          <w:numId w:val="0"/>
        </w:numPr>
      </w:pPr>
      <w:r>
        <w:t>Douze des 20 offices de propriété intellectuelle ont déclaré disposer de lois ou de réglementations nationales régissant le partage ou l</w:t>
      </w:r>
      <w:r w:rsidR="002A53A0">
        <w:t>’</w:t>
      </w:r>
      <w:r>
        <w:t>échange de données sur la propriété intellectuelle au</w:t>
      </w:r>
      <w:r w:rsidR="007574ED">
        <w:noBreakHyphen/>
      </w:r>
      <w:r>
        <w:t>delà de leur ressort juridique.</w:t>
      </w:r>
    </w:p>
    <w:p w14:paraId="7588EC4E" w14:textId="235C1D5D" w:rsidR="00A645FB" w:rsidRPr="00ED1C5C" w:rsidRDefault="00A645FB" w:rsidP="007574ED">
      <w:pPr>
        <w:pStyle w:val="Heading2"/>
      </w:pPr>
      <w:r>
        <w:t>Domaines de propriété intellectuelle faisant l</w:t>
      </w:r>
      <w:r w:rsidR="002A53A0">
        <w:t>’</w:t>
      </w:r>
      <w:r>
        <w:t>objet d</w:t>
      </w:r>
      <w:r w:rsidR="002A53A0">
        <w:t>’</w:t>
      </w:r>
      <w:r>
        <w:t>un échange de données</w:t>
      </w:r>
    </w:p>
    <w:p w14:paraId="20DE644C" w14:textId="262D31AD" w:rsidR="00A645FB" w:rsidRPr="00ED1C5C" w:rsidRDefault="00A645FB" w:rsidP="007574ED">
      <w:pPr>
        <w:pStyle w:val="ONUMFS"/>
        <w:numPr>
          <w:ilvl w:val="0"/>
          <w:numId w:val="28"/>
        </w:numPr>
        <w:ind w:left="1134" w:hanging="567"/>
        <w:rPr>
          <w:rFonts w:cs="Arial"/>
        </w:rPr>
      </w:pPr>
      <w:r>
        <w:t>Brevets (18 offices de propriété intellectuelle)</w:t>
      </w:r>
      <w:r w:rsidR="00874E97">
        <w:t>.</w:t>
      </w:r>
    </w:p>
    <w:p w14:paraId="0EBA8A1C" w14:textId="1FEBA2DB" w:rsidR="00A645FB" w:rsidRPr="00ED1C5C" w:rsidRDefault="00A645FB" w:rsidP="007574ED">
      <w:pPr>
        <w:pStyle w:val="ONUMFS"/>
        <w:numPr>
          <w:ilvl w:val="0"/>
          <w:numId w:val="28"/>
        </w:numPr>
        <w:ind w:left="1134" w:hanging="567"/>
        <w:rPr>
          <w:rFonts w:cs="Arial"/>
        </w:rPr>
      </w:pPr>
      <w:r>
        <w:t>Marques et dessins et modèles industriels (15 chacun)</w:t>
      </w:r>
      <w:r w:rsidR="00874E97">
        <w:t>.</w:t>
      </w:r>
    </w:p>
    <w:p w14:paraId="0DF86EA5" w14:textId="5CC21464" w:rsidR="002A53A0" w:rsidRDefault="00A645FB" w:rsidP="007574ED">
      <w:pPr>
        <w:pStyle w:val="ONUMFS"/>
        <w:numPr>
          <w:ilvl w:val="0"/>
          <w:numId w:val="28"/>
        </w:numPr>
        <w:ind w:left="1134" w:hanging="567"/>
      </w:pPr>
      <w:r>
        <w:t>Indications géographiques (6)</w:t>
      </w:r>
      <w:r w:rsidR="00874E97">
        <w:t>.</w:t>
      </w:r>
    </w:p>
    <w:p w14:paraId="308B1DE2" w14:textId="1B31118E" w:rsidR="00A645FB" w:rsidRPr="00ED1C5C" w:rsidRDefault="00A645FB" w:rsidP="007574ED">
      <w:pPr>
        <w:pStyle w:val="ONUMFS"/>
        <w:numPr>
          <w:ilvl w:val="0"/>
          <w:numId w:val="28"/>
        </w:numPr>
        <w:ind w:left="1134" w:hanging="567"/>
        <w:rPr>
          <w:rFonts w:cs="Arial"/>
        </w:rPr>
      </w:pPr>
      <w:r>
        <w:t>Autres, tels que le droit d</w:t>
      </w:r>
      <w:r w:rsidR="002A53A0">
        <w:t>’</w:t>
      </w:r>
      <w:r>
        <w:t>auteur, les droits d</w:t>
      </w:r>
      <w:r w:rsidR="002A53A0">
        <w:t>’</w:t>
      </w:r>
      <w:r>
        <w:t>obtenteur, les topographies de circuits intégrés et les programmes d</w:t>
      </w:r>
      <w:r w:rsidR="002A53A0">
        <w:t>’</w:t>
      </w:r>
      <w:r>
        <w:t>ordinateur (1 chacun).</w:t>
      </w:r>
    </w:p>
    <w:p w14:paraId="640636F9" w14:textId="0816417A" w:rsidR="00A645FB" w:rsidRPr="00ED1C5C" w:rsidRDefault="00A645FB" w:rsidP="007574ED">
      <w:pPr>
        <w:pStyle w:val="Heading2"/>
      </w:pPr>
      <w:r>
        <w:t>Types de données de propriété intellectuelle échangées</w:t>
      </w:r>
    </w:p>
    <w:p w14:paraId="5D77E06C" w14:textId="7E0B8468" w:rsidR="00A645FB" w:rsidRPr="00ED1C5C" w:rsidRDefault="00A645FB" w:rsidP="007574ED">
      <w:pPr>
        <w:pStyle w:val="ONUMFS"/>
        <w:numPr>
          <w:ilvl w:val="0"/>
          <w:numId w:val="29"/>
        </w:numPr>
        <w:ind w:left="1134" w:hanging="567"/>
        <w:rPr>
          <w:rFonts w:cs="Arial"/>
        </w:rPr>
      </w:pPr>
      <w:r>
        <w:t>Données bibliographiques ou abrégés (17 offices de propriété intellectuelle)</w:t>
      </w:r>
      <w:r w:rsidR="00874E97">
        <w:t>.</w:t>
      </w:r>
    </w:p>
    <w:p w14:paraId="5AE973A3" w14:textId="290818B5" w:rsidR="00A645FB" w:rsidRPr="00ED1C5C" w:rsidRDefault="00A645FB" w:rsidP="007574ED">
      <w:pPr>
        <w:pStyle w:val="ONUMFS"/>
        <w:numPr>
          <w:ilvl w:val="0"/>
          <w:numId w:val="29"/>
        </w:numPr>
        <w:ind w:left="1134" w:hanging="567"/>
        <w:rPr>
          <w:rFonts w:cs="Arial"/>
        </w:rPr>
      </w:pPr>
      <w:r>
        <w:t>Texte intégral des revendications ou des descriptions (14)</w:t>
      </w:r>
      <w:r w:rsidR="00874E97">
        <w:t>.</w:t>
      </w:r>
    </w:p>
    <w:p w14:paraId="49061D57" w14:textId="41241309" w:rsidR="00A645FB" w:rsidRPr="00ED1C5C" w:rsidRDefault="00A645FB" w:rsidP="007574ED">
      <w:pPr>
        <w:pStyle w:val="ONUMFS"/>
        <w:numPr>
          <w:ilvl w:val="0"/>
          <w:numId w:val="29"/>
        </w:numPr>
        <w:ind w:left="1134" w:hanging="567"/>
        <w:rPr>
          <w:rFonts w:cs="Arial"/>
        </w:rPr>
      </w:pPr>
      <w:r>
        <w:t>Situation juridique (12), décisions administratives (9), bulletins de propriété intellectuelle (13).</w:t>
      </w:r>
    </w:p>
    <w:p w14:paraId="0AA06661" w14:textId="450190DF" w:rsidR="00A645FB" w:rsidRPr="00ED1C5C" w:rsidRDefault="00A645FB" w:rsidP="007574ED">
      <w:pPr>
        <w:pStyle w:val="Heading2"/>
      </w:pPr>
      <w:r>
        <w:lastRenderedPageBreak/>
        <w:t>Format de fichier utilisé pour l</w:t>
      </w:r>
      <w:r w:rsidR="002A53A0">
        <w:t>’</w:t>
      </w:r>
      <w:r>
        <w:t>échange de données de propriété intellectuelle</w:t>
      </w:r>
    </w:p>
    <w:p w14:paraId="46844D90" w14:textId="292A9175" w:rsidR="00A645FB" w:rsidRPr="00ED1C5C" w:rsidRDefault="00A645FB" w:rsidP="007574ED">
      <w:pPr>
        <w:pStyle w:val="ONUMFS"/>
        <w:numPr>
          <w:ilvl w:val="0"/>
          <w:numId w:val="30"/>
        </w:numPr>
        <w:ind w:left="1134" w:hanging="567"/>
        <w:rPr>
          <w:rFonts w:cs="Arial"/>
        </w:rPr>
      </w:pPr>
      <w:r>
        <w:t>XML (18 offices de propriété intellectuelle), PDF (14), IMG (9), TXT (5), DOCX (4)</w:t>
      </w:r>
      <w:r w:rsidR="00874E97">
        <w:t>.</w:t>
      </w:r>
    </w:p>
    <w:p w14:paraId="7ACA4801" w14:textId="08B491B2" w:rsidR="00A77FB7" w:rsidRPr="00A77FB7" w:rsidRDefault="00A645FB" w:rsidP="007574ED">
      <w:pPr>
        <w:pStyle w:val="ONUMFS"/>
        <w:numPr>
          <w:ilvl w:val="0"/>
          <w:numId w:val="30"/>
        </w:numPr>
        <w:ind w:left="1134" w:hanging="567"/>
        <w:rPr>
          <w:bCs/>
          <w:iCs/>
          <w:caps/>
          <w:szCs w:val="28"/>
        </w:rPr>
      </w:pPr>
      <w:r>
        <w:t>Autres</w:t>
      </w:r>
      <w:r w:rsidR="002A53A0">
        <w:t> :</w:t>
      </w:r>
      <w:r>
        <w:t xml:space="preserve"> TIFF (3), MP4, MP3, OBJ, XLT, X3D (1 chacun), CSV (1), JSON (3).</w:t>
      </w:r>
    </w:p>
    <w:p w14:paraId="374A90E1" w14:textId="74CF543E" w:rsidR="00A645FB" w:rsidRPr="00ED1C5C" w:rsidRDefault="00600743" w:rsidP="007574ED">
      <w:pPr>
        <w:pStyle w:val="Heading2"/>
        <w:spacing w:after="240"/>
      </w:pPr>
      <w:r>
        <w:t>Normes de l</w:t>
      </w:r>
      <w:r w:rsidR="002A53A0">
        <w:t>’</w:t>
      </w:r>
      <w:r>
        <w:t>OMPI utilisées pour l</w:t>
      </w:r>
      <w:r w:rsidR="002A53A0">
        <w:t>’</w:t>
      </w:r>
      <w:r>
        <w:t>échange de données de propriété intellectuelle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71"/>
        <w:gridCol w:w="6525"/>
        <w:gridCol w:w="1549"/>
      </w:tblGrid>
      <w:tr w:rsidR="00AD069A" w:rsidRPr="00ED1C5C" w14:paraId="44AC727F" w14:textId="77777777" w:rsidTr="00757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1F497D" w:themeFill="text2"/>
            <w:vAlign w:val="center"/>
            <w:hideMark/>
          </w:tcPr>
          <w:p w14:paraId="42A4E71F" w14:textId="68B0F2A9" w:rsidR="00A645FB" w:rsidRPr="00ED1C5C" w:rsidRDefault="00685341" w:rsidP="007574ED">
            <w:pPr>
              <w:spacing w:before="40" w:after="40"/>
              <w:rPr>
                <w:rFonts w:cs="Arial"/>
              </w:rPr>
            </w:pPr>
            <w:r>
              <w:t>Norme de</w:t>
            </w:r>
            <w:r w:rsidR="007574ED">
              <w:t> </w:t>
            </w:r>
            <w:r>
              <w:t>l</w:t>
            </w:r>
            <w:r w:rsidR="002A53A0">
              <w:t>’</w:t>
            </w:r>
            <w:r>
              <w:t>OMPI</w:t>
            </w:r>
          </w:p>
        </w:tc>
        <w:tc>
          <w:tcPr>
            <w:tcW w:w="6525" w:type="dxa"/>
            <w:shd w:val="clear" w:color="auto" w:fill="1F497D" w:themeFill="text2"/>
            <w:vAlign w:val="center"/>
          </w:tcPr>
          <w:p w14:paraId="4B4372DE" w14:textId="08370F32" w:rsidR="00A645FB" w:rsidRPr="00ED1C5C" w:rsidRDefault="00DC39B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Titre</w:t>
            </w:r>
          </w:p>
        </w:tc>
        <w:tc>
          <w:tcPr>
            <w:tcW w:w="1549" w:type="dxa"/>
            <w:shd w:val="clear" w:color="auto" w:fill="1F497D" w:themeFill="text2"/>
            <w:vAlign w:val="center"/>
            <w:hideMark/>
          </w:tcPr>
          <w:p w14:paraId="759A89FC" w14:textId="434C79FE" w:rsidR="00A645FB" w:rsidRPr="00ED1C5C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</w:tr>
      <w:tr w:rsidR="00A36BAF" w:rsidRPr="00ED1C5C" w14:paraId="73BC48A9" w14:textId="77777777" w:rsidTr="00757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3CC92D6" w14:textId="77777777" w:rsidR="00A645FB" w:rsidRPr="00DC39BB" w:rsidRDefault="00A645FB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ST.26</w:t>
            </w:r>
          </w:p>
        </w:tc>
        <w:tc>
          <w:tcPr>
            <w:tcW w:w="6525" w:type="dxa"/>
            <w:vAlign w:val="center"/>
            <w:hideMark/>
          </w:tcPr>
          <w:p w14:paraId="4A29DF1A" w14:textId="1CEEA141" w:rsidR="00A645FB" w:rsidRPr="00ED1C5C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Présentation des listages des séquences de nucléotides et d</w:t>
            </w:r>
            <w:r w:rsidR="002A53A0">
              <w:t>’</w:t>
            </w:r>
            <w:r>
              <w:t>acides aminés en langage XML</w:t>
            </w:r>
          </w:p>
        </w:tc>
        <w:tc>
          <w:tcPr>
            <w:tcW w:w="1549" w:type="dxa"/>
            <w:vAlign w:val="center"/>
            <w:hideMark/>
          </w:tcPr>
          <w:p w14:paraId="4360CD99" w14:textId="77777777" w:rsidR="00A645FB" w:rsidRPr="00ED1C5C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11</w:t>
            </w:r>
          </w:p>
        </w:tc>
      </w:tr>
      <w:tr w:rsidR="00801DAE" w:rsidRPr="00ED1C5C" w14:paraId="74C7CC89" w14:textId="77777777" w:rsidTr="007574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7F4BE00B" w14:textId="77777777" w:rsidR="00FA0533" w:rsidRPr="00DC39BB" w:rsidRDefault="00FA0533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ST.27</w:t>
            </w:r>
          </w:p>
        </w:tc>
        <w:tc>
          <w:tcPr>
            <w:tcW w:w="6525" w:type="dxa"/>
            <w:vAlign w:val="center"/>
            <w:hideMark/>
          </w:tcPr>
          <w:p w14:paraId="1CDF09CC" w14:textId="77777777" w:rsidR="00FA0533" w:rsidRPr="00ED1C5C" w:rsidRDefault="00FA0533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Échange de données sur la situation juridique des brevets</w:t>
            </w:r>
          </w:p>
        </w:tc>
        <w:tc>
          <w:tcPr>
            <w:tcW w:w="1549" w:type="dxa"/>
            <w:vAlign w:val="center"/>
            <w:hideMark/>
          </w:tcPr>
          <w:p w14:paraId="33879E11" w14:textId="77777777" w:rsidR="00FA0533" w:rsidRPr="00ED1C5C" w:rsidRDefault="00FA0533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5</w:t>
            </w:r>
          </w:p>
        </w:tc>
      </w:tr>
      <w:tr w:rsidR="00801DAE" w:rsidRPr="00ED1C5C" w14:paraId="7F41261B" w14:textId="77777777" w:rsidTr="00757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34BA8B3" w14:textId="77777777" w:rsidR="00A645FB" w:rsidRPr="00DC39BB" w:rsidRDefault="00A645FB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ST.32</w:t>
            </w:r>
          </w:p>
        </w:tc>
        <w:tc>
          <w:tcPr>
            <w:tcW w:w="6525" w:type="dxa"/>
            <w:vAlign w:val="center"/>
          </w:tcPr>
          <w:p w14:paraId="5893A3C8" w14:textId="3BD0CF7C" w:rsidR="00A645FB" w:rsidRPr="00ED1C5C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Utilisation</w:t>
            </w:r>
            <w:r w:rsidR="002A53A0">
              <w:t xml:space="preserve"> du SGM</w:t>
            </w:r>
            <w:r>
              <w:t xml:space="preserve">L dans le balisage des documents de brevets </w:t>
            </w:r>
          </w:p>
        </w:tc>
        <w:tc>
          <w:tcPr>
            <w:tcW w:w="1549" w:type="dxa"/>
            <w:vAlign w:val="center"/>
          </w:tcPr>
          <w:p w14:paraId="32FF17CF" w14:textId="77777777" w:rsidR="00A645FB" w:rsidRPr="00ED1C5C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1</w:t>
            </w:r>
          </w:p>
        </w:tc>
      </w:tr>
      <w:tr w:rsidR="00FA0533" w:rsidRPr="00ED1C5C" w14:paraId="42795C1F" w14:textId="77777777" w:rsidTr="007574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DA8A77F" w14:textId="77777777" w:rsidR="00FA0533" w:rsidRPr="00DC39BB" w:rsidRDefault="00FA0533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ST.36</w:t>
            </w:r>
          </w:p>
        </w:tc>
        <w:tc>
          <w:tcPr>
            <w:tcW w:w="6525" w:type="dxa"/>
            <w:vAlign w:val="center"/>
            <w:hideMark/>
          </w:tcPr>
          <w:p w14:paraId="1A2E5C5A" w14:textId="08F94714" w:rsidR="00FA0533" w:rsidRPr="00ED1C5C" w:rsidRDefault="00FA0533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Utilisation</w:t>
            </w:r>
            <w:r w:rsidR="002A53A0">
              <w:t xml:space="preserve"> du XML</w:t>
            </w:r>
            <w:r>
              <w:t xml:space="preserve"> dans le traitement de l</w:t>
            </w:r>
            <w:r w:rsidR="002A53A0">
              <w:t>’</w:t>
            </w:r>
            <w:r>
              <w:t>information en matière de brevets</w:t>
            </w:r>
          </w:p>
        </w:tc>
        <w:tc>
          <w:tcPr>
            <w:tcW w:w="1549" w:type="dxa"/>
            <w:vAlign w:val="center"/>
            <w:hideMark/>
          </w:tcPr>
          <w:p w14:paraId="7F99986C" w14:textId="77777777" w:rsidR="00FA0533" w:rsidRPr="00ED1C5C" w:rsidRDefault="00FA0533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12</w:t>
            </w:r>
          </w:p>
        </w:tc>
      </w:tr>
      <w:tr w:rsidR="00801DAE" w:rsidRPr="00ED1C5C" w14:paraId="57A04F5C" w14:textId="77777777" w:rsidTr="00757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15FC5B6" w14:textId="77777777" w:rsidR="00A645FB" w:rsidRPr="00DC39BB" w:rsidRDefault="00A645FB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ST.37</w:t>
            </w:r>
          </w:p>
        </w:tc>
        <w:tc>
          <w:tcPr>
            <w:tcW w:w="6525" w:type="dxa"/>
            <w:vAlign w:val="center"/>
            <w:hideMark/>
          </w:tcPr>
          <w:p w14:paraId="28BDD7DD" w14:textId="27FF4C5B" w:rsidR="00A645FB" w:rsidRPr="00ED1C5C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Fichier d</w:t>
            </w:r>
            <w:r w:rsidR="002A53A0">
              <w:t>’</w:t>
            </w:r>
            <w:r>
              <w:t>autorité des documents de brevet publiés</w:t>
            </w:r>
          </w:p>
        </w:tc>
        <w:tc>
          <w:tcPr>
            <w:tcW w:w="1549" w:type="dxa"/>
            <w:vAlign w:val="center"/>
            <w:hideMark/>
          </w:tcPr>
          <w:p w14:paraId="160EFA2D" w14:textId="77777777" w:rsidR="00A645FB" w:rsidRPr="00ED1C5C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1</w:t>
            </w:r>
          </w:p>
        </w:tc>
      </w:tr>
      <w:tr w:rsidR="00FA0533" w:rsidRPr="00ED1C5C" w14:paraId="0C5A160B" w14:textId="77777777" w:rsidTr="007574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DE392AC" w14:textId="77777777" w:rsidR="00BE5E15" w:rsidRPr="00DC39BB" w:rsidRDefault="00BE5E15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ST.61</w:t>
            </w:r>
          </w:p>
        </w:tc>
        <w:tc>
          <w:tcPr>
            <w:tcW w:w="6525" w:type="dxa"/>
            <w:vAlign w:val="center"/>
            <w:hideMark/>
          </w:tcPr>
          <w:p w14:paraId="3E7EA587" w14:textId="768EBAB3" w:rsidR="00BE5E15" w:rsidRPr="00ED1C5C" w:rsidRDefault="00BE5E15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Recommandation concernant l</w:t>
            </w:r>
            <w:r w:rsidR="002A53A0">
              <w:t>’</w:t>
            </w:r>
            <w:r>
              <w:t>échange de données sur la situation juridique des marques</w:t>
            </w:r>
          </w:p>
        </w:tc>
        <w:tc>
          <w:tcPr>
            <w:tcW w:w="1549" w:type="dxa"/>
            <w:vAlign w:val="center"/>
            <w:hideMark/>
          </w:tcPr>
          <w:p w14:paraId="1BA10C1B" w14:textId="77777777" w:rsidR="00BE5E15" w:rsidRPr="00ED1C5C" w:rsidRDefault="00BE5E15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1</w:t>
            </w:r>
          </w:p>
        </w:tc>
      </w:tr>
      <w:tr w:rsidR="00FA0533" w:rsidRPr="00ED1C5C" w14:paraId="02B5E9DF" w14:textId="77777777" w:rsidTr="00757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555E400" w14:textId="77777777" w:rsidR="00FA0533" w:rsidRPr="00DC39BB" w:rsidRDefault="00FA0533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ST.66</w:t>
            </w:r>
          </w:p>
        </w:tc>
        <w:tc>
          <w:tcPr>
            <w:tcW w:w="6525" w:type="dxa"/>
            <w:vAlign w:val="center"/>
            <w:hideMark/>
          </w:tcPr>
          <w:p w14:paraId="1B188B73" w14:textId="1644A59D" w:rsidR="00FA0533" w:rsidRPr="00ED1C5C" w:rsidRDefault="00FA0533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Utilisation</w:t>
            </w:r>
            <w:r w:rsidR="002A53A0">
              <w:t xml:space="preserve"> du XML</w:t>
            </w:r>
            <w:r>
              <w:t xml:space="preserve"> dans le traitement de l</w:t>
            </w:r>
            <w:r w:rsidR="002A53A0">
              <w:t>’</w:t>
            </w:r>
            <w:r>
              <w:t>information en matière de marques</w:t>
            </w:r>
          </w:p>
        </w:tc>
        <w:tc>
          <w:tcPr>
            <w:tcW w:w="1549" w:type="dxa"/>
            <w:vAlign w:val="center"/>
            <w:hideMark/>
          </w:tcPr>
          <w:p w14:paraId="17AA7E24" w14:textId="77777777" w:rsidR="00FA0533" w:rsidRPr="00ED1C5C" w:rsidRDefault="00FA0533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2</w:t>
            </w:r>
          </w:p>
        </w:tc>
      </w:tr>
      <w:tr w:rsidR="000914E3" w:rsidRPr="00ED1C5C" w14:paraId="00A7B753" w14:textId="77777777" w:rsidTr="007574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5A678685" w14:textId="77777777" w:rsidR="000914E3" w:rsidRPr="00DC39BB" w:rsidRDefault="000914E3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ST.86</w:t>
            </w:r>
          </w:p>
        </w:tc>
        <w:tc>
          <w:tcPr>
            <w:tcW w:w="6525" w:type="dxa"/>
            <w:vAlign w:val="center"/>
            <w:hideMark/>
          </w:tcPr>
          <w:p w14:paraId="50A085E4" w14:textId="1E1EB637" w:rsidR="000914E3" w:rsidRPr="00ED1C5C" w:rsidRDefault="000914E3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Utilisation</w:t>
            </w:r>
            <w:r w:rsidR="002A53A0">
              <w:t xml:space="preserve"> du XML</w:t>
            </w:r>
            <w:r>
              <w:t xml:space="preserve"> dans le traitement de l</w:t>
            </w:r>
            <w:r w:rsidR="002A53A0">
              <w:t>’</w:t>
            </w:r>
            <w:r>
              <w:t>information en matière de dessins et modèles industriels</w:t>
            </w:r>
          </w:p>
        </w:tc>
        <w:tc>
          <w:tcPr>
            <w:tcW w:w="1549" w:type="dxa"/>
            <w:vAlign w:val="center"/>
            <w:hideMark/>
          </w:tcPr>
          <w:p w14:paraId="393D530C" w14:textId="77777777" w:rsidR="000914E3" w:rsidRPr="00ED1C5C" w:rsidRDefault="000914E3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4</w:t>
            </w:r>
          </w:p>
        </w:tc>
      </w:tr>
      <w:tr w:rsidR="000914E3" w:rsidRPr="00ED1C5C" w14:paraId="35A5A19B" w14:textId="77777777" w:rsidTr="00757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23B84CFA" w14:textId="77777777" w:rsidR="00BE5E15" w:rsidRPr="00DC39BB" w:rsidRDefault="00BE5E15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ST.87</w:t>
            </w:r>
          </w:p>
        </w:tc>
        <w:tc>
          <w:tcPr>
            <w:tcW w:w="6525" w:type="dxa"/>
            <w:vAlign w:val="center"/>
            <w:hideMark/>
          </w:tcPr>
          <w:p w14:paraId="706DC59E" w14:textId="77777777" w:rsidR="00BE5E15" w:rsidRPr="00ED1C5C" w:rsidRDefault="00BE5E15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Échange de données sur la situation juridique des dessins et modèles industriels</w:t>
            </w:r>
          </w:p>
        </w:tc>
        <w:tc>
          <w:tcPr>
            <w:tcW w:w="1549" w:type="dxa"/>
            <w:vAlign w:val="center"/>
            <w:hideMark/>
          </w:tcPr>
          <w:p w14:paraId="3E434472" w14:textId="77777777" w:rsidR="00BE5E15" w:rsidRPr="00ED1C5C" w:rsidRDefault="00BE5E15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1</w:t>
            </w:r>
          </w:p>
        </w:tc>
      </w:tr>
      <w:tr w:rsidR="00A36BAF" w:rsidRPr="00ED1C5C" w14:paraId="396AADB1" w14:textId="77777777" w:rsidTr="007574E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7978E7CA" w14:textId="77777777" w:rsidR="009542B8" w:rsidRPr="00DC39BB" w:rsidRDefault="009542B8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ST.90</w:t>
            </w:r>
          </w:p>
        </w:tc>
        <w:tc>
          <w:tcPr>
            <w:tcW w:w="6525" w:type="dxa"/>
            <w:vAlign w:val="center"/>
          </w:tcPr>
          <w:p w14:paraId="2E61171C" w14:textId="6BC117BC" w:rsidR="009542B8" w:rsidRPr="00ED1C5C" w:rsidRDefault="009542B8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Recommandations relatives au traitement et à la communication des données de propriété intellectuelle</w:t>
            </w:r>
            <w:r w:rsidR="002A53A0">
              <w:t xml:space="preserve"> aux API</w:t>
            </w:r>
            <w:r>
              <w:t xml:space="preserve"> Web (interfaces de programmation d</w:t>
            </w:r>
            <w:r w:rsidR="002A53A0">
              <w:t>’</w:t>
            </w:r>
            <w:r>
              <w:t>application)</w:t>
            </w:r>
          </w:p>
        </w:tc>
        <w:tc>
          <w:tcPr>
            <w:tcW w:w="1549" w:type="dxa"/>
            <w:vAlign w:val="center"/>
          </w:tcPr>
          <w:p w14:paraId="5DC06835" w14:textId="77777777" w:rsidR="009542B8" w:rsidRPr="00ED1C5C" w:rsidRDefault="009542B8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2</w:t>
            </w:r>
          </w:p>
        </w:tc>
      </w:tr>
      <w:tr w:rsidR="000914E3" w:rsidRPr="00ED1C5C" w14:paraId="681F4A72" w14:textId="77777777" w:rsidTr="00757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E896572" w14:textId="77777777" w:rsidR="009542B8" w:rsidRPr="00DC39BB" w:rsidRDefault="009542B8" w:rsidP="007574ED">
            <w:pPr>
              <w:spacing w:before="40" w:after="40"/>
              <w:rPr>
                <w:rFonts w:cs="Arial"/>
                <w:b w:val="0"/>
              </w:rPr>
            </w:pPr>
            <w:r>
              <w:rPr>
                <w:b w:val="0"/>
              </w:rPr>
              <w:t>ST.96</w:t>
            </w:r>
          </w:p>
        </w:tc>
        <w:tc>
          <w:tcPr>
            <w:tcW w:w="6525" w:type="dxa"/>
            <w:vAlign w:val="center"/>
            <w:hideMark/>
          </w:tcPr>
          <w:p w14:paraId="48057099" w14:textId="16BEF2A6" w:rsidR="009542B8" w:rsidRPr="00ED1C5C" w:rsidRDefault="009542B8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Utilisation</w:t>
            </w:r>
            <w:r w:rsidR="002A53A0">
              <w:t xml:space="preserve"> du XML</w:t>
            </w:r>
            <w:r>
              <w:t xml:space="preserve"> dans le traitement de l</w:t>
            </w:r>
            <w:r w:rsidR="002A53A0">
              <w:t>’</w:t>
            </w:r>
            <w:r>
              <w:t>information en matière de propriété intellectuelle</w:t>
            </w:r>
          </w:p>
        </w:tc>
        <w:tc>
          <w:tcPr>
            <w:tcW w:w="1549" w:type="dxa"/>
            <w:vAlign w:val="center"/>
            <w:hideMark/>
          </w:tcPr>
          <w:p w14:paraId="13BD818A" w14:textId="77777777" w:rsidR="009542B8" w:rsidRPr="00ED1C5C" w:rsidRDefault="009542B8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t>11</w:t>
            </w:r>
          </w:p>
        </w:tc>
      </w:tr>
    </w:tbl>
    <w:p w14:paraId="048547B5" w14:textId="0CF94B18" w:rsidR="00A645FB" w:rsidRPr="00ED1C5C" w:rsidRDefault="00A645FB" w:rsidP="007574ED">
      <w:pPr>
        <w:pStyle w:val="Heading2"/>
      </w:pPr>
      <w:r>
        <w:t>Échange de données de propriété intellectuelle avec d</w:t>
      </w:r>
      <w:r w:rsidR="002A53A0">
        <w:t>’</w:t>
      </w:r>
      <w:r>
        <w:t>autres offices de propriété intellectuelle</w:t>
      </w:r>
    </w:p>
    <w:p w14:paraId="081CA5F3" w14:textId="691400AD" w:rsidR="00A645FB" w:rsidRPr="00ED1C5C" w:rsidRDefault="00A645FB" w:rsidP="007574ED">
      <w:pPr>
        <w:pStyle w:val="Heading3"/>
        <w:spacing w:after="220"/>
      </w:pPr>
      <w:r>
        <w:t>Difficultés techniques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537"/>
        <w:gridCol w:w="1549"/>
        <w:gridCol w:w="4259"/>
      </w:tblGrid>
      <w:tr w:rsidR="00A645FB" w:rsidRPr="00ED1C5C" w14:paraId="5AF1E0DF" w14:textId="77777777" w:rsidTr="0015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E1721C9" w14:textId="675A1A3B" w:rsidR="00A645FB" w:rsidRPr="006A58B9" w:rsidRDefault="007B7B2C" w:rsidP="007574ED">
            <w:pPr>
              <w:keepNext/>
              <w:spacing w:before="40" w:after="40"/>
            </w:pPr>
            <w:r>
              <w:t>Difficulté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6877F2EF" w14:textId="0E14DB50" w:rsidR="00A645FB" w:rsidRPr="006A58B9" w:rsidRDefault="00A645FB" w:rsidP="007574ED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  <w:tc>
          <w:tcPr>
            <w:tcW w:w="4490" w:type="dxa"/>
            <w:shd w:val="clear" w:color="auto" w:fill="1F497D" w:themeFill="text2"/>
            <w:vAlign w:val="center"/>
            <w:hideMark/>
          </w:tcPr>
          <w:p w14:paraId="5CAFAFA3" w14:textId="65583007" w:rsidR="00A645FB" w:rsidRPr="006A58B9" w:rsidRDefault="00A645FB" w:rsidP="007574ED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226F84C8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0C4CB0FE" w14:textId="77777777" w:rsidR="00A645FB" w:rsidRPr="00453E77" w:rsidRDefault="00A645FB" w:rsidP="007574ED">
            <w:pPr>
              <w:keepNext/>
              <w:spacing w:before="40" w:after="40"/>
              <w:rPr>
                <w:b w:val="0"/>
              </w:rPr>
            </w:pPr>
            <w:r>
              <w:rPr>
                <w:b w:val="0"/>
              </w:rPr>
              <w:t>Manque de ressources informatiques (bases de données, outils, stockage, etc.)</w:t>
            </w:r>
          </w:p>
        </w:tc>
        <w:tc>
          <w:tcPr>
            <w:tcW w:w="1080" w:type="dxa"/>
            <w:vAlign w:val="center"/>
            <w:hideMark/>
          </w:tcPr>
          <w:p w14:paraId="752EBBEA" w14:textId="77777777" w:rsidR="00A645FB" w:rsidRPr="00453E77" w:rsidRDefault="00A645FB" w:rsidP="007574E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490" w:type="dxa"/>
            <w:vAlign w:val="center"/>
            <w:hideMark/>
          </w:tcPr>
          <w:p w14:paraId="1CEBF054" w14:textId="74F25231" w:rsidR="00A645FB" w:rsidRPr="00453E77" w:rsidRDefault="00A31302" w:rsidP="007574ED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 obstacle fondamental majeur, qui témoigne d</w:t>
            </w:r>
            <w:r w:rsidR="002A53A0">
              <w:t>’</w:t>
            </w:r>
            <w:r>
              <w:t>un investissement insuffisant dans les systèmes et les capacités numériques.</w:t>
            </w:r>
          </w:p>
        </w:tc>
      </w:tr>
      <w:tr w:rsidR="00A645FB" w:rsidRPr="00ED1C5C" w14:paraId="60A53E33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B45C453" w14:textId="77777777" w:rsidR="00A645FB" w:rsidRPr="00453E77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Formats de données non standard</w:t>
            </w:r>
          </w:p>
        </w:tc>
        <w:tc>
          <w:tcPr>
            <w:tcW w:w="1080" w:type="dxa"/>
            <w:vAlign w:val="center"/>
            <w:hideMark/>
          </w:tcPr>
          <w:p w14:paraId="2E896B8F" w14:textId="77777777" w:rsidR="00A645FB" w:rsidRPr="00453E77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490" w:type="dxa"/>
            <w:vAlign w:val="center"/>
            <w:hideMark/>
          </w:tcPr>
          <w:p w14:paraId="68F02AC2" w14:textId="2EDB9EAA" w:rsidR="00A645FB" w:rsidRPr="00453E77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en évidence l</w:t>
            </w:r>
            <w:r w:rsidR="002A53A0">
              <w:t>’</w:t>
            </w:r>
            <w:r>
              <w:t>absence d</w:t>
            </w:r>
            <w:r w:rsidR="002A53A0">
              <w:t>’</w:t>
            </w:r>
            <w:r>
              <w:t>harmonisation des structures de données ou l</w:t>
            </w:r>
            <w:r w:rsidR="002A53A0">
              <w:t>’</w:t>
            </w:r>
            <w:r>
              <w:t>adoption limitée des normes de l</w:t>
            </w:r>
            <w:r w:rsidR="002A53A0">
              <w:t>’</w:t>
            </w:r>
            <w:r>
              <w:t>OMPI.</w:t>
            </w:r>
          </w:p>
        </w:tc>
      </w:tr>
      <w:tr w:rsidR="00A645FB" w:rsidRPr="00ED1C5C" w14:paraId="04A4100F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3E500FAE" w14:textId="77777777" w:rsidR="00A645FB" w:rsidRPr="00453E77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Données de propriété intellectuelle non numérisées</w:t>
            </w:r>
          </w:p>
        </w:tc>
        <w:tc>
          <w:tcPr>
            <w:tcW w:w="1080" w:type="dxa"/>
            <w:vAlign w:val="center"/>
            <w:hideMark/>
          </w:tcPr>
          <w:p w14:paraId="2076684B" w14:textId="77777777" w:rsidR="00A645FB" w:rsidRPr="00453E77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490" w:type="dxa"/>
            <w:vAlign w:val="center"/>
            <w:hideMark/>
          </w:tcPr>
          <w:p w14:paraId="798BD62A" w14:textId="78E42F56" w:rsidR="00A645FB" w:rsidRPr="00453E77" w:rsidRDefault="00586C98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Bien que le problème soit en grande partie résolu, un certain nombre d</w:t>
            </w:r>
            <w:r w:rsidR="002A53A0">
              <w:t>’</w:t>
            </w:r>
            <w:r>
              <w:t>offices rencontrent encore des difficultés pour parvenir à une numérisation complète.</w:t>
            </w:r>
          </w:p>
        </w:tc>
      </w:tr>
      <w:tr w:rsidR="00A645FB" w:rsidRPr="00ED1C5C" w14:paraId="2E64DAB6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2508BA3C" w14:textId="77777777" w:rsidR="00A645FB" w:rsidRPr="00453E77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Mauvaise qualité des données (numérisées mais nécessitant des corrections)</w:t>
            </w:r>
          </w:p>
        </w:tc>
        <w:tc>
          <w:tcPr>
            <w:tcW w:w="1080" w:type="dxa"/>
            <w:vAlign w:val="center"/>
            <w:hideMark/>
          </w:tcPr>
          <w:p w14:paraId="5ADD5EC5" w14:textId="77777777" w:rsidR="00A645FB" w:rsidRPr="00453E77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490" w:type="dxa"/>
            <w:vAlign w:val="center"/>
            <w:hideMark/>
          </w:tcPr>
          <w:p w14:paraId="798996A3" w14:textId="3D894B5E" w:rsidR="00A645FB" w:rsidRPr="00453E77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</w:t>
            </w:r>
            <w:r w:rsidR="002A53A0">
              <w:t>’</w:t>
            </w:r>
            <w:r>
              <w:t>existence de systèmes anciens ou de pratiques incohérentes en matière de saisie des données.</w:t>
            </w:r>
          </w:p>
        </w:tc>
      </w:tr>
      <w:tr w:rsidR="00A645FB" w:rsidRPr="00ED1C5C" w14:paraId="003AB296" w14:textId="77777777" w:rsidTr="0015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E273661" w14:textId="77777777" w:rsidR="00A645FB" w:rsidRPr="00453E77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Projet de correction des données en cours</w:t>
            </w:r>
          </w:p>
        </w:tc>
        <w:tc>
          <w:tcPr>
            <w:tcW w:w="1080" w:type="dxa"/>
            <w:vAlign w:val="center"/>
            <w:hideMark/>
          </w:tcPr>
          <w:p w14:paraId="715E2544" w14:textId="77777777" w:rsidR="00A645FB" w:rsidRPr="00453E77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490" w:type="dxa"/>
            <w:vAlign w:val="center"/>
            <w:hideMark/>
          </w:tcPr>
          <w:p w14:paraId="43C88F9F" w14:textId="65B917FC" w:rsidR="00A645FB" w:rsidRPr="00453E77" w:rsidRDefault="00421EBF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Démontre une prise de conscience des problèmes de qualité des données et la volonté de les améliorer.</w:t>
            </w:r>
          </w:p>
        </w:tc>
      </w:tr>
      <w:tr w:rsidR="00A645FB" w:rsidRPr="00ED1C5C" w14:paraId="70013226" w14:textId="77777777" w:rsidTr="00151D7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6E1E694" w14:textId="05D8B849" w:rsidR="00A645FB" w:rsidRPr="00453E77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Numérisation partielle des données de propriété intellectuelle</w:t>
            </w:r>
          </w:p>
        </w:tc>
        <w:tc>
          <w:tcPr>
            <w:tcW w:w="1080" w:type="dxa"/>
            <w:vAlign w:val="center"/>
            <w:hideMark/>
          </w:tcPr>
          <w:p w14:paraId="03579D8D" w14:textId="77777777" w:rsidR="00A645FB" w:rsidRPr="00453E77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490" w:type="dxa"/>
            <w:vAlign w:val="center"/>
            <w:hideMark/>
          </w:tcPr>
          <w:p w14:paraId="5343EDA8" w14:textId="08DA0FEB" w:rsidR="00A645FB" w:rsidRPr="00453E77" w:rsidRDefault="00421EBF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des lacunes persistantes dans la numérisation complète des dossiers de propriété intellectuelle.</w:t>
            </w:r>
          </w:p>
        </w:tc>
      </w:tr>
    </w:tbl>
    <w:p w14:paraId="58BC236F" w14:textId="509DFC2E" w:rsidR="00A645FB" w:rsidRDefault="00A645FB" w:rsidP="007574ED">
      <w:pPr>
        <w:pStyle w:val="Heading3"/>
        <w:spacing w:after="220"/>
      </w:pPr>
      <w:r>
        <w:t>Difficultés juridiques et en matière de politique générale</w:t>
      </w: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</w:tblPr>
      <w:tblGrid>
        <w:gridCol w:w="3548"/>
        <w:gridCol w:w="1549"/>
        <w:gridCol w:w="4248"/>
      </w:tblGrid>
      <w:tr w:rsidR="00A645FB" w:rsidRPr="00ED1C5C" w14:paraId="290479A7" w14:textId="77777777" w:rsidTr="00874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vAlign w:val="center"/>
            <w:hideMark/>
          </w:tcPr>
          <w:p w14:paraId="44A8443F" w14:textId="30A15708" w:rsidR="00A645FB" w:rsidRPr="006A58B9" w:rsidRDefault="00E31A34" w:rsidP="007574ED">
            <w:pPr>
              <w:spacing w:before="40" w:after="40"/>
            </w:pPr>
            <w:r>
              <w:t>Difficulté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064F0672" w14:textId="17807BFD" w:rsidR="00A645FB" w:rsidRPr="006A58B9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  <w:tc>
          <w:tcPr>
            <w:tcW w:w="4490" w:type="dxa"/>
            <w:shd w:val="clear" w:color="auto" w:fill="1F497D" w:themeFill="text2"/>
            <w:vAlign w:val="center"/>
            <w:hideMark/>
          </w:tcPr>
          <w:p w14:paraId="20B709EC" w14:textId="6BA4EAFB" w:rsidR="00A645FB" w:rsidRPr="006A58B9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0C7C5852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2BBBCA1F" w14:textId="12461649" w:rsidR="00A645FB" w:rsidRPr="00E31A34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Préoccupations juridiques concernant la titularité et la redistribution</w:t>
            </w:r>
            <w:r w:rsidR="002A53A0">
              <w:rPr>
                <w:b w:val="0"/>
              </w:rPr>
              <w:t> :</w:t>
            </w:r>
            <w:r>
              <w:rPr>
                <w:b w:val="0"/>
              </w:rPr>
              <w:t xml:space="preserve"> les données de propriété intellectuelle ne peuvent être partagées que si elles ne sont pas redistribuées ou modifiées sans consentement écrit.</w:t>
            </w:r>
          </w:p>
        </w:tc>
        <w:tc>
          <w:tcPr>
            <w:tcW w:w="1080" w:type="dxa"/>
            <w:vAlign w:val="center"/>
          </w:tcPr>
          <w:p w14:paraId="5E45C18E" w14:textId="7EE78E6E" w:rsidR="00AB3A1A" w:rsidRPr="00E31A34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490" w:type="dxa"/>
            <w:vAlign w:val="center"/>
          </w:tcPr>
          <w:p w14:paraId="351F4A90" w14:textId="35AFCD34" w:rsidR="00A645FB" w:rsidRPr="00E31A34" w:rsidRDefault="00F07FE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 restrictions juridiques limitent le partage à moins que des accords formels ne soient conclus.</w:t>
            </w:r>
          </w:p>
        </w:tc>
      </w:tr>
      <w:tr w:rsidR="00A645FB" w:rsidRPr="00ED1C5C" w14:paraId="68ED22D5" w14:textId="77777777" w:rsidTr="00BA4271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19550BBF" w14:textId="598DE69A" w:rsidR="00A645FB" w:rsidRPr="00E31A34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Préoccupations juridiques concernant l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hébergement en dehors du ressort juridique de l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office de propriété intellectuelle.</w:t>
            </w:r>
          </w:p>
        </w:tc>
        <w:tc>
          <w:tcPr>
            <w:tcW w:w="1080" w:type="dxa"/>
            <w:vAlign w:val="center"/>
            <w:hideMark/>
          </w:tcPr>
          <w:p w14:paraId="6EB05C93" w14:textId="77777777" w:rsidR="00A645FB" w:rsidRPr="00E31A34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490" w:type="dxa"/>
            <w:vAlign w:val="center"/>
            <w:hideMark/>
          </w:tcPr>
          <w:p w14:paraId="7EDC6A76" w14:textId="7B8EE951" w:rsidR="00A645FB" w:rsidRPr="00E31A34" w:rsidRDefault="00F36385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contraintes juridictionnelles (par exemple, la sécurité nationale ou la souveraineté des données) limitent l</w:t>
            </w:r>
            <w:r w:rsidR="002A53A0">
              <w:t>’</w:t>
            </w:r>
            <w:r>
              <w:t>hébergement des données.</w:t>
            </w:r>
          </w:p>
        </w:tc>
      </w:tr>
      <w:tr w:rsidR="00A645FB" w:rsidRPr="00ED1C5C" w14:paraId="2BE41490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  <w:hideMark/>
          </w:tcPr>
          <w:p w14:paraId="6C5E29DB" w14:textId="0745E1C2" w:rsidR="00A645FB" w:rsidRPr="00E31A34" w:rsidRDefault="00A645FB" w:rsidP="00874E97">
            <w:pPr>
              <w:keepLines/>
              <w:spacing w:before="40" w:after="40"/>
              <w:rPr>
                <w:b w:val="0"/>
              </w:rPr>
            </w:pPr>
            <w:r>
              <w:rPr>
                <w:b w:val="0"/>
              </w:rPr>
              <w:t>Les données relatives à la propriété intellectuelle sont considérées comme une source potentielle de revenus pour l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office de propriété intellectuelle, ce qui limite le partage gratuit des données.</w:t>
            </w:r>
          </w:p>
        </w:tc>
        <w:tc>
          <w:tcPr>
            <w:tcW w:w="1080" w:type="dxa"/>
            <w:vAlign w:val="center"/>
            <w:hideMark/>
          </w:tcPr>
          <w:p w14:paraId="7378A6A6" w14:textId="77777777" w:rsidR="00A645FB" w:rsidRPr="00E31A34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490" w:type="dxa"/>
            <w:vAlign w:val="center"/>
            <w:hideMark/>
          </w:tcPr>
          <w:p w14:paraId="769E2450" w14:textId="09CF6A6B" w:rsidR="00A645FB" w:rsidRPr="00E31A34" w:rsidRDefault="00E242B6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 intérêts commerciaux limitent la collaboration ouverte et le libre accès aux données relatives à la propriété intellectuelle.</w:t>
            </w:r>
          </w:p>
        </w:tc>
      </w:tr>
    </w:tbl>
    <w:p w14:paraId="67F5A9C2" w14:textId="3F64FCE2" w:rsidR="00A645FB" w:rsidRPr="00ED1C5C" w:rsidRDefault="00A645FB" w:rsidP="007574ED">
      <w:pPr>
        <w:pStyle w:val="Heading3"/>
        <w:spacing w:after="220"/>
      </w:pPr>
      <w:r>
        <w:t>Contraintes institutionnelles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612"/>
        <w:gridCol w:w="1549"/>
        <w:gridCol w:w="4184"/>
      </w:tblGrid>
      <w:tr w:rsidR="00A645FB" w:rsidRPr="00ED1C5C" w14:paraId="749A3835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567E6253" w14:textId="75323461" w:rsidR="00A645FB" w:rsidRPr="006A58B9" w:rsidRDefault="009C4AA8" w:rsidP="007574ED">
            <w:pPr>
              <w:spacing w:before="40" w:after="40"/>
            </w:pPr>
            <w:r>
              <w:t>Difficulté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498EE4BE" w14:textId="594034AE" w:rsidR="00A645FB" w:rsidRPr="006A58B9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  <w:tc>
          <w:tcPr>
            <w:tcW w:w="4400" w:type="dxa"/>
            <w:shd w:val="clear" w:color="auto" w:fill="1F497D" w:themeFill="text2"/>
            <w:vAlign w:val="center"/>
            <w:hideMark/>
          </w:tcPr>
          <w:p w14:paraId="09EA17A8" w14:textId="137D4D00" w:rsidR="00A645FB" w:rsidRPr="006A58B9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7A58015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B6B4196" w14:textId="08EAE655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L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office ne partage aucune donnée de propriété intellectuelle</w:t>
            </w:r>
          </w:p>
        </w:tc>
        <w:tc>
          <w:tcPr>
            <w:tcW w:w="1080" w:type="dxa"/>
            <w:vAlign w:val="center"/>
            <w:hideMark/>
          </w:tcPr>
          <w:p w14:paraId="3CC00CE8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400" w:type="dxa"/>
            <w:vAlign w:val="center"/>
            <w:hideMark/>
          </w:tcPr>
          <w:p w14:paraId="2EBBEBF6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 ce soit en raison de contraintes politiques ou de capacités limitées.</w:t>
            </w:r>
          </w:p>
        </w:tc>
      </w:tr>
      <w:tr w:rsidR="00A645FB" w:rsidRPr="00ED1C5C" w14:paraId="19A3E264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1D39A4E1" w14:textId="6921325E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Manque de personnel pour améliorer les systèmes </w:t>
            </w:r>
          </w:p>
        </w:tc>
        <w:tc>
          <w:tcPr>
            <w:tcW w:w="1080" w:type="dxa"/>
            <w:vAlign w:val="center"/>
            <w:hideMark/>
          </w:tcPr>
          <w:p w14:paraId="47771FE2" w14:textId="77777777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400" w:type="dxa"/>
            <w:vAlign w:val="center"/>
            <w:hideMark/>
          </w:tcPr>
          <w:p w14:paraId="400EFA44" w14:textId="4173CC60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manque de personnel a un impact sur la modernisation des processus d</w:t>
            </w:r>
            <w:r w:rsidR="002A53A0">
              <w:t>’</w:t>
            </w:r>
            <w:r>
              <w:t>échange de données de propriété intellectuelle.</w:t>
            </w:r>
          </w:p>
        </w:tc>
      </w:tr>
    </w:tbl>
    <w:p w14:paraId="3F30C815" w14:textId="14DB11E3" w:rsidR="00A645FB" w:rsidRPr="00ED1C5C" w:rsidRDefault="00A645FB" w:rsidP="007574ED">
      <w:pPr>
        <w:pStyle w:val="Heading2"/>
      </w:pPr>
      <w:r>
        <w:t>Difficultés rencontrées dans la collecte de données de propriété intellectuelle auprès d</w:t>
      </w:r>
      <w:r w:rsidR="002A53A0">
        <w:t>’</w:t>
      </w:r>
      <w:r>
        <w:t>autres offices de propriété intellectuelle</w:t>
      </w:r>
    </w:p>
    <w:p w14:paraId="4D78987B" w14:textId="77777777" w:rsidR="00A645FB" w:rsidRDefault="00A645FB" w:rsidP="007574ED">
      <w:pPr>
        <w:pStyle w:val="Heading3"/>
        <w:spacing w:after="220"/>
      </w:pPr>
      <w:r>
        <w:t>Difficultés techniques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14"/>
        <w:gridCol w:w="1549"/>
        <w:gridCol w:w="4082"/>
      </w:tblGrid>
      <w:tr w:rsidR="00A645FB" w:rsidRPr="00ED1C5C" w14:paraId="288E0DDF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1F497D" w:themeFill="text2"/>
            <w:vAlign w:val="center"/>
            <w:hideMark/>
          </w:tcPr>
          <w:p w14:paraId="267E9222" w14:textId="025346DE" w:rsidR="00A645FB" w:rsidRPr="007A4A0A" w:rsidRDefault="00262C56" w:rsidP="007574ED">
            <w:pPr>
              <w:spacing w:before="40" w:after="40"/>
            </w:pPr>
            <w:r>
              <w:t>Difficulté</w:t>
            </w:r>
          </w:p>
        </w:tc>
        <w:tc>
          <w:tcPr>
            <w:tcW w:w="1113" w:type="dxa"/>
            <w:shd w:val="clear" w:color="auto" w:fill="1F497D" w:themeFill="text2"/>
            <w:vAlign w:val="center"/>
            <w:hideMark/>
          </w:tcPr>
          <w:p w14:paraId="60B8E7F5" w14:textId="376D45DE" w:rsidR="00A645FB" w:rsidRPr="007A4A0A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  <w:tc>
          <w:tcPr>
            <w:tcW w:w="4277" w:type="dxa"/>
            <w:shd w:val="clear" w:color="auto" w:fill="1F497D" w:themeFill="text2"/>
            <w:vAlign w:val="center"/>
            <w:hideMark/>
          </w:tcPr>
          <w:p w14:paraId="30A79864" w14:textId="159FBEF0" w:rsidR="00A645FB" w:rsidRPr="007A4A0A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2C60AF33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6CB6D9CF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Formats non standard/peu courants</w:t>
            </w:r>
          </w:p>
        </w:tc>
        <w:tc>
          <w:tcPr>
            <w:tcW w:w="1113" w:type="dxa"/>
            <w:vAlign w:val="center"/>
            <w:hideMark/>
          </w:tcPr>
          <w:p w14:paraId="3DCEC413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7" w:type="dxa"/>
            <w:vAlign w:val="center"/>
            <w:hideMark/>
          </w:tcPr>
          <w:p w14:paraId="4044D9B4" w14:textId="7CC91A55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Limite le traitement automatisé et l</w:t>
            </w:r>
            <w:r w:rsidR="002A53A0">
              <w:t>’</w:t>
            </w:r>
            <w:r>
              <w:t>intégration.</w:t>
            </w:r>
          </w:p>
        </w:tc>
      </w:tr>
      <w:tr w:rsidR="00A645FB" w:rsidRPr="00ED1C5C" w14:paraId="543BA12E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142E0515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Données de mauvaise qualité (par exemple, balises XML incorrectes)</w:t>
            </w:r>
          </w:p>
        </w:tc>
        <w:tc>
          <w:tcPr>
            <w:tcW w:w="1113" w:type="dxa"/>
            <w:vAlign w:val="center"/>
            <w:hideMark/>
          </w:tcPr>
          <w:p w14:paraId="4485AA08" w14:textId="77777777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7" w:type="dxa"/>
            <w:vAlign w:val="center"/>
            <w:hideMark/>
          </w:tcPr>
          <w:p w14:paraId="56D8BF9C" w14:textId="6E9F63D0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un impact sur l</w:t>
            </w:r>
            <w:r w:rsidR="002A53A0">
              <w:t>’</w:t>
            </w:r>
            <w:r>
              <w:t>accessibilité et l</w:t>
            </w:r>
            <w:r w:rsidR="002A53A0">
              <w:t>’</w:t>
            </w:r>
            <w:r>
              <w:t>automatisation en aval.</w:t>
            </w:r>
          </w:p>
        </w:tc>
      </w:tr>
      <w:tr w:rsidR="00A645FB" w:rsidRPr="00ED1C5C" w14:paraId="6008D4BA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0EA355EE" w14:textId="5211EDCB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Manque de ressources informatiques dans les offices de propriété intellectuelle partenaires</w:t>
            </w:r>
          </w:p>
        </w:tc>
        <w:tc>
          <w:tcPr>
            <w:tcW w:w="1113" w:type="dxa"/>
            <w:vAlign w:val="center"/>
            <w:hideMark/>
          </w:tcPr>
          <w:p w14:paraId="2B243460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7" w:type="dxa"/>
            <w:vAlign w:val="center"/>
            <w:hideMark/>
          </w:tcPr>
          <w:p w14:paraId="26FA0119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Indique le niveau de maturité inégal des systèmes mondiaux de propriété intellectuelle.</w:t>
            </w:r>
          </w:p>
        </w:tc>
      </w:tr>
      <w:tr w:rsidR="00A645FB" w:rsidRPr="00ED1C5C" w14:paraId="7DC257E7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4DD5C9B2" w14:textId="530F99A9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Fiabilité technique des systèmes (par exemple, </w:t>
            </w:r>
            <w:r w:rsidR="002A53A0">
              <w:rPr>
                <w:b w:val="0"/>
              </w:rPr>
              <w:t>WIPO CASE</w:t>
            </w:r>
            <w:r>
              <w:rPr>
                <w:b w:val="0"/>
              </w:rPr>
              <w:t>)</w:t>
            </w:r>
          </w:p>
        </w:tc>
        <w:tc>
          <w:tcPr>
            <w:tcW w:w="1113" w:type="dxa"/>
            <w:vAlign w:val="center"/>
            <w:hideMark/>
          </w:tcPr>
          <w:p w14:paraId="1DA7A19C" w14:textId="77777777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7" w:type="dxa"/>
            <w:vAlign w:val="center"/>
            <w:hideMark/>
          </w:tcPr>
          <w:p w14:paraId="42EF9F62" w14:textId="5B22EE7C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nécessité d</w:t>
            </w:r>
            <w:r w:rsidR="002A53A0">
              <w:t>’</w:t>
            </w:r>
            <w:r>
              <w:t>améliorer l</w:t>
            </w:r>
            <w:r w:rsidR="002A53A0">
              <w:t>’</w:t>
            </w:r>
            <w:r>
              <w:t>infrastructure ou l</w:t>
            </w:r>
            <w:r w:rsidR="002A53A0">
              <w:t>’</w:t>
            </w:r>
            <w:r>
              <w:t>entretien.</w:t>
            </w:r>
          </w:p>
        </w:tc>
      </w:tr>
    </w:tbl>
    <w:p w14:paraId="78205EAB" w14:textId="77777777" w:rsidR="006007D5" w:rsidRDefault="006007D5" w:rsidP="007574ED">
      <w:pPr>
        <w:spacing w:before="0" w:after="0"/>
        <w:rPr>
          <w:bCs/>
          <w:szCs w:val="26"/>
          <w:u w:val="single"/>
        </w:rPr>
      </w:pPr>
      <w:r>
        <w:br w:type="page"/>
      </w:r>
    </w:p>
    <w:p w14:paraId="7BBC73BB" w14:textId="19C00F87" w:rsidR="00A645FB" w:rsidRPr="00A645FB" w:rsidRDefault="00A645FB" w:rsidP="007574ED">
      <w:pPr>
        <w:pStyle w:val="Heading3"/>
        <w:keepLines/>
        <w:spacing w:after="220"/>
      </w:pPr>
      <w:r>
        <w:t>Difficultés juridiques et en matière de politique générale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09"/>
        <w:gridCol w:w="1549"/>
        <w:gridCol w:w="4087"/>
      </w:tblGrid>
      <w:tr w:rsidR="00A645FB" w:rsidRPr="00ED1C5C" w14:paraId="68980281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1F497D" w:themeFill="text2"/>
            <w:vAlign w:val="center"/>
            <w:hideMark/>
          </w:tcPr>
          <w:p w14:paraId="2B3647F2" w14:textId="3996303E" w:rsidR="00A645FB" w:rsidRPr="00FF1DA4" w:rsidRDefault="00CD227A" w:rsidP="007574ED">
            <w:pPr>
              <w:keepNext/>
              <w:keepLines/>
              <w:spacing w:before="40" w:after="40"/>
            </w:pPr>
            <w:r>
              <w:t>Difficulté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5C72D0B3" w14:textId="0ED3734E" w:rsidR="00A645FB" w:rsidRPr="00FF1DA4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  <w:tc>
          <w:tcPr>
            <w:tcW w:w="4310" w:type="dxa"/>
            <w:shd w:val="clear" w:color="auto" w:fill="1F497D" w:themeFill="text2"/>
            <w:vAlign w:val="center"/>
            <w:hideMark/>
          </w:tcPr>
          <w:p w14:paraId="3BBD4F4D" w14:textId="7BA60617" w:rsidR="00A645FB" w:rsidRPr="00FF1DA4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7368A182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2AA4FE49" w14:textId="212FE202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Problèmes juridiques (redistribution, correction d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erreurs)</w:t>
            </w:r>
          </w:p>
        </w:tc>
        <w:tc>
          <w:tcPr>
            <w:tcW w:w="1080" w:type="dxa"/>
            <w:vAlign w:val="center"/>
            <w:hideMark/>
          </w:tcPr>
          <w:p w14:paraId="16BBEDD2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10" w:type="dxa"/>
            <w:vAlign w:val="center"/>
            <w:hideMark/>
          </w:tcPr>
          <w:p w14:paraId="429F46B7" w14:textId="67565F7C" w:rsidR="00A645FB" w:rsidRPr="00346B5F" w:rsidRDefault="00EF210F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 restrictions relatives à l</w:t>
            </w:r>
            <w:r w:rsidR="002A53A0">
              <w:t>’</w:t>
            </w:r>
            <w:r>
              <w:t>utilisation ou à la modification des données de propriété intellectuelle limitent la transparence et la réutilisation.</w:t>
            </w:r>
          </w:p>
        </w:tc>
      </w:tr>
      <w:tr w:rsidR="00A645FB" w:rsidRPr="00ED1C5C" w14:paraId="4B2FC3EA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1008FFED" w14:textId="6CFA686C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Restrictions d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hébergement en dehors du ressort juridique des offices de propriété intellectuelle</w:t>
            </w:r>
          </w:p>
        </w:tc>
        <w:tc>
          <w:tcPr>
            <w:tcW w:w="1080" w:type="dxa"/>
            <w:vAlign w:val="center"/>
            <w:hideMark/>
          </w:tcPr>
          <w:p w14:paraId="444ED8C6" w14:textId="77777777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10" w:type="dxa"/>
            <w:vAlign w:val="center"/>
            <w:hideMark/>
          </w:tcPr>
          <w:p w14:paraId="1FDF0E2E" w14:textId="4C97892A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Tout comme les difficultés liées au partage des données de propriété intellectuelle, les lois sur le Cloud et les données transfrontalières constituent des obstacles importants à l</w:t>
            </w:r>
            <w:r w:rsidR="002A53A0">
              <w:t>’</w:t>
            </w:r>
            <w:r>
              <w:t>hébergement externe des données.</w:t>
            </w:r>
          </w:p>
        </w:tc>
      </w:tr>
      <w:tr w:rsidR="00A645FB" w:rsidRPr="00ED1C5C" w14:paraId="1855BA9C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  <w:hideMark/>
          </w:tcPr>
          <w:p w14:paraId="027BD39C" w14:textId="31978C6E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Réglementation en matière de protection des données (par exemple,</w:t>
            </w:r>
            <w:r w:rsidR="002A53A0">
              <w:rPr>
                <w:b w:val="0"/>
              </w:rPr>
              <w:t xml:space="preserve"> le RGP</w:t>
            </w:r>
            <w:r>
              <w:rPr>
                <w:b w:val="0"/>
              </w:rPr>
              <w:t>D)</w:t>
            </w:r>
          </w:p>
        </w:tc>
        <w:tc>
          <w:tcPr>
            <w:tcW w:w="1080" w:type="dxa"/>
            <w:vAlign w:val="center"/>
            <w:hideMark/>
          </w:tcPr>
          <w:p w14:paraId="6371B4DA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</w:t>
            </w:r>
          </w:p>
        </w:tc>
        <w:tc>
          <w:tcPr>
            <w:tcW w:w="4310" w:type="dxa"/>
            <w:vAlign w:val="center"/>
            <w:hideMark/>
          </w:tcPr>
          <w:p w14:paraId="118AE3E6" w14:textId="1435F409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 réglementations telles que</w:t>
            </w:r>
            <w:r w:rsidR="002A53A0">
              <w:t xml:space="preserve"> le RGP</w:t>
            </w:r>
            <w:r>
              <w:t>D imposent des règles strictes en matière d</w:t>
            </w:r>
            <w:r w:rsidR="002A53A0">
              <w:t>’</w:t>
            </w:r>
            <w:r>
              <w:t>accès et d</w:t>
            </w:r>
            <w:r w:rsidR="002A53A0">
              <w:t>’</w:t>
            </w:r>
            <w:r>
              <w:t>utilisation des données de propriété intellectuelle, en particulier en ce qui concerne les données personnelles ou sensibles.</w:t>
            </w:r>
          </w:p>
        </w:tc>
      </w:tr>
    </w:tbl>
    <w:p w14:paraId="2BE4B429" w14:textId="4FD267C6" w:rsidR="00A645FB" w:rsidRPr="00ED1C5C" w:rsidRDefault="00A645FB" w:rsidP="007574ED">
      <w:pPr>
        <w:pStyle w:val="Heading3"/>
        <w:spacing w:after="220"/>
      </w:pPr>
      <w:r>
        <w:t>Questions opérationnelles et de coordination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642"/>
        <w:gridCol w:w="1549"/>
        <w:gridCol w:w="4154"/>
      </w:tblGrid>
      <w:tr w:rsidR="00A645FB" w:rsidRPr="00ED1C5C" w14:paraId="34168FB9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 w:themeFill="text2"/>
            <w:vAlign w:val="center"/>
            <w:hideMark/>
          </w:tcPr>
          <w:p w14:paraId="7FE0594A" w14:textId="55E3E874" w:rsidR="00A645FB" w:rsidRPr="007A4A0A" w:rsidRDefault="00A86B6C" w:rsidP="007574ED">
            <w:pPr>
              <w:spacing w:before="40" w:after="40"/>
            </w:pPr>
            <w:r>
              <w:t>Difficulté</w:t>
            </w:r>
          </w:p>
        </w:tc>
        <w:tc>
          <w:tcPr>
            <w:tcW w:w="1080" w:type="dxa"/>
            <w:shd w:val="clear" w:color="auto" w:fill="1F497D" w:themeFill="text2"/>
            <w:vAlign w:val="center"/>
            <w:hideMark/>
          </w:tcPr>
          <w:p w14:paraId="5CCE6843" w14:textId="6C16E8B5" w:rsidR="00A645FB" w:rsidRPr="007A4A0A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</w:t>
            </w:r>
            <w:r w:rsidR="002A53A0">
              <w:t>’</w:t>
            </w:r>
            <w:r>
              <w:t>offices de propriété intellectuelle</w:t>
            </w:r>
          </w:p>
        </w:tc>
        <w:tc>
          <w:tcPr>
            <w:tcW w:w="4400" w:type="dxa"/>
            <w:shd w:val="clear" w:color="auto" w:fill="1F497D" w:themeFill="text2"/>
            <w:vAlign w:val="center"/>
            <w:hideMark/>
          </w:tcPr>
          <w:p w14:paraId="7582C042" w14:textId="78E17874" w:rsidR="00A645FB" w:rsidRPr="007A4A0A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24B1CEED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0948DD6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Séries de données incomplètes</w:t>
            </w:r>
          </w:p>
        </w:tc>
        <w:tc>
          <w:tcPr>
            <w:tcW w:w="1080" w:type="dxa"/>
            <w:vAlign w:val="center"/>
            <w:hideMark/>
          </w:tcPr>
          <w:p w14:paraId="3E123E95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400" w:type="dxa"/>
            <w:vAlign w:val="center"/>
            <w:hideMark/>
          </w:tcPr>
          <w:p w14:paraId="5CF7ACEC" w14:textId="4A1950FA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Peut indiquer un filtrage intentionnel ou l</w:t>
            </w:r>
            <w:r w:rsidR="002A53A0">
              <w:t>’</w:t>
            </w:r>
            <w:r>
              <w:t>absence de séries de données de propriété intellectuelle standard.</w:t>
            </w:r>
          </w:p>
        </w:tc>
      </w:tr>
      <w:tr w:rsidR="00A645FB" w:rsidRPr="00ED1C5C" w14:paraId="0BDB2079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545C10DF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Transmission irrégulière des données</w:t>
            </w:r>
          </w:p>
        </w:tc>
        <w:tc>
          <w:tcPr>
            <w:tcW w:w="1080" w:type="dxa"/>
            <w:vAlign w:val="center"/>
            <w:hideMark/>
          </w:tcPr>
          <w:p w14:paraId="6B000C62" w14:textId="77777777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400" w:type="dxa"/>
            <w:vAlign w:val="center"/>
            <w:hideMark/>
          </w:tcPr>
          <w:p w14:paraId="7BE7EF7A" w14:textId="04CF4774" w:rsidR="00A645FB" w:rsidRPr="00346B5F" w:rsidRDefault="00065528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 mises à jour imprévisibles perturbent l</w:t>
            </w:r>
            <w:r w:rsidR="002A53A0">
              <w:t>’</w:t>
            </w:r>
            <w:r>
              <w:t>automatisation et réduisent la fiabilité des données.</w:t>
            </w:r>
          </w:p>
        </w:tc>
      </w:tr>
      <w:tr w:rsidR="00A645FB" w:rsidRPr="00ED1C5C" w14:paraId="72CC87BA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70796CE3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Interruption soudaine sans préavis</w:t>
            </w:r>
          </w:p>
        </w:tc>
        <w:tc>
          <w:tcPr>
            <w:tcW w:w="1080" w:type="dxa"/>
            <w:vAlign w:val="center"/>
            <w:hideMark/>
          </w:tcPr>
          <w:p w14:paraId="7D5343BC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400" w:type="dxa"/>
            <w:vAlign w:val="center"/>
            <w:hideMark/>
          </w:tcPr>
          <w:p w14:paraId="7E5A8C7D" w14:textId="3D7396FC" w:rsidR="00A645FB" w:rsidRPr="00065528" w:rsidRDefault="00065528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>
              <w:t>Indique une mauvaise coordination et une absence de communication entre les offices.</w:t>
            </w:r>
          </w:p>
        </w:tc>
      </w:tr>
      <w:tr w:rsidR="00A645FB" w:rsidRPr="00ED1C5C" w14:paraId="18DCA0BE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2B7FCF33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Différences dans la commercialisation des données</w:t>
            </w:r>
          </w:p>
        </w:tc>
        <w:tc>
          <w:tcPr>
            <w:tcW w:w="1080" w:type="dxa"/>
            <w:vAlign w:val="center"/>
            <w:hideMark/>
          </w:tcPr>
          <w:p w14:paraId="613CAF44" w14:textId="77777777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400" w:type="dxa"/>
            <w:vAlign w:val="center"/>
            <w:hideMark/>
          </w:tcPr>
          <w:p w14:paraId="701CB870" w14:textId="3595E556" w:rsidR="00A645FB" w:rsidRPr="00346B5F" w:rsidRDefault="008519A2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 points de vue contradictoires sur la question de savoir si les données doivent être gratuites ou monétisées sont à l</w:t>
            </w:r>
            <w:r w:rsidR="002A53A0">
              <w:t>’</w:t>
            </w:r>
            <w:r>
              <w:t>origine de frictions.</w:t>
            </w:r>
          </w:p>
        </w:tc>
      </w:tr>
      <w:tr w:rsidR="00A645FB" w:rsidRPr="00ED1C5C" w14:paraId="15BA064E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  <w:hideMark/>
          </w:tcPr>
          <w:p w14:paraId="630F5CD5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Pas de collecte auprès de tiers</w:t>
            </w:r>
          </w:p>
        </w:tc>
        <w:tc>
          <w:tcPr>
            <w:tcW w:w="1080" w:type="dxa"/>
            <w:vAlign w:val="center"/>
            <w:hideMark/>
          </w:tcPr>
          <w:p w14:paraId="5F693FFA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400" w:type="dxa"/>
            <w:vAlign w:val="center"/>
            <w:hideMark/>
          </w:tcPr>
          <w:p w14:paraId="63C84989" w14:textId="6BE5F1A8" w:rsidR="00A645FB" w:rsidRPr="00346B5F" w:rsidRDefault="00483480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 offices peuvent être isolés ou ne pas avoir conclu d</w:t>
            </w:r>
            <w:r w:rsidR="002A53A0">
              <w:t>’</w:t>
            </w:r>
            <w:r>
              <w:t>accords pour recevoir des données d</w:t>
            </w:r>
            <w:r w:rsidR="002A53A0">
              <w:t>’</w:t>
            </w:r>
            <w:r>
              <w:t>autres offices.</w:t>
            </w:r>
          </w:p>
        </w:tc>
      </w:tr>
    </w:tbl>
    <w:p w14:paraId="74C8C11B" w14:textId="7FA3CB0C" w:rsidR="00A645FB" w:rsidRPr="00ED1C5C" w:rsidRDefault="00A645FB" w:rsidP="007574ED">
      <w:pPr>
        <w:pStyle w:val="Heading3"/>
        <w:keepLines/>
        <w:spacing w:after="220"/>
      </w:pPr>
      <w:r>
        <w:t>Enjeux stratégiques et autres difficultés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775"/>
        <w:gridCol w:w="5570"/>
      </w:tblGrid>
      <w:tr w:rsidR="00A645FB" w:rsidRPr="00ED1C5C" w14:paraId="7AD470B8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1F497D" w:themeFill="text2"/>
            <w:hideMark/>
          </w:tcPr>
          <w:p w14:paraId="54A5226B" w14:textId="49B186C4" w:rsidR="00A645FB" w:rsidRPr="006007D5" w:rsidRDefault="00A86B6C" w:rsidP="00874E97">
            <w:pPr>
              <w:keepNext/>
              <w:spacing w:before="40" w:after="40"/>
            </w:pPr>
            <w:r>
              <w:t>Difficulté</w:t>
            </w:r>
          </w:p>
        </w:tc>
        <w:tc>
          <w:tcPr>
            <w:tcW w:w="5570" w:type="dxa"/>
            <w:shd w:val="clear" w:color="auto" w:fill="1F497D" w:themeFill="text2"/>
            <w:hideMark/>
          </w:tcPr>
          <w:p w14:paraId="5E263537" w14:textId="3A8BED56" w:rsidR="00A645FB" w:rsidRPr="006007D5" w:rsidRDefault="00A86B6C" w:rsidP="00874E97">
            <w:pPr>
              <w:keepNext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Analyse/Remarques</w:t>
            </w:r>
          </w:p>
        </w:tc>
      </w:tr>
      <w:tr w:rsidR="00A645FB" w:rsidRPr="00ED1C5C" w14:paraId="4AE7D84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42F538B5" w14:textId="6B86C810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Politiques en matière de gouvernance des données et d</w:t>
            </w:r>
            <w:r w:rsidR="002A53A0">
              <w:rPr>
                <w:b w:val="0"/>
              </w:rPr>
              <w:t>’</w:t>
            </w:r>
            <w:r>
              <w:rPr>
                <w:b w:val="0"/>
              </w:rPr>
              <w:t>accès</w:t>
            </w:r>
          </w:p>
        </w:tc>
        <w:tc>
          <w:tcPr>
            <w:tcW w:w="5570" w:type="dxa"/>
            <w:hideMark/>
          </w:tcPr>
          <w:p w14:paraId="548D46F4" w14:textId="7777777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Manque de clarté concernant les personnes autorisées à utiliser les données, la manière dont elles peuvent être stockées et les droits de diffusion.</w:t>
            </w:r>
          </w:p>
        </w:tc>
      </w:tr>
      <w:tr w:rsidR="00A645FB" w:rsidRPr="00ED1C5C" w14:paraId="15509D6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3B6018BE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Exhaustivité des données</w:t>
            </w:r>
          </w:p>
        </w:tc>
        <w:tc>
          <w:tcPr>
            <w:tcW w:w="5570" w:type="dxa"/>
            <w:hideMark/>
          </w:tcPr>
          <w:p w14:paraId="70A216C6" w14:textId="5C36A460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enregistrements incomplets limitent l</w:t>
            </w:r>
            <w:r w:rsidR="002A53A0">
              <w:t>’</w:t>
            </w:r>
            <w:r>
              <w:t>utilité des données partagées.</w:t>
            </w:r>
          </w:p>
        </w:tc>
      </w:tr>
      <w:tr w:rsidR="00A645FB" w:rsidRPr="00ED1C5C" w14:paraId="554A45AF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14:paraId="50B30215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Difficultés liées au dictionnaire de données</w:t>
            </w:r>
          </w:p>
        </w:tc>
        <w:tc>
          <w:tcPr>
            <w:tcW w:w="5570" w:type="dxa"/>
            <w:hideMark/>
          </w:tcPr>
          <w:p w14:paraId="7E63CA06" w14:textId="18E39F87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Limite l</w:t>
            </w:r>
            <w:r w:rsidR="002A53A0">
              <w:t>’</w:t>
            </w:r>
            <w:r>
              <w:t>interopérabilité en raison de l</w:t>
            </w:r>
            <w:r w:rsidR="002A53A0">
              <w:t>’</w:t>
            </w:r>
            <w:r>
              <w:t>absence de définitions/structures communes.</w:t>
            </w:r>
          </w:p>
        </w:tc>
      </w:tr>
    </w:tbl>
    <w:p w14:paraId="1D602E02" w14:textId="2F44CDE1" w:rsidR="00A645FB" w:rsidRPr="00ED1C5C" w:rsidRDefault="00A645FB" w:rsidP="007574ED">
      <w:pPr>
        <w:pStyle w:val="Heading2"/>
        <w:spacing w:after="220"/>
      </w:pPr>
      <w:r>
        <w:t>Principales difficultés et conclusions</w:t>
      </w:r>
    </w:p>
    <w:p w14:paraId="0DD1B7A1" w14:textId="13A274AE" w:rsidR="00A645FB" w:rsidRPr="00ED1C5C" w:rsidRDefault="00A645FB" w:rsidP="00874E97">
      <w:pPr>
        <w:pStyle w:val="ONUMFS"/>
      </w:pPr>
      <w:r>
        <w:t>Les problèmes d</w:t>
      </w:r>
      <w:r w:rsidR="002A53A0">
        <w:t>’</w:t>
      </w:r>
      <w:r>
        <w:t>interopérabilité et de mauvaise qualité des données dominent</w:t>
      </w:r>
    </w:p>
    <w:p w14:paraId="417E581B" w14:textId="7F67EBE8" w:rsidR="00A645FB" w:rsidRPr="00857BEA" w:rsidRDefault="00A645FB" w:rsidP="00874E97">
      <w:pPr>
        <w:pStyle w:val="ONUMFS"/>
        <w:numPr>
          <w:ilvl w:val="0"/>
          <w:numId w:val="31"/>
        </w:numPr>
        <w:ind w:left="1134" w:hanging="567"/>
      </w:pPr>
      <w:r>
        <w:t>Les formats non standard et la mauvaise qualité des données sont persistants et empêchent une intégration transparente</w:t>
      </w:r>
      <w:r w:rsidR="00874E97">
        <w:t>.</w:t>
      </w:r>
    </w:p>
    <w:p w14:paraId="2706DBA0" w14:textId="295775D5" w:rsidR="00A645FB" w:rsidRPr="00857BEA" w:rsidRDefault="00A645FB" w:rsidP="00874E97">
      <w:pPr>
        <w:pStyle w:val="ONUMFS"/>
        <w:numPr>
          <w:ilvl w:val="0"/>
          <w:numId w:val="31"/>
        </w:numPr>
        <w:ind w:left="1134" w:hanging="567"/>
      </w:pPr>
      <w:r>
        <w:t>Les enregistrements incomplets limitent l</w:t>
      </w:r>
      <w:r w:rsidR="002A53A0">
        <w:t>’</w:t>
      </w:r>
      <w:r>
        <w:t>utilité des données partagées</w:t>
      </w:r>
      <w:r w:rsidR="00874E97">
        <w:t>.</w:t>
      </w:r>
    </w:p>
    <w:p w14:paraId="4D245E78" w14:textId="6E63E963" w:rsidR="00A645FB" w:rsidRPr="00857BEA" w:rsidRDefault="00A645FB" w:rsidP="00874E97">
      <w:pPr>
        <w:pStyle w:val="ONUMFS"/>
        <w:numPr>
          <w:ilvl w:val="0"/>
          <w:numId w:val="31"/>
        </w:numPr>
        <w:ind w:left="1134" w:hanging="567"/>
      </w:pPr>
      <w:r>
        <w:t>Manque de clarté concernant les personnes autorisées à utiliser les données, la manière dont elles peuvent être stockées et les droits de diffusion</w:t>
      </w:r>
      <w:r w:rsidR="00874E97">
        <w:t>.</w:t>
      </w:r>
    </w:p>
    <w:p w14:paraId="0748F72A" w14:textId="5C9BD018" w:rsidR="00A645FB" w:rsidRPr="00857BEA" w:rsidRDefault="00A645FB" w:rsidP="00874E97">
      <w:pPr>
        <w:pStyle w:val="ONUMFS"/>
        <w:numPr>
          <w:ilvl w:val="0"/>
          <w:numId w:val="31"/>
        </w:numPr>
        <w:ind w:left="1134" w:hanging="567"/>
      </w:pPr>
      <w:r>
        <w:t>Transmission irrégulière des données</w:t>
      </w:r>
      <w:r w:rsidR="00874E97">
        <w:t>.</w:t>
      </w:r>
    </w:p>
    <w:p w14:paraId="153ECA5F" w14:textId="594808A0" w:rsidR="00A645FB" w:rsidRPr="00857BEA" w:rsidRDefault="00A645FB" w:rsidP="00874E97">
      <w:pPr>
        <w:pStyle w:val="ONUMFS"/>
        <w:numPr>
          <w:ilvl w:val="0"/>
          <w:numId w:val="31"/>
        </w:numPr>
        <w:ind w:left="1134" w:hanging="567"/>
      </w:pPr>
      <w:r>
        <w:t>Interruption soudaine sans préavis</w:t>
      </w:r>
      <w:r w:rsidR="00874E97">
        <w:t>.</w:t>
      </w:r>
    </w:p>
    <w:p w14:paraId="24E65643" w14:textId="5A65A6D5" w:rsidR="00A645FB" w:rsidRDefault="00A645FB" w:rsidP="00874E97">
      <w:pPr>
        <w:pStyle w:val="ONUMFS"/>
        <w:numPr>
          <w:ilvl w:val="0"/>
          <w:numId w:val="31"/>
        </w:numPr>
        <w:ind w:left="1134" w:hanging="567"/>
      </w:pPr>
      <w:r>
        <w:t>Différences dans la commercialisation des données.</w:t>
      </w:r>
    </w:p>
    <w:p w14:paraId="33880136" w14:textId="50E993B7" w:rsidR="00A645FB" w:rsidRPr="00ED1C5C" w:rsidRDefault="00A645FB" w:rsidP="00874E97">
      <w:pPr>
        <w:pStyle w:val="ONUMFS"/>
      </w:pPr>
      <w:r>
        <w:t>Les obstacles juridiques et politiques sont importants</w:t>
      </w:r>
    </w:p>
    <w:p w14:paraId="7B63D7CE" w14:textId="3984BBF3" w:rsidR="002A53A0" w:rsidRDefault="00A645FB" w:rsidP="00874E97">
      <w:pPr>
        <w:pStyle w:val="ONUMFS"/>
        <w:numPr>
          <w:ilvl w:val="0"/>
          <w:numId w:val="0"/>
        </w:numPr>
        <w:ind w:firstLine="567"/>
      </w:pPr>
      <w:r>
        <w:t>La propriété des données, les restrictions en matière d</w:t>
      </w:r>
      <w:r w:rsidR="002A53A0">
        <w:t>’</w:t>
      </w:r>
      <w:r>
        <w:t>hébergement, les restrictions en matière de redistribution et les modèles axés sur les revenus empêchent le partage ouvert.</w:t>
      </w:r>
    </w:p>
    <w:p w14:paraId="2A3F591A" w14:textId="795D4BAB" w:rsidR="00A645FB" w:rsidRPr="00ED1C5C" w:rsidRDefault="00A645FB" w:rsidP="00874E97">
      <w:pPr>
        <w:pStyle w:val="ONUMFS"/>
      </w:pPr>
      <w:r>
        <w:t>Lacunes en matière d</w:t>
      </w:r>
      <w:r w:rsidR="002A53A0">
        <w:t>’</w:t>
      </w:r>
      <w:r>
        <w:t>infrastructures et de ressources humaines</w:t>
      </w:r>
    </w:p>
    <w:p w14:paraId="023AB230" w14:textId="71DDFC59" w:rsidR="00811011" w:rsidRPr="00E440D2" w:rsidRDefault="00A645FB" w:rsidP="00874E97">
      <w:pPr>
        <w:pStyle w:val="ONUMFS"/>
        <w:numPr>
          <w:ilvl w:val="0"/>
          <w:numId w:val="31"/>
        </w:numPr>
        <w:ind w:left="1134" w:hanging="567"/>
        <w:rPr>
          <w:rFonts w:cs="Arial"/>
        </w:rPr>
      </w:pPr>
      <w:r>
        <w:t>Le manque de ressources informatiques, tant au niveau local que dans les offices de propriété intellectuelle partenaires, est un obstacle majeur</w:t>
      </w:r>
      <w:r w:rsidR="00874E97">
        <w:t>.</w:t>
      </w:r>
    </w:p>
    <w:p w14:paraId="5B52C48C" w14:textId="541B7DEA" w:rsidR="00A645FB" w:rsidRPr="00A645FB" w:rsidRDefault="00A645FB" w:rsidP="00874E97">
      <w:pPr>
        <w:pStyle w:val="ONUMFS"/>
        <w:numPr>
          <w:ilvl w:val="0"/>
          <w:numId w:val="31"/>
        </w:numPr>
        <w:ind w:left="1134" w:hanging="567"/>
        <w:rPr>
          <w:rFonts w:cs="Arial"/>
        </w:rPr>
      </w:pPr>
      <w:r>
        <w:t>Le manque de personnel pour développer ou maintenir les systèmes d</w:t>
      </w:r>
      <w:r w:rsidR="002A53A0">
        <w:t>’</w:t>
      </w:r>
      <w:r>
        <w:t>échange de données freine les progrès.</w:t>
      </w:r>
    </w:p>
    <w:p w14:paraId="04FE62C3" w14:textId="79BB5290" w:rsidR="00A645FB" w:rsidRPr="00ED1C5C" w:rsidRDefault="00A645FB" w:rsidP="00874E97">
      <w:pPr>
        <w:pStyle w:val="ONUMFS"/>
      </w:pPr>
      <w:r>
        <w:t>Asymétrie entre les offices de propriété intellectuelle</w:t>
      </w:r>
    </w:p>
    <w:p w14:paraId="2E1F7AC7" w14:textId="324EC510" w:rsidR="00A645FB" w:rsidRDefault="00A645FB" w:rsidP="00874E97">
      <w:pPr>
        <w:pStyle w:val="ONUMFS"/>
        <w:numPr>
          <w:ilvl w:val="0"/>
          <w:numId w:val="0"/>
        </w:numPr>
        <w:ind w:firstLine="567"/>
        <w:rPr>
          <w:rFonts w:cs="Arial"/>
        </w:rPr>
      </w:pPr>
      <w:r>
        <w:t>Si certains offices de propriété intellectuelle sont à un niveau avancé et partagent leurs données de propriété intellectuelle, d</w:t>
      </w:r>
      <w:r w:rsidR="002A53A0">
        <w:t>’</w:t>
      </w:r>
      <w:r>
        <w:t>autres sont encore partiellement numérisés ou isolés.</w:t>
      </w:r>
    </w:p>
    <w:p w14:paraId="08B5F704" w14:textId="54AE7A37" w:rsidR="00A645FB" w:rsidRPr="00ED1C5C" w:rsidRDefault="00A645FB" w:rsidP="007574ED">
      <w:pPr>
        <w:pStyle w:val="Heading2"/>
        <w:spacing w:after="220"/>
      </w:pPr>
      <w:r>
        <w:t xml:space="preserve">Solutions proposées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A645FB" w:rsidRPr="00E915D2" w14:paraId="04F9FF01" w14:textId="77777777" w:rsidTr="000A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hideMark/>
          </w:tcPr>
          <w:p w14:paraId="47D21C4F" w14:textId="77777777" w:rsidR="00A645FB" w:rsidRPr="00217E2A" w:rsidRDefault="00A645FB" w:rsidP="00874E97">
            <w:pPr>
              <w:keepNext/>
              <w:spacing w:before="40" w:after="40"/>
            </w:pPr>
            <w:r>
              <w:t>Domaine</w:t>
            </w:r>
          </w:p>
        </w:tc>
        <w:tc>
          <w:tcPr>
            <w:tcW w:w="7190" w:type="dxa"/>
            <w:shd w:val="clear" w:color="auto" w:fill="1F497D" w:themeFill="text2"/>
            <w:hideMark/>
          </w:tcPr>
          <w:p w14:paraId="6294E3F4" w14:textId="77777777" w:rsidR="00A645FB" w:rsidRPr="00217E2A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Mesure</w:t>
            </w:r>
          </w:p>
        </w:tc>
      </w:tr>
      <w:tr w:rsidR="00A645FB" w:rsidRPr="00ED1C5C" w14:paraId="64450103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05B88A68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Technique</w:t>
            </w:r>
          </w:p>
        </w:tc>
        <w:tc>
          <w:tcPr>
            <w:tcW w:w="7190" w:type="dxa"/>
            <w:hideMark/>
          </w:tcPr>
          <w:p w14:paraId="13A25E5F" w14:textId="022BAFAD" w:rsidR="00A645FB" w:rsidRPr="00346B5F" w:rsidRDefault="00A645FB" w:rsidP="00874E97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Adopter une norme de l</w:t>
            </w:r>
            <w:r w:rsidR="002A53A0">
              <w:t>’</w:t>
            </w:r>
            <w:r>
              <w:t>OMPI sur l</w:t>
            </w:r>
            <w:r w:rsidR="002A53A0">
              <w:t>’</w:t>
            </w:r>
            <w:r>
              <w:t>échange de données de propriété intellectuelle et promouvoir une large mise en œuvre des normes existantes de l</w:t>
            </w:r>
            <w:r w:rsidR="002A53A0">
              <w:t>’</w:t>
            </w:r>
            <w:r>
              <w:t>OMPI telles que les normes ST.90, ST.96 et ST.97.</w:t>
            </w:r>
          </w:p>
          <w:p w14:paraId="7AFB1D0A" w14:textId="3B3DF35C" w:rsidR="002A53A0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Améliorer la qualité des données de propriété intellectuelle en utilisant, dans la mesure du possible, des outils d</w:t>
            </w:r>
            <w:r w:rsidR="002A53A0">
              <w:t>’</w:t>
            </w:r>
            <w:r>
              <w:t>intelligence artificielle.</w:t>
            </w:r>
          </w:p>
          <w:p w14:paraId="62795880" w14:textId="405AEB21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Appui à la numérisation des données de propriété intellectuelle.</w:t>
            </w:r>
          </w:p>
        </w:tc>
      </w:tr>
      <w:tr w:rsidR="00A645FB" w:rsidRPr="00ED1C5C" w14:paraId="2D2E072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644BA1D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Juridique et politique</w:t>
            </w:r>
          </w:p>
        </w:tc>
        <w:tc>
          <w:tcPr>
            <w:tcW w:w="7190" w:type="dxa"/>
            <w:hideMark/>
          </w:tcPr>
          <w:p w14:paraId="55A4C533" w14:textId="2886069B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Créer des accords de partage de données types</w:t>
            </w:r>
            <w:r w:rsidR="00874E97">
              <w:t>.</w:t>
            </w:r>
          </w:p>
        </w:tc>
      </w:tr>
      <w:tr w:rsidR="00A645FB" w:rsidRPr="00ED1C5C" w14:paraId="5BC48221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59D4290B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Coordination</w:t>
            </w:r>
          </w:p>
        </w:tc>
        <w:tc>
          <w:tcPr>
            <w:tcW w:w="7190" w:type="dxa"/>
            <w:hideMark/>
          </w:tcPr>
          <w:p w14:paraId="3B3783B5" w14:textId="0CB7B6A6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Désigner des coordonnateurs d</w:t>
            </w:r>
            <w:r w:rsidR="002A53A0">
              <w:t>’</w:t>
            </w:r>
            <w:r>
              <w:t xml:space="preserve">échange de données; </w:t>
            </w:r>
            <w:r w:rsidR="00E35D25">
              <w:t xml:space="preserve"> </w:t>
            </w:r>
            <w:r>
              <w:t xml:space="preserve">mettre en œuvre des accords multilatéraux sur le niveau de services; </w:t>
            </w:r>
            <w:r w:rsidR="00E35D25">
              <w:t xml:space="preserve"> </w:t>
            </w:r>
            <w:r>
              <w:t>créer un calendrier de mise à jour commun.</w:t>
            </w:r>
          </w:p>
        </w:tc>
      </w:tr>
      <w:tr w:rsidR="00A645FB" w:rsidRPr="00ED1C5C" w14:paraId="02BA5770" w14:textId="77777777" w:rsidTr="000A0B1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CC121DA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Renforcement des capacités</w:t>
            </w:r>
          </w:p>
        </w:tc>
        <w:tc>
          <w:tcPr>
            <w:tcW w:w="7190" w:type="dxa"/>
            <w:hideMark/>
          </w:tcPr>
          <w:p w14:paraId="383C7752" w14:textId="7EE6B7EC" w:rsidR="00A645FB" w:rsidRPr="00346B5F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Lancer des programmes de formation; </w:t>
            </w:r>
            <w:r w:rsidR="00E35D25">
              <w:t xml:space="preserve"> </w:t>
            </w:r>
            <w:r>
              <w:t>établir un programme de jumelage sur l</w:t>
            </w:r>
            <w:r w:rsidR="002A53A0">
              <w:t>’</w:t>
            </w:r>
            <w:r>
              <w:t>échange de connaissances.</w:t>
            </w:r>
          </w:p>
        </w:tc>
      </w:tr>
      <w:tr w:rsidR="00A645FB" w:rsidRPr="00ED1C5C" w14:paraId="4BD3E048" w14:textId="77777777" w:rsidTr="000A0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41B92493" w14:textId="77777777" w:rsidR="00A645FB" w:rsidRPr="00346B5F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Gouvernance</w:t>
            </w:r>
          </w:p>
        </w:tc>
        <w:tc>
          <w:tcPr>
            <w:tcW w:w="7190" w:type="dxa"/>
            <w:hideMark/>
          </w:tcPr>
          <w:p w14:paraId="76BD00C8" w14:textId="63E0D59B" w:rsidR="00A645FB" w:rsidRPr="00346B5F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Établir un cadre mondial d</w:t>
            </w:r>
            <w:r w:rsidR="002A53A0">
              <w:t>’</w:t>
            </w:r>
            <w:r>
              <w:t xml:space="preserve">échange de données sur la propriété intellectuelle; </w:t>
            </w:r>
            <w:r w:rsidR="00E35D25">
              <w:t xml:space="preserve"> </w:t>
            </w:r>
            <w:r>
              <w:t xml:space="preserve">élaborer un portail central de données; </w:t>
            </w:r>
            <w:r w:rsidR="00E35D25">
              <w:t xml:space="preserve"> </w:t>
            </w:r>
            <w:r>
              <w:t>suivre les progrès grâce à un tableau de bord de la transparence</w:t>
            </w:r>
            <w:r w:rsidR="00874E97">
              <w:t>.</w:t>
            </w:r>
          </w:p>
        </w:tc>
      </w:tr>
    </w:tbl>
    <w:p w14:paraId="1A500C17" w14:textId="48330ADE" w:rsidR="00A645FB" w:rsidRPr="00ED1C5C" w:rsidRDefault="00A645FB" w:rsidP="007574ED">
      <w:pPr>
        <w:pStyle w:val="Heading2"/>
        <w:spacing w:after="220"/>
      </w:pPr>
      <w:r>
        <w:t>Avantages des solutions proposées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55"/>
        <w:gridCol w:w="7190"/>
      </w:tblGrid>
      <w:tr w:rsidR="00A645FB" w:rsidRPr="00E915D2" w14:paraId="003B5D7C" w14:textId="77777777" w:rsidTr="00BA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1F497D" w:themeFill="text2"/>
            <w:vAlign w:val="center"/>
            <w:hideMark/>
          </w:tcPr>
          <w:p w14:paraId="0BEC9158" w14:textId="77777777" w:rsidR="00A645FB" w:rsidRPr="00F46BEC" w:rsidRDefault="00A645FB" w:rsidP="007574ED">
            <w:pPr>
              <w:spacing w:before="40" w:after="40"/>
            </w:pPr>
            <w:r>
              <w:t>Avantages</w:t>
            </w:r>
          </w:p>
        </w:tc>
        <w:tc>
          <w:tcPr>
            <w:tcW w:w="7190" w:type="dxa"/>
            <w:shd w:val="clear" w:color="auto" w:fill="1F497D" w:themeFill="text2"/>
            <w:vAlign w:val="center"/>
            <w:hideMark/>
          </w:tcPr>
          <w:p w14:paraId="0D909F49" w14:textId="77777777" w:rsidR="00A645FB" w:rsidRPr="00F46BEC" w:rsidRDefault="00A645FB" w:rsidP="007574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645FB" w:rsidRPr="00ED1C5C" w14:paraId="751EBB33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07E06BD" w14:textId="77777777" w:rsidR="00A645FB" w:rsidRPr="00FB062E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Efficience</w:t>
            </w:r>
          </w:p>
        </w:tc>
        <w:tc>
          <w:tcPr>
            <w:tcW w:w="7190" w:type="dxa"/>
            <w:vAlign w:val="center"/>
            <w:hideMark/>
          </w:tcPr>
          <w:p w14:paraId="7DD525F9" w14:textId="6B0C852C" w:rsidR="00A645FB" w:rsidRPr="00FB062E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Rationalisation du traitement des données et réduction de la répétition inutile des tâches.</w:t>
            </w:r>
          </w:p>
        </w:tc>
      </w:tr>
      <w:tr w:rsidR="00A645FB" w:rsidRPr="00ED1C5C" w14:paraId="63BA2CC8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37008EC9" w14:textId="77777777" w:rsidR="00A645FB" w:rsidRPr="00FB062E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Interopérabilité</w:t>
            </w:r>
          </w:p>
        </w:tc>
        <w:tc>
          <w:tcPr>
            <w:tcW w:w="7190" w:type="dxa"/>
            <w:vAlign w:val="center"/>
            <w:hideMark/>
          </w:tcPr>
          <w:p w14:paraId="2B728738" w14:textId="0CA372FE" w:rsidR="00A645FB" w:rsidRPr="00FB062E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Amélioration de l</w:t>
            </w:r>
            <w:r w:rsidR="002A53A0">
              <w:t>’</w:t>
            </w:r>
            <w:r>
              <w:t>intégration des systèmes mondiaux de propriété intellectuelle et de l</w:t>
            </w:r>
            <w:r w:rsidR="002A53A0">
              <w:t>’</w:t>
            </w:r>
            <w:r>
              <w:t>automatisation des services.</w:t>
            </w:r>
          </w:p>
        </w:tc>
      </w:tr>
      <w:tr w:rsidR="00A645FB" w:rsidRPr="00ED1C5C" w14:paraId="75BFA4D1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7854F2C2" w14:textId="77777777" w:rsidR="00A645FB" w:rsidRPr="00FB062E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Transparence</w:t>
            </w:r>
          </w:p>
        </w:tc>
        <w:tc>
          <w:tcPr>
            <w:tcW w:w="7190" w:type="dxa"/>
            <w:vAlign w:val="center"/>
            <w:hideMark/>
          </w:tcPr>
          <w:p w14:paraId="6DF1F136" w14:textId="5F744C02" w:rsidR="00A645FB" w:rsidRPr="00FB062E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Accès fiable et prévisible aux données juridiques et bibliographiques relatives à la propriété intellectuelle.</w:t>
            </w:r>
          </w:p>
        </w:tc>
      </w:tr>
      <w:tr w:rsidR="00A645FB" w:rsidRPr="00ED1C5C" w14:paraId="7B0ECD76" w14:textId="77777777" w:rsidTr="00BA427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5422DE09" w14:textId="77777777" w:rsidR="00A645FB" w:rsidRPr="00FB062E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Confiance juridique</w:t>
            </w:r>
          </w:p>
        </w:tc>
        <w:tc>
          <w:tcPr>
            <w:tcW w:w="7190" w:type="dxa"/>
            <w:vAlign w:val="center"/>
            <w:hideMark/>
          </w:tcPr>
          <w:p w14:paraId="58ACDFB3" w14:textId="3A3023F9" w:rsidR="00A645FB" w:rsidRPr="00FB062E" w:rsidRDefault="00A645FB" w:rsidP="007574E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Règles claires concernant l</w:t>
            </w:r>
            <w:r w:rsidR="002A53A0">
              <w:t>’</w:t>
            </w:r>
            <w:r>
              <w:t>utilisation, l</w:t>
            </w:r>
            <w:r w:rsidR="002A53A0">
              <w:t>’</w:t>
            </w:r>
            <w:r>
              <w:t>hébergement et la redistribution des données</w:t>
            </w:r>
            <w:r w:rsidR="00874E97">
              <w:t>.</w:t>
            </w:r>
          </w:p>
        </w:tc>
      </w:tr>
      <w:tr w:rsidR="00A645FB" w:rsidRPr="00ED1C5C" w14:paraId="2998BAE7" w14:textId="77777777" w:rsidTr="00BA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  <w:hideMark/>
          </w:tcPr>
          <w:p w14:paraId="01ED163E" w14:textId="46CE06FE" w:rsidR="00A645FB" w:rsidRPr="00FB062E" w:rsidRDefault="00A645FB" w:rsidP="007574ED">
            <w:pPr>
              <w:spacing w:before="40" w:after="40"/>
              <w:rPr>
                <w:b w:val="0"/>
              </w:rPr>
            </w:pPr>
            <w:r>
              <w:rPr>
                <w:b w:val="0"/>
              </w:rPr>
              <w:t>Renforcement des capacités</w:t>
            </w:r>
          </w:p>
        </w:tc>
        <w:tc>
          <w:tcPr>
            <w:tcW w:w="7190" w:type="dxa"/>
            <w:vAlign w:val="center"/>
            <w:hideMark/>
          </w:tcPr>
          <w:p w14:paraId="7F7AEB10" w14:textId="61766D2B" w:rsidR="00A645FB" w:rsidRPr="00FB062E" w:rsidRDefault="00A645FB" w:rsidP="007574E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Soutien aux offices de propriété intellectuelle des pays en développement afin qu</w:t>
            </w:r>
            <w:r w:rsidR="002A53A0">
              <w:t>’</w:t>
            </w:r>
            <w:r>
              <w:t>ils participent de manière significative aux échanges mondiaux.</w:t>
            </w:r>
          </w:p>
        </w:tc>
      </w:tr>
    </w:tbl>
    <w:p w14:paraId="64012F87" w14:textId="1704C58A" w:rsidR="008B2CC1" w:rsidRPr="007574ED" w:rsidRDefault="000F777E" w:rsidP="007574ED">
      <w:pPr>
        <w:pStyle w:val="Endofdocument-Annex"/>
      </w:pPr>
      <w:r w:rsidRPr="007574ED">
        <w:t>[Fin de l</w:t>
      </w:r>
      <w:r w:rsidR="002A53A0" w:rsidRPr="007574ED">
        <w:t>’</w:t>
      </w:r>
      <w:r w:rsidRPr="007574ED">
        <w:t>annexe et du document]</w:t>
      </w:r>
    </w:p>
    <w:sectPr w:rsidR="008B2CC1" w:rsidRPr="007574ED" w:rsidSect="007574ED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FBD7" w14:textId="77777777" w:rsidR="00302220" w:rsidRDefault="00302220">
      <w:r>
        <w:separator/>
      </w:r>
    </w:p>
  </w:endnote>
  <w:endnote w:type="continuationSeparator" w:id="0">
    <w:p w14:paraId="40432D20" w14:textId="77777777" w:rsidR="00302220" w:rsidRDefault="00302220" w:rsidP="003B38C1">
      <w:r>
        <w:separator/>
      </w:r>
    </w:p>
    <w:p w14:paraId="6C26ECC7" w14:textId="77777777" w:rsidR="00302220" w:rsidRPr="000B4F07" w:rsidRDefault="00302220" w:rsidP="003B38C1">
      <w:pPr>
        <w:spacing w:after="60"/>
        <w:rPr>
          <w:sz w:val="17"/>
          <w:lang w:val="en-US"/>
        </w:rPr>
      </w:pPr>
      <w:r w:rsidRPr="000B4F07">
        <w:rPr>
          <w:sz w:val="17"/>
          <w:lang w:val="en-US"/>
        </w:rPr>
        <w:t>[Endnote continued from previous page]</w:t>
      </w:r>
    </w:p>
  </w:endnote>
  <w:endnote w:type="continuationNotice" w:id="1">
    <w:p w14:paraId="0F2F9544" w14:textId="77777777" w:rsidR="00302220" w:rsidRPr="000B4F07" w:rsidRDefault="00302220" w:rsidP="003B38C1">
      <w:pPr>
        <w:spacing w:before="60"/>
        <w:jc w:val="right"/>
        <w:rPr>
          <w:sz w:val="17"/>
          <w:szCs w:val="17"/>
          <w:lang w:val="en-US"/>
        </w:rPr>
      </w:pPr>
      <w:r w:rsidRPr="000B4F0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27A7" w14:textId="77777777" w:rsidR="00302220" w:rsidRDefault="00302220">
      <w:r>
        <w:separator/>
      </w:r>
    </w:p>
  </w:footnote>
  <w:footnote w:type="continuationSeparator" w:id="0">
    <w:p w14:paraId="4DC12072" w14:textId="77777777" w:rsidR="00302220" w:rsidRDefault="00302220" w:rsidP="008B60B2">
      <w:r>
        <w:separator/>
      </w:r>
    </w:p>
    <w:p w14:paraId="05068B36" w14:textId="77777777" w:rsidR="00302220" w:rsidRPr="000B4F07" w:rsidRDefault="00302220" w:rsidP="008B60B2">
      <w:pPr>
        <w:spacing w:after="60"/>
        <w:rPr>
          <w:sz w:val="17"/>
          <w:szCs w:val="17"/>
          <w:lang w:val="en-US"/>
        </w:rPr>
      </w:pPr>
      <w:r w:rsidRPr="000B4F0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362ADD1" w14:textId="77777777" w:rsidR="00302220" w:rsidRPr="000B4F07" w:rsidRDefault="00302220" w:rsidP="008B60B2">
      <w:pPr>
        <w:spacing w:before="60"/>
        <w:jc w:val="right"/>
        <w:rPr>
          <w:sz w:val="17"/>
          <w:szCs w:val="17"/>
          <w:lang w:val="en-US"/>
        </w:rPr>
      </w:pPr>
      <w:r w:rsidRPr="000B4F0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A91B" w14:textId="3225CBE5" w:rsidR="00452A31" w:rsidRDefault="00452A31" w:rsidP="00452A31">
    <w:pPr>
      <w:pStyle w:val="Header"/>
      <w:spacing w:before="0" w:after="0"/>
      <w:jc w:val="right"/>
    </w:pPr>
    <w:r>
      <w:t>CWS/13/14</w:t>
    </w:r>
  </w:p>
  <w:p w14:paraId="5D11E2EF" w14:textId="3097861F" w:rsidR="00ED0BE3" w:rsidRDefault="00452A31" w:rsidP="007574ED">
    <w:pPr>
      <w:pStyle w:val="Header"/>
      <w:spacing w:before="0" w:after="480"/>
      <w:jc w:val="right"/>
    </w:pPr>
    <w:r>
      <w:t>Annexe, page 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8D5C" w14:textId="261E4C3D" w:rsidR="004E76C9" w:rsidRDefault="004E76C9" w:rsidP="004E76C9">
    <w:pPr>
      <w:pStyle w:val="Header"/>
      <w:spacing w:before="0" w:after="0"/>
      <w:jc w:val="right"/>
    </w:pPr>
    <w:r>
      <w:t>CWS/13/14</w:t>
    </w:r>
  </w:p>
  <w:p w14:paraId="4744270D" w14:textId="1CF0C2CF" w:rsidR="00ED0BE3" w:rsidRPr="00ED0BE3" w:rsidRDefault="004E76C9" w:rsidP="007574ED">
    <w:pPr>
      <w:pStyle w:val="Header"/>
      <w:spacing w:before="0"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B15AE"/>
    <w:multiLevelType w:val="hybridMultilevel"/>
    <w:tmpl w:val="ED50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E50"/>
    <w:multiLevelType w:val="hybridMultilevel"/>
    <w:tmpl w:val="015C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D911CC5"/>
    <w:multiLevelType w:val="hybridMultilevel"/>
    <w:tmpl w:val="E3B8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0CE8"/>
    <w:multiLevelType w:val="hybridMultilevel"/>
    <w:tmpl w:val="A42A5482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D0400"/>
    <w:multiLevelType w:val="hybridMultilevel"/>
    <w:tmpl w:val="506237C4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CB1B8A"/>
    <w:multiLevelType w:val="multilevel"/>
    <w:tmpl w:val="3F1A5984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0" w15:restartNumberingAfterBreak="0">
    <w:nsid w:val="1ED6276B"/>
    <w:multiLevelType w:val="hybridMultilevel"/>
    <w:tmpl w:val="FDB24E48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58A5292"/>
    <w:multiLevelType w:val="hybridMultilevel"/>
    <w:tmpl w:val="B48C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338D"/>
    <w:multiLevelType w:val="hybridMultilevel"/>
    <w:tmpl w:val="B922EE02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B32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734462"/>
    <w:multiLevelType w:val="hybridMultilevel"/>
    <w:tmpl w:val="64A44326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BC70F8"/>
    <w:multiLevelType w:val="hybridMultilevel"/>
    <w:tmpl w:val="6A0E3B08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F2E6E"/>
    <w:multiLevelType w:val="hybridMultilevel"/>
    <w:tmpl w:val="BA025C30"/>
    <w:lvl w:ilvl="0" w:tplc="2F4A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2" w15:restartNumberingAfterBreak="0">
    <w:nsid w:val="53D13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85D2A72"/>
    <w:multiLevelType w:val="hybridMultilevel"/>
    <w:tmpl w:val="69461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5" w15:restartNumberingAfterBreak="0">
    <w:nsid w:val="68334802"/>
    <w:multiLevelType w:val="multilevel"/>
    <w:tmpl w:val="4FFC0B86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6" w15:restartNumberingAfterBreak="0">
    <w:nsid w:val="68E31970"/>
    <w:multiLevelType w:val="hybridMultilevel"/>
    <w:tmpl w:val="15022A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300D"/>
    <w:multiLevelType w:val="hybridMultilevel"/>
    <w:tmpl w:val="46A23B3A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BDC24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36703C"/>
    <w:multiLevelType w:val="hybridMultilevel"/>
    <w:tmpl w:val="0F4E8876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CB4EE6"/>
    <w:multiLevelType w:val="multilevel"/>
    <w:tmpl w:val="7780FCEE"/>
    <w:lvl w:ilvl="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 w16cid:durableId="609242770">
    <w:abstractNumId w:val="8"/>
  </w:num>
  <w:num w:numId="2" w16cid:durableId="1707562677">
    <w:abstractNumId w:val="18"/>
  </w:num>
  <w:num w:numId="3" w16cid:durableId="488402972">
    <w:abstractNumId w:val="0"/>
  </w:num>
  <w:num w:numId="4" w16cid:durableId="1646352287">
    <w:abstractNumId w:val="20"/>
  </w:num>
  <w:num w:numId="5" w16cid:durableId="656806783">
    <w:abstractNumId w:val="4"/>
  </w:num>
  <w:num w:numId="6" w16cid:durableId="222833342">
    <w:abstractNumId w:val="11"/>
  </w:num>
  <w:num w:numId="7" w16cid:durableId="320819985">
    <w:abstractNumId w:val="16"/>
  </w:num>
  <w:num w:numId="8" w16cid:durableId="1012142412">
    <w:abstractNumId w:val="21"/>
  </w:num>
  <w:num w:numId="9" w16cid:durableId="1069696050">
    <w:abstractNumId w:val="24"/>
  </w:num>
  <w:num w:numId="10" w16cid:durableId="672034078">
    <w:abstractNumId w:val="3"/>
  </w:num>
  <w:num w:numId="11" w16cid:durableId="392896001">
    <w:abstractNumId w:val="22"/>
  </w:num>
  <w:num w:numId="12" w16cid:durableId="1838962211">
    <w:abstractNumId w:val="14"/>
  </w:num>
  <w:num w:numId="13" w16cid:durableId="478889660">
    <w:abstractNumId w:val="28"/>
  </w:num>
  <w:num w:numId="14" w16cid:durableId="1797336091">
    <w:abstractNumId w:val="13"/>
  </w:num>
  <w:num w:numId="15" w16cid:durableId="1559364812">
    <w:abstractNumId w:val="17"/>
  </w:num>
  <w:num w:numId="16" w16cid:durableId="966928489">
    <w:abstractNumId w:val="29"/>
  </w:num>
  <w:num w:numId="17" w16cid:durableId="153686518">
    <w:abstractNumId w:val="30"/>
  </w:num>
  <w:num w:numId="18" w16cid:durableId="1139961226">
    <w:abstractNumId w:val="25"/>
  </w:num>
  <w:num w:numId="19" w16cid:durableId="769817949">
    <w:abstractNumId w:val="9"/>
  </w:num>
  <w:num w:numId="20" w16cid:durableId="1408768314">
    <w:abstractNumId w:val="26"/>
  </w:num>
  <w:num w:numId="21" w16cid:durableId="629752762">
    <w:abstractNumId w:val="2"/>
  </w:num>
  <w:num w:numId="22" w16cid:durableId="1836190934">
    <w:abstractNumId w:val="6"/>
  </w:num>
  <w:num w:numId="23" w16cid:durableId="401871576">
    <w:abstractNumId w:val="12"/>
  </w:num>
  <w:num w:numId="24" w16cid:durableId="1934170216">
    <w:abstractNumId w:val="5"/>
  </w:num>
  <w:num w:numId="25" w16cid:durableId="2028168414">
    <w:abstractNumId w:val="23"/>
  </w:num>
  <w:num w:numId="26" w16cid:durableId="240717724">
    <w:abstractNumId w:val="1"/>
  </w:num>
  <w:num w:numId="27" w16cid:durableId="255676153">
    <w:abstractNumId w:val="27"/>
  </w:num>
  <w:num w:numId="28" w16cid:durableId="1295714354">
    <w:abstractNumId w:val="7"/>
  </w:num>
  <w:num w:numId="29" w16cid:durableId="1457405440">
    <w:abstractNumId w:val="15"/>
  </w:num>
  <w:num w:numId="30" w16cid:durableId="1036464929">
    <w:abstractNumId w:val="19"/>
  </w:num>
  <w:num w:numId="31" w16cid:durableId="965353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177"/>
    <w:rsid w:val="00004229"/>
    <w:rsid w:val="000066CD"/>
    <w:rsid w:val="0000700B"/>
    <w:rsid w:val="00010742"/>
    <w:rsid w:val="000127E3"/>
    <w:rsid w:val="00015DCA"/>
    <w:rsid w:val="0001647B"/>
    <w:rsid w:val="000219A2"/>
    <w:rsid w:val="000230F1"/>
    <w:rsid w:val="000238C8"/>
    <w:rsid w:val="000259D0"/>
    <w:rsid w:val="000260C5"/>
    <w:rsid w:val="000269C7"/>
    <w:rsid w:val="00032C13"/>
    <w:rsid w:val="00033A57"/>
    <w:rsid w:val="00034C54"/>
    <w:rsid w:val="000358D1"/>
    <w:rsid w:val="00043CAA"/>
    <w:rsid w:val="00045752"/>
    <w:rsid w:val="000474DC"/>
    <w:rsid w:val="00047EE3"/>
    <w:rsid w:val="00050663"/>
    <w:rsid w:val="00055E85"/>
    <w:rsid w:val="000566E3"/>
    <w:rsid w:val="00060204"/>
    <w:rsid w:val="0006159B"/>
    <w:rsid w:val="000626DD"/>
    <w:rsid w:val="00065528"/>
    <w:rsid w:val="00067ED9"/>
    <w:rsid w:val="00075432"/>
    <w:rsid w:val="000817DB"/>
    <w:rsid w:val="0008522F"/>
    <w:rsid w:val="000914E3"/>
    <w:rsid w:val="00092C12"/>
    <w:rsid w:val="000968ED"/>
    <w:rsid w:val="000A0B16"/>
    <w:rsid w:val="000A223C"/>
    <w:rsid w:val="000A34A3"/>
    <w:rsid w:val="000A5C2D"/>
    <w:rsid w:val="000B2413"/>
    <w:rsid w:val="000B4F07"/>
    <w:rsid w:val="000B7EAC"/>
    <w:rsid w:val="000C2C67"/>
    <w:rsid w:val="000C503C"/>
    <w:rsid w:val="000D34BC"/>
    <w:rsid w:val="000D61EF"/>
    <w:rsid w:val="000D6A08"/>
    <w:rsid w:val="000F0E86"/>
    <w:rsid w:val="000F40E9"/>
    <w:rsid w:val="000F5E56"/>
    <w:rsid w:val="000F777E"/>
    <w:rsid w:val="001024FE"/>
    <w:rsid w:val="001026AF"/>
    <w:rsid w:val="0010601F"/>
    <w:rsid w:val="0011547B"/>
    <w:rsid w:val="001157E5"/>
    <w:rsid w:val="00115BB5"/>
    <w:rsid w:val="00117C95"/>
    <w:rsid w:val="0012698E"/>
    <w:rsid w:val="00130649"/>
    <w:rsid w:val="001362B8"/>
    <w:rsid w:val="001362EE"/>
    <w:rsid w:val="00136BAD"/>
    <w:rsid w:val="00136D8B"/>
    <w:rsid w:val="0013754C"/>
    <w:rsid w:val="00137690"/>
    <w:rsid w:val="00137C05"/>
    <w:rsid w:val="00141C1C"/>
    <w:rsid w:val="00142868"/>
    <w:rsid w:val="00151753"/>
    <w:rsid w:val="00151D73"/>
    <w:rsid w:val="001539AF"/>
    <w:rsid w:val="00153C77"/>
    <w:rsid w:val="001565FD"/>
    <w:rsid w:val="00157EB4"/>
    <w:rsid w:val="001707DA"/>
    <w:rsid w:val="00171DA8"/>
    <w:rsid w:val="00173439"/>
    <w:rsid w:val="001832A6"/>
    <w:rsid w:val="00187B3C"/>
    <w:rsid w:val="00193DFF"/>
    <w:rsid w:val="001955DC"/>
    <w:rsid w:val="001A19A5"/>
    <w:rsid w:val="001A1C0C"/>
    <w:rsid w:val="001A2AA6"/>
    <w:rsid w:val="001A48BF"/>
    <w:rsid w:val="001A5E5F"/>
    <w:rsid w:val="001A73F5"/>
    <w:rsid w:val="001B68E9"/>
    <w:rsid w:val="001C6808"/>
    <w:rsid w:val="001D0193"/>
    <w:rsid w:val="001D0C22"/>
    <w:rsid w:val="001D0DBF"/>
    <w:rsid w:val="001D3160"/>
    <w:rsid w:val="001E373D"/>
    <w:rsid w:val="001E72CD"/>
    <w:rsid w:val="002038E8"/>
    <w:rsid w:val="00205930"/>
    <w:rsid w:val="00211964"/>
    <w:rsid w:val="002119A8"/>
    <w:rsid w:val="002121FA"/>
    <w:rsid w:val="00213E8A"/>
    <w:rsid w:val="00216B6D"/>
    <w:rsid w:val="00217E2A"/>
    <w:rsid w:val="002249AA"/>
    <w:rsid w:val="00225D1F"/>
    <w:rsid w:val="0023052B"/>
    <w:rsid w:val="00231C8B"/>
    <w:rsid w:val="00233C45"/>
    <w:rsid w:val="00235EBA"/>
    <w:rsid w:val="0023695D"/>
    <w:rsid w:val="00241A1F"/>
    <w:rsid w:val="00243909"/>
    <w:rsid w:val="00245377"/>
    <w:rsid w:val="00261055"/>
    <w:rsid w:val="00261A6D"/>
    <w:rsid w:val="00261F00"/>
    <w:rsid w:val="00262C56"/>
    <w:rsid w:val="002634C4"/>
    <w:rsid w:val="002665D9"/>
    <w:rsid w:val="00275462"/>
    <w:rsid w:val="00276EBC"/>
    <w:rsid w:val="00284642"/>
    <w:rsid w:val="002928D3"/>
    <w:rsid w:val="00294B6B"/>
    <w:rsid w:val="00296682"/>
    <w:rsid w:val="00297AAE"/>
    <w:rsid w:val="002A33F5"/>
    <w:rsid w:val="002A3BB0"/>
    <w:rsid w:val="002A5333"/>
    <w:rsid w:val="002A53A0"/>
    <w:rsid w:val="002B0843"/>
    <w:rsid w:val="002B2F74"/>
    <w:rsid w:val="002B55A9"/>
    <w:rsid w:val="002B58EF"/>
    <w:rsid w:val="002B5EBE"/>
    <w:rsid w:val="002D0460"/>
    <w:rsid w:val="002D2765"/>
    <w:rsid w:val="002D4656"/>
    <w:rsid w:val="002D7F2C"/>
    <w:rsid w:val="002E1589"/>
    <w:rsid w:val="002F1FE6"/>
    <w:rsid w:val="002F282A"/>
    <w:rsid w:val="002F2B6B"/>
    <w:rsid w:val="002F3A3E"/>
    <w:rsid w:val="002F4D60"/>
    <w:rsid w:val="002F4E68"/>
    <w:rsid w:val="002F5682"/>
    <w:rsid w:val="002F56E1"/>
    <w:rsid w:val="002F6B25"/>
    <w:rsid w:val="00300BCF"/>
    <w:rsid w:val="00302220"/>
    <w:rsid w:val="00304C81"/>
    <w:rsid w:val="00311B63"/>
    <w:rsid w:val="00312F7F"/>
    <w:rsid w:val="00314E7C"/>
    <w:rsid w:val="00320582"/>
    <w:rsid w:val="003223E9"/>
    <w:rsid w:val="003228B7"/>
    <w:rsid w:val="00324767"/>
    <w:rsid w:val="00324B11"/>
    <w:rsid w:val="00336514"/>
    <w:rsid w:val="00340AC0"/>
    <w:rsid w:val="00341258"/>
    <w:rsid w:val="00342DCC"/>
    <w:rsid w:val="00343B9F"/>
    <w:rsid w:val="00346B5F"/>
    <w:rsid w:val="003508A3"/>
    <w:rsid w:val="00352BB5"/>
    <w:rsid w:val="003568DA"/>
    <w:rsid w:val="003605E4"/>
    <w:rsid w:val="00361A2B"/>
    <w:rsid w:val="003673CF"/>
    <w:rsid w:val="00372B1B"/>
    <w:rsid w:val="003733B0"/>
    <w:rsid w:val="00376914"/>
    <w:rsid w:val="00377808"/>
    <w:rsid w:val="00382837"/>
    <w:rsid w:val="00384133"/>
    <w:rsid w:val="003845C1"/>
    <w:rsid w:val="0038614F"/>
    <w:rsid w:val="00387F84"/>
    <w:rsid w:val="003929B5"/>
    <w:rsid w:val="003A07EA"/>
    <w:rsid w:val="003A1B35"/>
    <w:rsid w:val="003A6F89"/>
    <w:rsid w:val="003B38C1"/>
    <w:rsid w:val="003B5122"/>
    <w:rsid w:val="003C2567"/>
    <w:rsid w:val="003D16AC"/>
    <w:rsid w:val="003D352A"/>
    <w:rsid w:val="003D3DC8"/>
    <w:rsid w:val="003D63BF"/>
    <w:rsid w:val="003D6F3A"/>
    <w:rsid w:val="003E30A0"/>
    <w:rsid w:val="003F1270"/>
    <w:rsid w:val="003F4AC7"/>
    <w:rsid w:val="003F60A4"/>
    <w:rsid w:val="00404EA4"/>
    <w:rsid w:val="004058F5"/>
    <w:rsid w:val="00412C22"/>
    <w:rsid w:val="00421EBF"/>
    <w:rsid w:val="004222A7"/>
    <w:rsid w:val="00422DC7"/>
    <w:rsid w:val="00423E3E"/>
    <w:rsid w:val="00427AF4"/>
    <w:rsid w:val="00431DE8"/>
    <w:rsid w:val="00432527"/>
    <w:rsid w:val="004357D9"/>
    <w:rsid w:val="004361F9"/>
    <w:rsid w:val="004400E2"/>
    <w:rsid w:val="00441DA2"/>
    <w:rsid w:val="00445666"/>
    <w:rsid w:val="00452A31"/>
    <w:rsid w:val="00453E77"/>
    <w:rsid w:val="00457974"/>
    <w:rsid w:val="00460916"/>
    <w:rsid w:val="00461632"/>
    <w:rsid w:val="004647DA"/>
    <w:rsid w:val="00467502"/>
    <w:rsid w:val="0046770B"/>
    <w:rsid w:val="00474062"/>
    <w:rsid w:val="004753F1"/>
    <w:rsid w:val="00475EBA"/>
    <w:rsid w:val="00476163"/>
    <w:rsid w:val="00477D6B"/>
    <w:rsid w:val="00481447"/>
    <w:rsid w:val="00482AE3"/>
    <w:rsid w:val="00483480"/>
    <w:rsid w:val="00484F4A"/>
    <w:rsid w:val="00493AFC"/>
    <w:rsid w:val="004A5CBB"/>
    <w:rsid w:val="004B07AA"/>
    <w:rsid w:val="004B1285"/>
    <w:rsid w:val="004B3E4A"/>
    <w:rsid w:val="004C0C6B"/>
    <w:rsid w:val="004C16A6"/>
    <w:rsid w:val="004C1854"/>
    <w:rsid w:val="004C7DFD"/>
    <w:rsid w:val="004D238D"/>
    <w:rsid w:val="004D39C4"/>
    <w:rsid w:val="004D478C"/>
    <w:rsid w:val="004E023E"/>
    <w:rsid w:val="004E0EEF"/>
    <w:rsid w:val="004E272B"/>
    <w:rsid w:val="004E4789"/>
    <w:rsid w:val="004E70DD"/>
    <w:rsid w:val="004E76C9"/>
    <w:rsid w:val="004F054A"/>
    <w:rsid w:val="004F2FF7"/>
    <w:rsid w:val="004F5C9B"/>
    <w:rsid w:val="004F602D"/>
    <w:rsid w:val="00500FEC"/>
    <w:rsid w:val="0050209A"/>
    <w:rsid w:val="005052F8"/>
    <w:rsid w:val="00511695"/>
    <w:rsid w:val="00511EE2"/>
    <w:rsid w:val="00513C1D"/>
    <w:rsid w:val="00521A4B"/>
    <w:rsid w:val="00525AA9"/>
    <w:rsid w:val="0053057A"/>
    <w:rsid w:val="00530DE7"/>
    <w:rsid w:val="00534CE4"/>
    <w:rsid w:val="0053769E"/>
    <w:rsid w:val="00540C46"/>
    <w:rsid w:val="00541D65"/>
    <w:rsid w:val="0054763B"/>
    <w:rsid w:val="00547987"/>
    <w:rsid w:val="0055346A"/>
    <w:rsid w:val="0055655B"/>
    <w:rsid w:val="00557406"/>
    <w:rsid w:val="00560A29"/>
    <w:rsid w:val="00560FA1"/>
    <w:rsid w:val="005618DE"/>
    <w:rsid w:val="00566B9A"/>
    <w:rsid w:val="005745E0"/>
    <w:rsid w:val="0058193D"/>
    <w:rsid w:val="00582BCD"/>
    <w:rsid w:val="00586C98"/>
    <w:rsid w:val="00594D27"/>
    <w:rsid w:val="005A3385"/>
    <w:rsid w:val="005A62A6"/>
    <w:rsid w:val="005B3E5E"/>
    <w:rsid w:val="005B5E30"/>
    <w:rsid w:val="005C4CE1"/>
    <w:rsid w:val="005C7622"/>
    <w:rsid w:val="005D0180"/>
    <w:rsid w:val="005D45D5"/>
    <w:rsid w:val="005E1746"/>
    <w:rsid w:val="005F4387"/>
    <w:rsid w:val="005F4A36"/>
    <w:rsid w:val="005F6618"/>
    <w:rsid w:val="005F666B"/>
    <w:rsid w:val="00600743"/>
    <w:rsid w:val="006007D5"/>
    <w:rsid w:val="00601760"/>
    <w:rsid w:val="00602EDE"/>
    <w:rsid w:val="00602F6F"/>
    <w:rsid w:val="00605827"/>
    <w:rsid w:val="00606024"/>
    <w:rsid w:val="006103AA"/>
    <w:rsid w:val="006127C7"/>
    <w:rsid w:val="00612C34"/>
    <w:rsid w:val="0062425A"/>
    <w:rsid w:val="00626D98"/>
    <w:rsid w:val="00627809"/>
    <w:rsid w:val="00627F4B"/>
    <w:rsid w:val="00631613"/>
    <w:rsid w:val="00634208"/>
    <w:rsid w:val="0063524C"/>
    <w:rsid w:val="0063666F"/>
    <w:rsid w:val="00640A58"/>
    <w:rsid w:val="00641469"/>
    <w:rsid w:val="00642163"/>
    <w:rsid w:val="00642CF6"/>
    <w:rsid w:val="00646050"/>
    <w:rsid w:val="006511D7"/>
    <w:rsid w:val="00651675"/>
    <w:rsid w:val="006604BB"/>
    <w:rsid w:val="006713CA"/>
    <w:rsid w:val="0067194E"/>
    <w:rsid w:val="006736CB"/>
    <w:rsid w:val="00676C5C"/>
    <w:rsid w:val="00683C18"/>
    <w:rsid w:val="00685341"/>
    <w:rsid w:val="00687937"/>
    <w:rsid w:val="00693173"/>
    <w:rsid w:val="0069346B"/>
    <w:rsid w:val="006939BE"/>
    <w:rsid w:val="00695558"/>
    <w:rsid w:val="00696710"/>
    <w:rsid w:val="006A33B8"/>
    <w:rsid w:val="006A4057"/>
    <w:rsid w:val="006A58B9"/>
    <w:rsid w:val="006A677B"/>
    <w:rsid w:val="006B09F1"/>
    <w:rsid w:val="006B1A55"/>
    <w:rsid w:val="006C02E0"/>
    <w:rsid w:val="006C309E"/>
    <w:rsid w:val="006C360F"/>
    <w:rsid w:val="006C416A"/>
    <w:rsid w:val="006C450E"/>
    <w:rsid w:val="006C52CA"/>
    <w:rsid w:val="006C6EBF"/>
    <w:rsid w:val="006D3C99"/>
    <w:rsid w:val="006D5E0F"/>
    <w:rsid w:val="006D6A44"/>
    <w:rsid w:val="006E4BB7"/>
    <w:rsid w:val="006E5CBA"/>
    <w:rsid w:val="006E6D6C"/>
    <w:rsid w:val="006E70C6"/>
    <w:rsid w:val="006F3417"/>
    <w:rsid w:val="006F5E9D"/>
    <w:rsid w:val="006F5F9F"/>
    <w:rsid w:val="006F6731"/>
    <w:rsid w:val="00704B46"/>
    <w:rsid w:val="007058FB"/>
    <w:rsid w:val="00713F7B"/>
    <w:rsid w:val="00717CF9"/>
    <w:rsid w:val="007214B1"/>
    <w:rsid w:val="007239A7"/>
    <w:rsid w:val="007252FA"/>
    <w:rsid w:val="00727AA7"/>
    <w:rsid w:val="0073181E"/>
    <w:rsid w:val="0073282B"/>
    <w:rsid w:val="0073573C"/>
    <w:rsid w:val="007430E1"/>
    <w:rsid w:val="0075228C"/>
    <w:rsid w:val="00756DD3"/>
    <w:rsid w:val="007574ED"/>
    <w:rsid w:val="00765AEA"/>
    <w:rsid w:val="0077155D"/>
    <w:rsid w:val="00772A74"/>
    <w:rsid w:val="00782B88"/>
    <w:rsid w:val="0079265B"/>
    <w:rsid w:val="00795393"/>
    <w:rsid w:val="00795AAF"/>
    <w:rsid w:val="007A0952"/>
    <w:rsid w:val="007A4A0A"/>
    <w:rsid w:val="007B1FD0"/>
    <w:rsid w:val="007B6A58"/>
    <w:rsid w:val="007B7B2C"/>
    <w:rsid w:val="007D105F"/>
    <w:rsid w:val="007D1613"/>
    <w:rsid w:val="007D3B8F"/>
    <w:rsid w:val="007D76E1"/>
    <w:rsid w:val="007D79BD"/>
    <w:rsid w:val="007E14A0"/>
    <w:rsid w:val="007E1B2F"/>
    <w:rsid w:val="007F0007"/>
    <w:rsid w:val="007F1BCF"/>
    <w:rsid w:val="007F1F95"/>
    <w:rsid w:val="007F3669"/>
    <w:rsid w:val="007F4C15"/>
    <w:rsid w:val="007F63E1"/>
    <w:rsid w:val="00801DAE"/>
    <w:rsid w:val="00802DAE"/>
    <w:rsid w:val="00803189"/>
    <w:rsid w:val="0080419E"/>
    <w:rsid w:val="00811011"/>
    <w:rsid w:val="00813F61"/>
    <w:rsid w:val="0081603F"/>
    <w:rsid w:val="00817921"/>
    <w:rsid w:val="00821157"/>
    <w:rsid w:val="00827EED"/>
    <w:rsid w:val="0083443F"/>
    <w:rsid w:val="00841883"/>
    <w:rsid w:val="00843869"/>
    <w:rsid w:val="008509A9"/>
    <w:rsid w:val="008519A2"/>
    <w:rsid w:val="00855775"/>
    <w:rsid w:val="00857BEA"/>
    <w:rsid w:val="0086193A"/>
    <w:rsid w:val="0086418C"/>
    <w:rsid w:val="008679AA"/>
    <w:rsid w:val="00867B89"/>
    <w:rsid w:val="00873EE5"/>
    <w:rsid w:val="00874E97"/>
    <w:rsid w:val="00883C91"/>
    <w:rsid w:val="00885AD9"/>
    <w:rsid w:val="0089179D"/>
    <w:rsid w:val="008926EB"/>
    <w:rsid w:val="00894DB7"/>
    <w:rsid w:val="008A07E1"/>
    <w:rsid w:val="008A3F5D"/>
    <w:rsid w:val="008A4CF6"/>
    <w:rsid w:val="008A5313"/>
    <w:rsid w:val="008B0DF4"/>
    <w:rsid w:val="008B1BDA"/>
    <w:rsid w:val="008B2CC1"/>
    <w:rsid w:val="008B4B5E"/>
    <w:rsid w:val="008B60B2"/>
    <w:rsid w:val="008B62EB"/>
    <w:rsid w:val="008B74DE"/>
    <w:rsid w:val="008C140E"/>
    <w:rsid w:val="008C1A78"/>
    <w:rsid w:val="008C2ED4"/>
    <w:rsid w:val="008C6872"/>
    <w:rsid w:val="008D44DF"/>
    <w:rsid w:val="008D7BEE"/>
    <w:rsid w:val="008E2502"/>
    <w:rsid w:val="008F6627"/>
    <w:rsid w:val="00901B26"/>
    <w:rsid w:val="00901E75"/>
    <w:rsid w:val="00904E83"/>
    <w:rsid w:val="009058D0"/>
    <w:rsid w:val="0090731E"/>
    <w:rsid w:val="00907BCB"/>
    <w:rsid w:val="00907CBA"/>
    <w:rsid w:val="00916EE2"/>
    <w:rsid w:val="00927C79"/>
    <w:rsid w:val="00927EA8"/>
    <w:rsid w:val="0093695A"/>
    <w:rsid w:val="00941161"/>
    <w:rsid w:val="00943F5A"/>
    <w:rsid w:val="009542B8"/>
    <w:rsid w:val="00966A22"/>
    <w:rsid w:val="0096722F"/>
    <w:rsid w:val="009727CF"/>
    <w:rsid w:val="00972AA4"/>
    <w:rsid w:val="00972B86"/>
    <w:rsid w:val="00973743"/>
    <w:rsid w:val="00974EE8"/>
    <w:rsid w:val="00980843"/>
    <w:rsid w:val="009859E2"/>
    <w:rsid w:val="009863F4"/>
    <w:rsid w:val="00993638"/>
    <w:rsid w:val="00996C32"/>
    <w:rsid w:val="009A05C0"/>
    <w:rsid w:val="009A75E0"/>
    <w:rsid w:val="009A766E"/>
    <w:rsid w:val="009A7806"/>
    <w:rsid w:val="009B0128"/>
    <w:rsid w:val="009B173C"/>
    <w:rsid w:val="009B2879"/>
    <w:rsid w:val="009C1D9A"/>
    <w:rsid w:val="009C37C9"/>
    <w:rsid w:val="009C4AA8"/>
    <w:rsid w:val="009C4CC2"/>
    <w:rsid w:val="009D012B"/>
    <w:rsid w:val="009D25DA"/>
    <w:rsid w:val="009D399D"/>
    <w:rsid w:val="009D7226"/>
    <w:rsid w:val="009E061E"/>
    <w:rsid w:val="009E2791"/>
    <w:rsid w:val="009E39C0"/>
    <w:rsid w:val="009E3F6F"/>
    <w:rsid w:val="009E5CBC"/>
    <w:rsid w:val="009F0851"/>
    <w:rsid w:val="009F2E96"/>
    <w:rsid w:val="009F3BF9"/>
    <w:rsid w:val="009F499F"/>
    <w:rsid w:val="009F7DB8"/>
    <w:rsid w:val="00A03ED2"/>
    <w:rsid w:val="00A05BC8"/>
    <w:rsid w:val="00A06BB8"/>
    <w:rsid w:val="00A11800"/>
    <w:rsid w:val="00A146F3"/>
    <w:rsid w:val="00A2013E"/>
    <w:rsid w:val="00A20427"/>
    <w:rsid w:val="00A20CF4"/>
    <w:rsid w:val="00A23465"/>
    <w:rsid w:val="00A255E4"/>
    <w:rsid w:val="00A307D8"/>
    <w:rsid w:val="00A30DDE"/>
    <w:rsid w:val="00A31302"/>
    <w:rsid w:val="00A36BAF"/>
    <w:rsid w:val="00A37A13"/>
    <w:rsid w:val="00A416D5"/>
    <w:rsid w:val="00A42DAF"/>
    <w:rsid w:val="00A44732"/>
    <w:rsid w:val="00A44C87"/>
    <w:rsid w:val="00A45BD8"/>
    <w:rsid w:val="00A471A9"/>
    <w:rsid w:val="00A63917"/>
    <w:rsid w:val="00A645FB"/>
    <w:rsid w:val="00A650CB"/>
    <w:rsid w:val="00A723E1"/>
    <w:rsid w:val="00A743D8"/>
    <w:rsid w:val="00A778BF"/>
    <w:rsid w:val="00A77FB7"/>
    <w:rsid w:val="00A85B8E"/>
    <w:rsid w:val="00A86B6C"/>
    <w:rsid w:val="00A9753B"/>
    <w:rsid w:val="00AA37FE"/>
    <w:rsid w:val="00AA5A33"/>
    <w:rsid w:val="00AB3A1A"/>
    <w:rsid w:val="00AB54B0"/>
    <w:rsid w:val="00AB724A"/>
    <w:rsid w:val="00AB7632"/>
    <w:rsid w:val="00AC1E59"/>
    <w:rsid w:val="00AC205C"/>
    <w:rsid w:val="00AC6E2A"/>
    <w:rsid w:val="00AD0386"/>
    <w:rsid w:val="00AD069A"/>
    <w:rsid w:val="00AD3697"/>
    <w:rsid w:val="00AD694C"/>
    <w:rsid w:val="00AE6B1D"/>
    <w:rsid w:val="00AE79AF"/>
    <w:rsid w:val="00AF0B3B"/>
    <w:rsid w:val="00AF121B"/>
    <w:rsid w:val="00AF1B19"/>
    <w:rsid w:val="00AF3B13"/>
    <w:rsid w:val="00AF3E59"/>
    <w:rsid w:val="00AF5C73"/>
    <w:rsid w:val="00B014A9"/>
    <w:rsid w:val="00B01A17"/>
    <w:rsid w:val="00B01BD9"/>
    <w:rsid w:val="00B01DE9"/>
    <w:rsid w:val="00B05A69"/>
    <w:rsid w:val="00B07C3A"/>
    <w:rsid w:val="00B1188E"/>
    <w:rsid w:val="00B11C1D"/>
    <w:rsid w:val="00B11C71"/>
    <w:rsid w:val="00B26C9C"/>
    <w:rsid w:val="00B2726D"/>
    <w:rsid w:val="00B30BFB"/>
    <w:rsid w:val="00B31E90"/>
    <w:rsid w:val="00B37018"/>
    <w:rsid w:val="00B40598"/>
    <w:rsid w:val="00B414DC"/>
    <w:rsid w:val="00B46E69"/>
    <w:rsid w:val="00B47A08"/>
    <w:rsid w:val="00B50603"/>
    <w:rsid w:val="00B50B99"/>
    <w:rsid w:val="00B547AA"/>
    <w:rsid w:val="00B62CD9"/>
    <w:rsid w:val="00B670C3"/>
    <w:rsid w:val="00B67EB3"/>
    <w:rsid w:val="00B713BE"/>
    <w:rsid w:val="00B71BA1"/>
    <w:rsid w:val="00B801C9"/>
    <w:rsid w:val="00B8454B"/>
    <w:rsid w:val="00B91349"/>
    <w:rsid w:val="00B91D4B"/>
    <w:rsid w:val="00B9470F"/>
    <w:rsid w:val="00B96783"/>
    <w:rsid w:val="00B9734B"/>
    <w:rsid w:val="00B97D45"/>
    <w:rsid w:val="00BA3544"/>
    <w:rsid w:val="00BA358C"/>
    <w:rsid w:val="00BA39D4"/>
    <w:rsid w:val="00BA4271"/>
    <w:rsid w:val="00BA6F30"/>
    <w:rsid w:val="00BA706D"/>
    <w:rsid w:val="00BB20AE"/>
    <w:rsid w:val="00BB30EA"/>
    <w:rsid w:val="00BB37FC"/>
    <w:rsid w:val="00BB4CEB"/>
    <w:rsid w:val="00BB4F8C"/>
    <w:rsid w:val="00BB6059"/>
    <w:rsid w:val="00BC08B4"/>
    <w:rsid w:val="00BC3A10"/>
    <w:rsid w:val="00BD0DFC"/>
    <w:rsid w:val="00BD40B3"/>
    <w:rsid w:val="00BE5E15"/>
    <w:rsid w:val="00BF1AB7"/>
    <w:rsid w:val="00C05E76"/>
    <w:rsid w:val="00C11BFE"/>
    <w:rsid w:val="00C13CCD"/>
    <w:rsid w:val="00C14814"/>
    <w:rsid w:val="00C22E26"/>
    <w:rsid w:val="00C247E9"/>
    <w:rsid w:val="00C2667D"/>
    <w:rsid w:val="00C274EB"/>
    <w:rsid w:val="00C31E14"/>
    <w:rsid w:val="00C33946"/>
    <w:rsid w:val="00C340D6"/>
    <w:rsid w:val="00C402E3"/>
    <w:rsid w:val="00C435F1"/>
    <w:rsid w:val="00C44EE7"/>
    <w:rsid w:val="00C45C11"/>
    <w:rsid w:val="00C479EC"/>
    <w:rsid w:val="00C50CC4"/>
    <w:rsid w:val="00C630F3"/>
    <w:rsid w:val="00C6511A"/>
    <w:rsid w:val="00C6569E"/>
    <w:rsid w:val="00C73902"/>
    <w:rsid w:val="00C755F4"/>
    <w:rsid w:val="00C815A6"/>
    <w:rsid w:val="00C8328C"/>
    <w:rsid w:val="00C8528F"/>
    <w:rsid w:val="00C94629"/>
    <w:rsid w:val="00C946ED"/>
    <w:rsid w:val="00C951A8"/>
    <w:rsid w:val="00C95A04"/>
    <w:rsid w:val="00C967D3"/>
    <w:rsid w:val="00CA25FA"/>
    <w:rsid w:val="00CA36BB"/>
    <w:rsid w:val="00CA38C5"/>
    <w:rsid w:val="00CB0603"/>
    <w:rsid w:val="00CB3054"/>
    <w:rsid w:val="00CC27F7"/>
    <w:rsid w:val="00CC3B6D"/>
    <w:rsid w:val="00CD227A"/>
    <w:rsid w:val="00CD246E"/>
    <w:rsid w:val="00CE1751"/>
    <w:rsid w:val="00CE583D"/>
    <w:rsid w:val="00CE65D4"/>
    <w:rsid w:val="00CF268F"/>
    <w:rsid w:val="00CF5FBC"/>
    <w:rsid w:val="00CF6152"/>
    <w:rsid w:val="00D00A80"/>
    <w:rsid w:val="00D01054"/>
    <w:rsid w:val="00D07CCD"/>
    <w:rsid w:val="00D13901"/>
    <w:rsid w:val="00D21858"/>
    <w:rsid w:val="00D37924"/>
    <w:rsid w:val="00D401CB"/>
    <w:rsid w:val="00D45252"/>
    <w:rsid w:val="00D53636"/>
    <w:rsid w:val="00D54AF8"/>
    <w:rsid w:val="00D55A38"/>
    <w:rsid w:val="00D56178"/>
    <w:rsid w:val="00D56919"/>
    <w:rsid w:val="00D63A19"/>
    <w:rsid w:val="00D6563B"/>
    <w:rsid w:val="00D667CD"/>
    <w:rsid w:val="00D71B4D"/>
    <w:rsid w:val="00D8155C"/>
    <w:rsid w:val="00D81759"/>
    <w:rsid w:val="00D834D7"/>
    <w:rsid w:val="00D84DD0"/>
    <w:rsid w:val="00D851A1"/>
    <w:rsid w:val="00D85776"/>
    <w:rsid w:val="00D87CBC"/>
    <w:rsid w:val="00D93D55"/>
    <w:rsid w:val="00D94773"/>
    <w:rsid w:val="00D9530E"/>
    <w:rsid w:val="00D9594F"/>
    <w:rsid w:val="00DA15A4"/>
    <w:rsid w:val="00DA20A6"/>
    <w:rsid w:val="00DA588A"/>
    <w:rsid w:val="00DB152B"/>
    <w:rsid w:val="00DC39BB"/>
    <w:rsid w:val="00DD2AAF"/>
    <w:rsid w:val="00DD487F"/>
    <w:rsid w:val="00DD6EE1"/>
    <w:rsid w:val="00DF1418"/>
    <w:rsid w:val="00DF1EFF"/>
    <w:rsid w:val="00E00B98"/>
    <w:rsid w:val="00E019FD"/>
    <w:rsid w:val="00E01BAE"/>
    <w:rsid w:val="00E074B4"/>
    <w:rsid w:val="00E161A2"/>
    <w:rsid w:val="00E242B6"/>
    <w:rsid w:val="00E27EF1"/>
    <w:rsid w:val="00E31A34"/>
    <w:rsid w:val="00E335FE"/>
    <w:rsid w:val="00E35711"/>
    <w:rsid w:val="00E35D25"/>
    <w:rsid w:val="00E360FC"/>
    <w:rsid w:val="00E3666F"/>
    <w:rsid w:val="00E40A12"/>
    <w:rsid w:val="00E427D7"/>
    <w:rsid w:val="00E4387E"/>
    <w:rsid w:val="00E440D2"/>
    <w:rsid w:val="00E442F6"/>
    <w:rsid w:val="00E479EF"/>
    <w:rsid w:val="00E5021F"/>
    <w:rsid w:val="00E52D1C"/>
    <w:rsid w:val="00E55C5F"/>
    <w:rsid w:val="00E57462"/>
    <w:rsid w:val="00E57A9A"/>
    <w:rsid w:val="00E63575"/>
    <w:rsid w:val="00E649C1"/>
    <w:rsid w:val="00E670D9"/>
    <w:rsid w:val="00E671A6"/>
    <w:rsid w:val="00E6744D"/>
    <w:rsid w:val="00E75437"/>
    <w:rsid w:val="00E76071"/>
    <w:rsid w:val="00E8793C"/>
    <w:rsid w:val="00E91598"/>
    <w:rsid w:val="00E915D2"/>
    <w:rsid w:val="00E93335"/>
    <w:rsid w:val="00E953FA"/>
    <w:rsid w:val="00E96913"/>
    <w:rsid w:val="00EA1527"/>
    <w:rsid w:val="00EA347F"/>
    <w:rsid w:val="00EA4B86"/>
    <w:rsid w:val="00EB6878"/>
    <w:rsid w:val="00EC4E49"/>
    <w:rsid w:val="00ED02AB"/>
    <w:rsid w:val="00ED0BE3"/>
    <w:rsid w:val="00ED2643"/>
    <w:rsid w:val="00ED77FB"/>
    <w:rsid w:val="00EE4D5E"/>
    <w:rsid w:val="00EE71F5"/>
    <w:rsid w:val="00EF0542"/>
    <w:rsid w:val="00EF1DA2"/>
    <w:rsid w:val="00EF210F"/>
    <w:rsid w:val="00EF2439"/>
    <w:rsid w:val="00EF3696"/>
    <w:rsid w:val="00EF62BC"/>
    <w:rsid w:val="00F021A6"/>
    <w:rsid w:val="00F023FF"/>
    <w:rsid w:val="00F0315D"/>
    <w:rsid w:val="00F052CF"/>
    <w:rsid w:val="00F07D73"/>
    <w:rsid w:val="00F07FEB"/>
    <w:rsid w:val="00F11D94"/>
    <w:rsid w:val="00F143B8"/>
    <w:rsid w:val="00F1496A"/>
    <w:rsid w:val="00F14B01"/>
    <w:rsid w:val="00F21A54"/>
    <w:rsid w:val="00F25C86"/>
    <w:rsid w:val="00F310B7"/>
    <w:rsid w:val="00F31508"/>
    <w:rsid w:val="00F36385"/>
    <w:rsid w:val="00F41B0D"/>
    <w:rsid w:val="00F43065"/>
    <w:rsid w:val="00F46BEC"/>
    <w:rsid w:val="00F50E9E"/>
    <w:rsid w:val="00F527D4"/>
    <w:rsid w:val="00F53A0A"/>
    <w:rsid w:val="00F5421F"/>
    <w:rsid w:val="00F60712"/>
    <w:rsid w:val="00F60C63"/>
    <w:rsid w:val="00F632CD"/>
    <w:rsid w:val="00F63FAB"/>
    <w:rsid w:val="00F66152"/>
    <w:rsid w:val="00F72064"/>
    <w:rsid w:val="00F73972"/>
    <w:rsid w:val="00F74936"/>
    <w:rsid w:val="00F7516B"/>
    <w:rsid w:val="00F76CAB"/>
    <w:rsid w:val="00F82E7C"/>
    <w:rsid w:val="00FA0533"/>
    <w:rsid w:val="00FA102B"/>
    <w:rsid w:val="00FA2043"/>
    <w:rsid w:val="00FA6367"/>
    <w:rsid w:val="00FA6DD3"/>
    <w:rsid w:val="00FB062E"/>
    <w:rsid w:val="00FB1C0C"/>
    <w:rsid w:val="00FB455F"/>
    <w:rsid w:val="00FB6449"/>
    <w:rsid w:val="00FC7501"/>
    <w:rsid w:val="00FD1B09"/>
    <w:rsid w:val="00FD2123"/>
    <w:rsid w:val="00FD5F33"/>
    <w:rsid w:val="00FE31E5"/>
    <w:rsid w:val="00FF05F6"/>
    <w:rsid w:val="00FF1736"/>
    <w:rsid w:val="00FF1DA4"/>
    <w:rsid w:val="00FF2BCF"/>
    <w:rsid w:val="00FF306B"/>
    <w:rsid w:val="00FF4062"/>
    <w:rsid w:val="01ED4160"/>
    <w:rsid w:val="028559A1"/>
    <w:rsid w:val="05EA0C95"/>
    <w:rsid w:val="0C83A265"/>
    <w:rsid w:val="10CF5713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5C0536AB-8FFA-4142-98B5-FF09EA89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FB"/>
    <w:pPr>
      <w:spacing w:before="180" w:after="240"/>
    </w:pPr>
    <w:rPr>
      <w:rFonts w:ascii="Arial" w:eastAsiaTheme="minorHAnsi" w:hAnsi="Arial" w:cs="Noto Sans Display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574ED"/>
    <w:pPr>
      <w:keepNext/>
      <w:spacing w:before="0" w:after="360"/>
      <w:outlineLvl w:val="0"/>
    </w:pPr>
    <w:rPr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574ED"/>
    <w:pPr>
      <w:spacing w:before="720" w:after="0"/>
      <w:ind w:left="5533"/>
      <w:jc w:val="center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8F6627"/>
    <w:pPr>
      <w:numPr>
        <w:numId w:val="5"/>
      </w:numPr>
      <w:spacing w:before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45FB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645FB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A645FB"/>
    <w:rPr>
      <w:rFonts w:ascii="Arial" w:eastAsia="SimSun" w:hAnsi="Arial" w:cs="Arial"/>
      <w:bCs/>
      <w:i/>
      <w:sz w:val="22"/>
      <w:szCs w:val="28"/>
      <w:lang w:val="fr-FR" w:eastAsia="zh-CN"/>
    </w:rPr>
  </w:style>
  <w:style w:type="table" w:styleId="ListTable4-Accent1">
    <w:name w:val="List Table 4 Accent 1"/>
    <w:basedOn w:val="TableNormal"/>
    <w:uiPriority w:val="49"/>
    <w:rsid w:val="00A645FB"/>
    <w:pPr>
      <w:spacing w:before="180"/>
    </w:pPr>
    <w:rPr>
      <w:rFonts w:ascii="Noto Sans" w:eastAsiaTheme="minorHAnsi" w:hAnsi="Noto Sans" w:cs="Noto Sans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645FB"/>
    <w:pPr>
      <w:spacing w:before="180"/>
    </w:pPr>
    <w:rPr>
      <w:rFonts w:ascii="Noto Sans" w:eastAsiaTheme="minorHAnsi" w:hAnsi="Noto Sans" w:cs="Noto Sans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6511D7"/>
    <w:rPr>
      <w:rFonts w:ascii="Arial" w:eastAsiaTheme="minorHAnsi" w:hAnsi="Arial" w:cs="Noto Sans Display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2A31"/>
    <w:rPr>
      <w:rFonts w:ascii="Arial" w:eastAsiaTheme="minorHAnsi" w:hAnsi="Arial" w:cs="Noto Sans Display"/>
      <w:sz w:val="22"/>
      <w:szCs w:val="22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6060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6024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024"/>
    <w:rPr>
      <w:rFonts w:ascii="Arial" w:eastAsiaTheme="minorHAnsi" w:hAnsi="Arial" w:cs="Noto Sans Display"/>
      <w:sz w:val="18"/>
      <w:szCs w:val="22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06024"/>
    <w:rPr>
      <w:rFonts w:ascii="Arial" w:eastAsiaTheme="minorHAnsi" w:hAnsi="Arial" w:cs="Noto Sans Display"/>
      <w:b/>
      <w:bCs/>
      <w:sz w:val="18"/>
      <w:szCs w:val="22"/>
      <w:lang w:val="fr-FR" w:eastAsia="en-US"/>
    </w:rPr>
  </w:style>
  <w:style w:type="character" w:styleId="Mention">
    <w:name w:val="Mention"/>
    <w:basedOn w:val="DefaultParagraphFont"/>
    <w:uiPriority w:val="99"/>
    <w:unhideWhenUsed/>
    <w:rsid w:val="00606024"/>
    <w:rPr>
      <w:color w:val="2B579A"/>
      <w:shd w:val="clear" w:color="auto" w:fill="E1DFDD"/>
    </w:rPr>
  </w:style>
  <w:style w:type="character" w:styleId="Hyperlink">
    <w:name w:val="Hyperlink"/>
    <w:basedOn w:val="DefaultParagraphFont"/>
    <w:semiHidden/>
    <w:unhideWhenUsed/>
    <w:rsid w:val="00757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ICSDBFP-360348501-19635</_dlc_DocId>
    <_dlc_DocIdUrl xmlns="ec94eb93-2160-433d-bc9d-10bdc50beb83">
      <Url>https://wipoprod.sharepoint.com/sites/SPS-INT-BFP-ICSD-CWS/_layouts/15/DocIdRedir.aspx?ID=ICSDBFP-360348501-19635</Url>
      <Description>ICSDBFP-360348501-19635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9AA37DF0-7A26-4885-92E9-F54E18C0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244</TotalTime>
  <Pages>7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CWS/13/14 Annex (French)</vt:lpstr>
    </vt:vector>
  </TitlesOfParts>
  <Company>WIPO</Company>
  <LinksUpToDate>false</LinksUpToDate>
  <CharactersWithSpaces>12994</CharactersWithSpaces>
  <SharedDoc>false</SharedDoc>
  <HLinks>
    <vt:vector size="6" baseType="variant"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mailto:erjola.murataj@wipo.int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Annex (French)</dc:title>
  <dc:subject>Rapport de l’Équipe d’experts chargée de l’échange de données sur la propriété intellectuelle sur la tâche n° 67</dc:subject>
  <dc:creator>WIPO</dc:creator>
  <cp:keywords>WIPO CWS treizième session, Rapport, Équipe d’experts chargée de l’échange de données sur la propriété intellectuelle, Annexe</cp:keywords>
  <cp:lastModifiedBy>Author</cp:lastModifiedBy>
  <cp:revision>238</cp:revision>
  <cp:lastPrinted>2025-10-30T15:22:00Z</cp:lastPrinted>
  <dcterms:created xsi:type="dcterms:W3CDTF">2025-06-20T09:56:00Z</dcterms:created>
  <dcterms:modified xsi:type="dcterms:W3CDTF">2025-10-30T15:22:00Z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1a73da6d-b2e6-435e-b5e1-97a16395efcd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2025-10-17T15:21:52Z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1b74672f-8fc1-45fd-9e69-f4a4ef2469bf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