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12B38" w14:textId="77777777" w:rsidR="008B2CC1" w:rsidRPr="00290DCD" w:rsidRDefault="00DB0349" w:rsidP="00DB0349">
      <w:pPr>
        <w:spacing w:after="120"/>
        <w:jc w:val="right"/>
      </w:pPr>
      <w:r w:rsidRPr="00290DCD">
        <w:rPr>
          <w:noProof/>
          <w:lang w:eastAsia="en-US"/>
        </w:rPr>
        <w:drawing>
          <wp:inline distT="0" distB="0" distL="0" distR="0" wp14:anchorId="7FA8A8D6" wp14:editId="046204A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290DCD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3F59CF64" wp14:editId="7375FCCD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F8B8AD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1B3B9F8" w14:textId="3BEC73BE" w:rsidR="008B2CC1" w:rsidRPr="00290DCD" w:rsidRDefault="00197881" w:rsidP="00DB0349">
      <w:pPr>
        <w:jc w:val="right"/>
        <w:rPr>
          <w:rFonts w:ascii="Arial Black" w:hAnsi="Arial Black"/>
          <w:caps/>
          <w:sz w:val="15"/>
          <w:szCs w:val="15"/>
        </w:rPr>
      </w:pPr>
      <w:r w:rsidRPr="00290DCD">
        <w:rPr>
          <w:rFonts w:ascii="Arial Black" w:hAnsi="Arial Black"/>
          <w:caps/>
          <w:sz w:val="15"/>
          <w:szCs w:val="15"/>
        </w:rPr>
        <w:t>CWS/1</w:t>
      </w:r>
      <w:r w:rsidR="005A3309" w:rsidRPr="00290DCD">
        <w:rPr>
          <w:rFonts w:ascii="Arial Black" w:hAnsi="Arial Black"/>
          <w:caps/>
          <w:sz w:val="15"/>
          <w:szCs w:val="15"/>
        </w:rPr>
        <w:t>3</w:t>
      </w:r>
      <w:r w:rsidRPr="00290DCD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F46566">
        <w:rPr>
          <w:rFonts w:ascii="Arial Black" w:hAnsi="Arial Black"/>
          <w:caps/>
          <w:sz w:val="15"/>
          <w:szCs w:val="15"/>
        </w:rPr>
        <w:t>13</w:t>
      </w:r>
    </w:p>
    <w:p w14:paraId="06F22288" w14:textId="693274EE" w:rsidR="008B2CC1" w:rsidRPr="00290DCD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 w:rsidRPr="00290DCD">
        <w:rPr>
          <w:rFonts w:ascii="Arial Black" w:hAnsi="Arial Black"/>
          <w:caps/>
          <w:sz w:val="15"/>
          <w:szCs w:val="15"/>
        </w:rPr>
        <w:t>Original</w:t>
      </w:r>
      <w:r w:rsidR="009351FC">
        <w:rPr>
          <w:rFonts w:ascii="Arial Black" w:hAnsi="Arial Black"/>
          <w:caps/>
          <w:sz w:val="15"/>
          <w:szCs w:val="15"/>
        </w:rPr>
        <w:t> :</w:t>
      </w:r>
      <w:r w:rsidRPr="00290DCD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F46566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1223812B" w14:textId="14CD956C" w:rsidR="008B2CC1" w:rsidRPr="00290DCD" w:rsidRDefault="00B66A77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</w:t>
      </w:r>
      <w:r w:rsidR="00DB0349" w:rsidRPr="00290DCD">
        <w:rPr>
          <w:rFonts w:ascii="Arial Black" w:hAnsi="Arial Black"/>
          <w:caps/>
          <w:sz w:val="15"/>
          <w:szCs w:val="15"/>
        </w:rPr>
        <w:t>ate</w:t>
      </w:r>
      <w:r w:rsidR="009351FC">
        <w:rPr>
          <w:rFonts w:ascii="Arial Black" w:hAnsi="Arial Black"/>
          <w:caps/>
          <w:sz w:val="15"/>
          <w:szCs w:val="15"/>
        </w:rPr>
        <w:t> :</w:t>
      </w:r>
      <w:r w:rsidR="00DB0349" w:rsidRPr="00290DCD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F46566">
        <w:rPr>
          <w:rFonts w:ascii="Arial Black" w:hAnsi="Arial Black"/>
          <w:caps/>
          <w:sz w:val="15"/>
          <w:szCs w:val="15"/>
        </w:rPr>
        <w:t>27 août 2025</w:t>
      </w:r>
    </w:p>
    <w:bookmarkEnd w:id="2"/>
    <w:p w14:paraId="771F0637" w14:textId="45B446FC" w:rsidR="00C40E15" w:rsidRPr="00290DCD" w:rsidRDefault="00197881" w:rsidP="00DB0349">
      <w:pPr>
        <w:spacing w:after="600"/>
        <w:rPr>
          <w:b/>
          <w:sz w:val="28"/>
          <w:szCs w:val="28"/>
        </w:rPr>
      </w:pPr>
      <w:r w:rsidRPr="00290DCD">
        <w:rPr>
          <w:b/>
          <w:sz w:val="28"/>
          <w:szCs w:val="28"/>
        </w:rPr>
        <w:t>Comité des normes de l</w:t>
      </w:r>
      <w:r w:rsidR="009351FC">
        <w:rPr>
          <w:b/>
          <w:sz w:val="28"/>
          <w:szCs w:val="28"/>
        </w:rPr>
        <w:t>’</w:t>
      </w:r>
      <w:r w:rsidRPr="00290DCD">
        <w:rPr>
          <w:b/>
          <w:sz w:val="28"/>
          <w:szCs w:val="28"/>
        </w:rPr>
        <w:t>OMPI (CWS)</w:t>
      </w:r>
    </w:p>
    <w:p w14:paraId="7C3E63A3" w14:textId="4A406945" w:rsidR="008B2CC1" w:rsidRPr="00290DCD" w:rsidRDefault="0099108F" w:rsidP="008B2CC1">
      <w:pPr>
        <w:rPr>
          <w:b/>
          <w:sz w:val="28"/>
          <w:szCs w:val="24"/>
        </w:rPr>
      </w:pPr>
      <w:r w:rsidRPr="00290DCD">
        <w:rPr>
          <w:b/>
          <w:sz w:val="24"/>
        </w:rPr>
        <w:t>Treiz</w:t>
      </w:r>
      <w:r w:rsidR="009351FC">
        <w:rPr>
          <w:b/>
          <w:sz w:val="24"/>
        </w:rPr>
        <w:t>ième session</w:t>
      </w:r>
    </w:p>
    <w:p w14:paraId="00816791" w14:textId="77777777" w:rsidR="008B2CC1" w:rsidRPr="00290DCD" w:rsidRDefault="00197881" w:rsidP="00DB0349">
      <w:pPr>
        <w:spacing w:after="720"/>
        <w:rPr>
          <w:b/>
          <w:sz w:val="28"/>
          <w:szCs w:val="24"/>
        </w:rPr>
      </w:pPr>
      <w:r w:rsidRPr="00290DCD">
        <w:rPr>
          <w:b/>
          <w:sz w:val="24"/>
        </w:rPr>
        <w:t>Genève,</w:t>
      </w:r>
      <w:r w:rsidR="001352EC" w:rsidRPr="00290DCD">
        <w:rPr>
          <w:b/>
          <w:sz w:val="24"/>
        </w:rPr>
        <w:t xml:space="preserve"> 1</w:t>
      </w:r>
      <w:r w:rsidR="0099108F" w:rsidRPr="00290DCD">
        <w:rPr>
          <w:b/>
          <w:sz w:val="24"/>
        </w:rPr>
        <w:t>0</w:t>
      </w:r>
      <w:r w:rsidR="001352EC" w:rsidRPr="00290DCD">
        <w:rPr>
          <w:b/>
          <w:sz w:val="24"/>
        </w:rPr>
        <w:t xml:space="preserve"> – </w:t>
      </w:r>
      <w:r w:rsidR="0099108F" w:rsidRPr="00290DCD">
        <w:rPr>
          <w:b/>
          <w:sz w:val="24"/>
        </w:rPr>
        <w:t>14 nov</w:t>
      </w:r>
      <w:r w:rsidR="001352EC" w:rsidRPr="00290DCD">
        <w:rPr>
          <w:b/>
          <w:sz w:val="24"/>
        </w:rPr>
        <w:t>embre</w:t>
      </w:r>
      <w:r w:rsidR="0099108F" w:rsidRPr="00290DCD">
        <w:rPr>
          <w:b/>
          <w:sz w:val="24"/>
        </w:rPr>
        <w:t> </w:t>
      </w:r>
      <w:r w:rsidR="001352EC" w:rsidRPr="00290DCD">
        <w:rPr>
          <w:b/>
          <w:sz w:val="24"/>
        </w:rPr>
        <w:t>202</w:t>
      </w:r>
      <w:r w:rsidR="0099108F" w:rsidRPr="00290DCD">
        <w:rPr>
          <w:b/>
          <w:sz w:val="24"/>
        </w:rPr>
        <w:t>5</w:t>
      </w:r>
    </w:p>
    <w:p w14:paraId="3752FF44" w14:textId="2FB6D07D" w:rsidR="009351FC" w:rsidRDefault="009351FC" w:rsidP="009351FC">
      <w:pPr>
        <w:spacing w:after="360"/>
        <w:rPr>
          <w:caps/>
          <w:sz w:val="24"/>
        </w:rPr>
      </w:pPr>
      <w:r w:rsidRPr="009351FC">
        <w:rPr>
          <w:caps/>
          <w:sz w:val="24"/>
        </w:rPr>
        <w:t>Rapport sur la tâche n° 66 de l</w:t>
      </w:r>
      <w:r>
        <w:rPr>
          <w:caps/>
          <w:sz w:val="24"/>
        </w:rPr>
        <w:t>’</w:t>
      </w:r>
      <w:r w:rsidRPr="009351FC">
        <w:rPr>
          <w:caps/>
          <w:sz w:val="24"/>
        </w:rPr>
        <w:t>Équipe d</w:t>
      </w:r>
      <w:r>
        <w:rPr>
          <w:caps/>
          <w:sz w:val="24"/>
        </w:rPr>
        <w:t>’</w:t>
      </w:r>
      <w:r w:rsidRPr="009351FC">
        <w:rPr>
          <w:caps/>
          <w:sz w:val="24"/>
        </w:rPr>
        <w:t>experts chargée du fichier d</w:t>
      </w:r>
      <w:r>
        <w:rPr>
          <w:caps/>
          <w:sz w:val="24"/>
        </w:rPr>
        <w:t>’</w:t>
      </w:r>
      <w:r w:rsidRPr="009351FC">
        <w:rPr>
          <w:caps/>
          <w:sz w:val="24"/>
        </w:rPr>
        <w:t>autorité</w:t>
      </w:r>
    </w:p>
    <w:p w14:paraId="21681322" w14:textId="182A42C1" w:rsidR="00F46566" w:rsidRDefault="00F46566" w:rsidP="00F46566">
      <w:pPr>
        <w:spacing w:after="960"/>
        <w:rPr>
          <w:i/>
          <w:iCs/>
        </w:rPr>
      </w:pPr>
      <w:r>
        <w:rPr>
          <w:i/>
        </w:rPr>
        <w:t>Document établi par le responsable de l</w:t>
      </w:r>
      <w:r w:rsidR="009351FC">
        <w:rPr>
          <w:i/>
        </w:rPr>
        <w:t>’</w:t>
      </w:r>
      <w:r>
        <w:rPr>
          <w:i/>
        </w:rPr>
        <w:t>Équipe d</w:t>
      </w:r>
      <w:r w:rsidR="009351FC">
        <w:rPr>
          <w:i/>
        </w:rPr>
        <w:t>’</w:t>
      </w:r>
      <w:r>
        <w:rPr>
          <w:i/>
        </w:rPr>
        <w:t>experts chargée du fichier d</w:t>
      </w:r>
      <w:r w:rsidR="009351FC">
        <w:rPr>
          <w:i/>
        </w:rPr>
        <w:t>’</w:t>
      </w:r>
      <w:r>
        <w:rPr>
          <w:i/>
        </w:rPr>
        <w:t>autorité</w:t>
      </w:r>
    </w:p>
    <w:p w14:paraId="30B2C749" w14:textId="77777777" w:rsidR="00F46566" w:rsidRDefault="00F46566" w:rsidP="00750DB7">
      <w:pPr>
        <w:pStyle w:val="Heading2"/>
      </w:pPr>
      <w:r>
        <w:t>Résumé</w:t>
      </w:r>
    </w:p>
    <w:p w14:paraId="55EAE4D0" w14:textId="20127B46" w:rsidR="009351FC" w:rsidRDefault="00F46566" w:rsidP="009351FC">
      <w:pPr>
        <w:pStyle w:val="ONUMFS"/>
      </w:pPr>
      <w:r>
        <w:t>L</w:t>
      </w:r>
      <w:r w:rsidR="009351FC">
        <w:t>’</w:t>
      </w:r>
      <w:r>
        <w:t>Équipe d</w:t>
      </w:r>
      <w:r w:rsidR="009351FC">
        <w:t>’</w:t>
      </w:r>
      <w:r>
        <w:t>experts chargée du fichier d</w:t>
      </w:r>
      <w:r w:rsidR="009351FC">
        <w:t>’</w:t>
      </w:r>
      <w:r>
        <w:t>autorité présente un rapport sur l</w:t>
      </w:r>
      <w:r w:rsidR="009351FC">
        <w:t>’</w:t>
      </w:r>
      <w:r>
        <w:t>état d</w:t>
      </w:r>
      <w:r w:rsidR="009351FC">
        <w:t>’</w:t>
      </w:r>
      <w:r>
        <w:t>avancement de la tâche n° 66, décrivant les travaux qu</w:t>
      </w:r>
      <w:r w:rsidR="009351FC">
        <w:t>’</w:t>
      </w:r>
      <w:r>
        <w:t>elle a menés pour aider les offices de propriété intellectuelle dans la création de fichiers d</w:t>
      </w:r>
      <w:r w:rsidR="009351FC">
        <w:t>’</w:t>
      </w:r>
      <w:r>
        <w:t>autorité conformes à la norme ST.37 de l</w:t>
      </w:r>
      <w:r w:rsidR="009351FC">
        <w:t>’</w:t>
      </w:r>
      <w:r>
        <w:t>OMPI.  L</w:t>
      </w:r>
      <w:r w:rsidR="009351FC">
        <w:t>’</w:t>
      </w:r>
      <w:r>
        <w:t>équipe d</w:t>
      </w:r>
      <w:r w:rsidR="009351FC">
        <w:t>’</w:t>
      </w:r>
      <w:r>
        <w:t>experts a préparé une version révisée de la norme ST.37 de l</w:t>
      </w:r>
      <w:r w:rsidR="009351FC">
        <w:t>’</w:t>
      </w:r>
      <w:r>
        <w:t>OMPI, la version 2.3, pour examen et approbation par le Comité des normes de l</w:t>
      </w:r>
      <w:r w:rsidR="009351FC">
        <w:t>’</w:t>
      </w:r>
      <w:r>
        <w:t>OMPI (CWS).  Elle a également examiné les améliorations qui pourraient être apportées au portail d</w:t>
      </w:r>
      <w:r w:rsidR="009351FC">
        <w:t>’</w:t>
      </w:r>
      <w:r>
        <w:t>accès aux fichiers d</w:t>
      </w:r>
      <w:r w:rsidR="009351FC">
        <w:t>’</w:t>
      </w:r>
      <w:r>
        <w:t>autorité.</w:t>
      </w:r>
    </w:p>
    <w:p w14:paraId="5365788C" w14:textId="77777777" w:rsidR="009351FC" w:rsidRDefault="00F46566" w:rsidP="00750DB7">
      <w:pPr>
        <w:pStyle w:val="Heading2"/>
      </w:pPr>
      <w:r>
        <w:t>Informations générales</w:t>
      </w:r>
    </w:p>
    <w:p w14:paraId="7E4899B5" w14:textId="1389B49C" w:rsidR="009351FC" w:rsidRDefault="00F46566" w:rsidP="009351FC">
      <w:pPr>
        <w:pStyle w:val="ONUMFS"/>
      </w:pPr>
      <w:r>
        <w:t>À sa douz</w:t>
      </w:r>
      <w:r w:rsidR="009351FC">
        <w:t>ième session</w:t>
      </w:r>
      <w:r>
        <w:t>, le CWS est convenu de relancer l</w:t>
      </w:r>
      <w:r w:rsidR="009351FC">
        <w:t>’</w:t>
      </w:r>
      <w:r>
        <w:t>Équipe d</w:t>
      </w:r>
      <w:r w:rsidR="009351FC">
        <w:t>’</w:t>
      </w:r>
      <w:r>
        <w:t>experts chargée du fichier d</w:t>
      </w:r>
      <w:r w:rsidR="009351FC">
        <w:t>’</w:t>
      </w:r>
      <w:r>
        <w:t>autorité pour aider les offices de propriété intellectuelle qui produisent des fichiers d</w:t>
      </w:r>
      <w:r w:rsidR="009351FC">
        <w:t>’</w:t>
      </w:r>
      <w:r>
        <w:t>autorité conformes à la norme ST.27 de l</w:t>
      </w:r>
      <w:r w:rsidR="009351FC">
        <w:t>’</w:t>
      </w:r>
      <w:r>
        <w:t>OMPI, en particulier ceux qui visent à satisfaire aux nouvelles exigences relatives à la documentation minimale du Traité de coopération en matière de brevets (PCT).  La tâche n° 66 a été confiée à l</w:t>
      </w:r>
      <w:r w:rsidR="009351FC">
        <w:t>’</w:t>
      </w:r>
      <w:r>
        <w:t>équipe d</w:t>
      </w:r>
      <w:r w:rsidR="009351FC">
        <w:t>’</w:t>
      </w:r>
      <w:r>
        <w:t>experts ainsi réactivée et l</w:t>
      </w:r>
      <w:r w:rsidR="009351FC">
        <w:t>’</w:t>
      </w:r>
      <w:r>
        <w:t>Office de la propriété intellectuelle du Royaume</w:t>
      </w:r>
      <w:r w:rsidR="00750DB7">
        <w:noBreakHyphen/>
      </w:r>
      <w:r>
        <w:t>Uni (UKIPO) a été désigné comme responsable de l</w:t>
      </w:r>
      <w:r w:rsidR="009351FC">
        <w:t>’</w:t>
      </w:r>
      <w:r>
        <w:t>équipe d</w:t>
      </w:r>
      <w:r w:rsidR="009351FC">
        <w:t>’</w:t>
      </w:r>
      <w:r>
        <w:t>exper</w:t>
      </w:r>
      <w:r w:rsidR="00E22742">
        <w:t>ts.  Av</w:t>
      </w:r>
      <w:r>
        <w:t>ec le soutien de plusieurs délégations, la description suivante de la tâche n° 66 a été approuvée</w:t>
      </w:r>
      <w:r w:rsidR="009351FC">
        <w:t> :</w:t>
      </w:r>
    </w:p>
    <w:p w14:paraId="7E314582" w14:textId="2F71B9C3" w:rsidR="00F46566" w:rsidRPr="005A1F36" w:rsidRDefault="00F46566" w:rsidP="00750DB7">
      <w:pPr>
        <w:pStyle w:val="ONUMFS"/>
        <w:numPr>
          <w:ilvl w:val="0"/>
          <w:numId w:val="0"/>
        </w:numPr>
        <w:ind w:left="567"/>
        <w:rPr>
          <w:szCs w:val="22"/>
        </w:rPr>
      </w:pPr>
      <w:r>
        <w:t>“Veiller à ce que les offices de propriété intellectuelle transmettent leur fichier d</w:t>
      </w:r>
      <w:r w:rsidR="009351FC">
        <w:t>’</w:t>
      </w:r>
      <w:r>
        <w:t>autorité en matière de brevets conforme à la norme ST.37 de l</w:t>
      </w:r>
      <w:r w:rsidR="009351FC">
        <w:t>’</w:t>
      </w:r>
      <w:r>
        <w:t>OMPI en fournissant tout appui technique ou toute formation nécessaire, en fonction des ressources disponibles;  et procéder aux révisions et mises à jour nécessaires de la norme ST.37 de l</w:t>
      </w:r>
      <w:r w:rsidR="009351FC">
        <w:t>’</w:t>
      </w:r>
      <w:r>
        <w:t>OMPI”.</w:t>
      </w:r>
    </w:p>
    <w:p w14:paraId="43448CBB" w14:textId="4598D9D1" w:rsidR="00F46566" w:rsidRDefault="00750DB7" w:rsidP="00750DB7">
      <w:pPr>
        <w:pStyle w:val="Heading2"/>
      </w:pPr>
      <w:r>
        <w:lastRenderedPageBreak/>
        <w:t>Rapport sur l’état d’avancement de la tâche n° 66</w:t>
      </w:r>
    </w:p>
    <w:p w14:paraId="37D7A931" w14:textId="77777777" w:rsidR="00F46566" w:rsidRPr="00497274" w:rsidRDefault="00F46566" w:rsidP="00750DB7">
      <w:pPr>
        <w:pStyle w:val="Heading3"/>
      </w:pPr>
      <w:r>
        <w:t>Objectifs</w:t>
      </w:r>
    </w:p>
    <w:p w14:paraId="67828CAC" w14:textId="13C9CFDA" w:rsidR="00F46566" w:rsidRDefault="00F46566" w:rsidP="00750DB7">
      <w:pPr>
        <w:pStyle w:val="ONUMFS"/>
        <w:spacing w:after="120"/>
      </w:pPr>
      <w:r>
        <w:t>Les objectifs que l</w:t>
      </w:r>
      <w:r w:rsidR="009351FC">
        <w:t>’</w:t>
      </w:r>
      <w:r>
        <w:t>Équipe d</w:t>
      </w:r>
      <w:r w:rsidR="009351FC">
        <w:t>’</w:t>
      </w:r>
      <w:r>
        <w:t>experts chargée du fichier d</w:t>
      </w:r>
      <w:r w:rsidR="009351FC">
        <w:t>’</w:t>
      </w:r>
      <w:r>
        <w:t>autorité souhaiterait atteindre dans le cadre de la tâche n° 66 sont les suivants</w:t>
      </w:r>
      <w:r w:rsidR="009351FC">
        <w:t> :</w:t>
      </w:r>
    </w:p>
    <w:p w14:paraId="165B9474" w14:textId="7B27154C" w:rsidR="00F46566" w:rsidRDefault="00F46566" w:rsidP="00750DB7">
      <w:pPr>
        <w:pStyle w:val="ONUMFS"/>
        <w:numPr>
          <w:ilvl w:val="0"/>
          <w:numId w:val="11"/>
        </w:numPr>
        <w:tabs>
          <w:tab w:val="clear" w:pos="567"/>
          <w:tab w:val="num" w:pos="1134"/>
        </w:tabs>
        <w:spacing w:after="120"/>
        <w:ind w:left="1134" w:hanging="567"/>
      </w:pPr>
      <w:proofErr w:type="gramStart"/>
      <w:r>
        <w:t>réviser</w:t>
      </w:r>
      <w:proofErr w:type="gramEnd"/>
      <w:r>
        <w:t xml:space="preserve"> la norme ST.37 de l</w:t>
      </w:r>
      <w:r w:rsidR="009351FC">
        <w:t>’</w:t>
      </w:r>
      <w:r>
        <w:t>OMPI afin de simplifier et de clarifier le texte pour aboutir à la version 2.3;</w:t>
      </w:r>
    </w:p>
    <w:p w14:paraId="525AE42E" w14:textId="21B81B87" w:rsidR="00F46566" w:rsidRDefault="00F46566" w:rsidP="00750DB7">
      <w:pPr>
        <w:pStyle w:val="ONUMFS"/>
        <w:numPr>
          <w:ilvl w:val="0"/>
          <w:numId w:val="11"/>
        </w:numPr>
        <w:tabs>
          <w:tab w:val="clear" w:pos="567"/>
          <w:tab w:val="num" w:pos="1134"/>
        </w:tabs>
        <w:spacing w:after="120"/>
        <w:ind w:left="1134" w:hanging="567"/>
      </w:pPr>
      <w:proofErr w:type="gramStart"/>
      <w:r>
        <w:t>aider</w:t>
      </w:r>
      <w:proofErr w:type="gramEnd"/>
      <w:r>
        <w:t xml:space="preserve"> les offices de propriété intellectuelle à créer un fichier d</w:t>
      </w:r>
      <w:r w:rsidR="009351FC">
        <w:t>’</w:t>
      </w:r>
      <w:r>
        <w:t>autorité conforme à la norme ST.37 de l</w:t>
      </w:r>
      <w:r w:rsidR="009351FC">
        <w:t>’</w:t>
      </w:r>
      <w:r>
        <w:t>OMPI;</w:t>
      </w:r>
    </w:p>
    <w:p w14:paraId="03F0A1D7" w14:textId="77777777" w:rsidR="00F46566" w:rsidRDefault="00F46566" w:rsidP="00750DB7">
      <w:pPr>
        <w:pStyle w:val="ONUMFS"/>
        <w:numPr>
          <w:ilvl w:val="0"/>
          <w:numId w:val="11"/>
        </w:numPr>
        <w:tabs>
          <w:tab w:val="clear" w:pos="567"/>
          <w:tab w:val="num" w:pos="1134"/>
        </w:tabs>
        <w:spacing w:after="120"/>
        <w:ind w:left="1134" w:hanging="567"/>
      </w:pPr>
      <w:proofErr w:type="gramStart"/>
      <w:r>
        <w:t>aider</w:t>
      </w:r>
      <w:proofErr w:type="gramEnd"/>
      <w:r>
        <w:t xml:space="preserve"> les offices de propriété intellectuelle concernés à comprendre les nouvelles exigences relatives à la documentation minimale du PCT;</w:t>
      </w:r>
    </w:p>
    <w:p w14:paraId="417D6283" w14:textId="1881C165" w:rsidR="00F46566" w:rsidRDefault="00F46566" w:rsidP="00750DB7">
      <w:pPr>
        <w:pStyle w:val="ONUMFS"/>
        <w:numPr>
          <w:ilvl w:val="0"/>
          <w:numId w:val="11"/>
        </w:numPr>
        <w:tabs>
          <w:tab w:val="clear" w:pos="567"/>
          <w:tab w:val="num" w:pos="1134"/>
        </w:tabs>
        <w:spacing w:after="120"/>
        <w:ind w:left="1134" w:hanging="567"/>
      </w:pPr>
      <w:proofErr w:type="gramStart"/>
      <w:r>
        <w:t>déterminer</w:t>
      </w:r>
      <w:proofErr w:type="gramEnd"/>
      <w:r>
        <w:t xml:space="preserve"> les mises à jour nécessaires du portail d</w:t>
      </w:r>
      <w:r w:rsidR="009351FC">
        <w:t>’</w:t>
      </w:r>
      <w:r>
        <w:t>accès aux fichiers d</w:t>
      </w:r>
      <w:r w:rsidR="009351FC">
        <w:t>’</w:t>
      </w:r>
      <w:r>
        <w:t>autorité;  et</w:t>
      </w:r>
    </w:p>
    <w:p w14:paraId="02391848" w14:textId="169F0505" w:rsidR="00F46566" w:rsidRPr="00D06E8C" w:rsidRDefault="00F46566" w:rsidP="00750DB7">
      <w:pPr>
        <w:pStyle w:val="ONUMFS"/>
        <w:numPr>
          <w:ilvl w:val="0"/>
          <w:numId w:val="11"/>
        </w:numPr>
        <w:tabs>
          <w:tab w:val="clear" w:pos="567"/>
          <w:tab w:val="num" w:pos="1134"/>
        </w:tabs>
        <w:ind w:left="1134" w:hanging="567"/>
      </w:pPr>
      <w:proofErr w:type="gramStart"/>
      <w:r>
        <w:t>augmenter</w:t>
      </w:r>
      <w:proofErr w:type="gramEnd"/>
      <w:r>
        <w:t xml:space="preserve"> le nombre de fichiers d</w:t>
      </w:r>
      <w:r w:rsidR="009351FC">
        <w:t>’</w:t>
      </w:r>
      <w:r>
        <w:t>autorité conformes à la norme ST.37 de l</w:t>
      </w:r>
      <w:r w:rsidR="009351FC">
        <w:t>’</w:t>
      </w:r>
      <w:r>
        <w:t>OMPI consultables par l</w:t>
      </w:r>
      <w:r w:rsidR="009351FC">
        <w:t>’</w:t>
      </w:r>
      <w:r>
        <w:t>intermédiaire du portail d</w:t>
      </w:r>
      <w:r w:rsidR="009351FC">
        <w:t>’</w:t>
      </w:r>
      <w:r>
        <w:t>accès aux fichiers d</w:t>
      </w:r>
      <w:r w:rsidR="009351FC">
        <w:t>’</w:t>
      </w:r>
      <w:r>
        <w:t>autorité de l</w:t>
      </w:r>
      <w:r w:rsidR="009351FC">
        <w:t>’</w:t>
      </w:r>
      <w:r>
        <w:t>OMPI</w:t>
      </w:r>
      <w:r w:rsidR="00750DB7">
        <w:t>.</w:t>
      </w:r>
    </w:p>
    <w:p w14:paraId="636529B7" w14:textId="77777777" w:rsidR="00F46566" w:rsidRDefault="00F46566" w:rsidP="00750DB7">
      <w:pPr>
        <w:pStyle w:val="Heading3"/>
      </w:pPr>
      <w:r>
        <w:t>Progrès accomplis</w:t>
      </w:r>
    </w:p>
    <w:p w14:paraId="0E26C5A4" w14:textId="52BB415D" w:rsidR="009351FC" w:rsidRDefault="00F46566" w:rsidP="009351FC">
      <w:pPr>
        <w:pStyle w:val="ONUMFS"/>
      </w:pPr>
      <w:r>
        <w:t>Depuis la douz</w:t>
      </w:r>
      <w:r w:rsidR="009351FC">
        <w:t>ième session</w:t>
      </w:r>
      <w:r>
        <w:t xml:space="preserve"> du CWS, l</w:t>
      </w:r>
      <w:r w:rsidR="009351FC">
        <w:t>’</w:t>
      </w:r>
      <w:r>
        <w:t>équipe d</w:t>
      </w:r>
      <w:r w:rsidR="009351FC">
        <w:t>’</w:t>
      </w:r>
      <w:r>
        <w:t>experts a tenu un atelier d</w:t>
      </w:r>
      <w:r w:rsidR="009351FC">
        <w:t>’</w:t>
      </w:r>
      <w:r>
        <w:t>une journée dans un format hybride à Genève, auquel six offices ont participé sur place et 15 autres offices en ligne, et a tenu deux réunions en ligne en avril et en juin 2025.</w:t>
      </w:r>
    </w:p>
    <w:p w14:paraId="49069575" w14:textId="24C3AB3E" w:rsidR="00F46566" w:rsidRDefault="00F46566" w:rsidP="009351FC">
      <w:pPr>
        <w:pStyle w:val="ONUMFS"/>
      </w:pPr>
      <w:r>
        <w:t>Durant l</w:t>
      </w:r>
      <w:r w:rsidR="009351FC">
        <w:t>’</w:t>
      </w:r>
      <w:r>
        <w:t>atelier hybride, un certain nombre de questions en suspens ont été examinées afin de déterminer les révisions nécessaires à apporter à la norme, notamment</w:t>
      </w:r>
      <w:r w:rsidR="009351FC">
        <w:t> :</w:t>
      </w:r>
    </w:p>
    <w:p w14:paraId="1CA07FD3" w14:textId="7328CB68" w:rsidR="00F46566" w:rsidRDefault="00F46566" w:rsidP="00750DB7">
      <w:pPr>
        <w:pStyle w:val="ONUMFS"/>
        <w:numPr>
          <w:ilvl w:val="1"/>
          <w:numId w:val="6"/>
        </w:numPr>
        <w:ind w:left="1134" w:hanging="567"/>
      </w:pPr>
      <w:r>
        <w:rPr>
          <w:u w:val="single"/>
        </w:rPr>
        <w:t>Les codes d</w:t>
      </w:r>
      <w:r w:rsidR="009351FC">
        <w:rPr>
          <w:u w:val="single"/>
        </w:rPr>
        <w:t>’</w:t>
      </w:r>
      <w:r>
        <w:rPr>
          <w:u w:val="single"/>
        </w:rPr>
        <w:t>exception</w:t>
      </w:r>
      <w:r w:rsidR="009351FC">
        <w:t> :</w:t>
      </w:r>
      <w:r>
        <w:t xml:space="preserve"> les codes d</w:t>
      </w:r>
      <w:r w:rsidR="009351FC">
        <w:t>’</w:t>
      </w:r>
      <w:r>
        <w:t>exception sont une source de confusion pour de nombreux offices de propriété intellectuelle et cet examen était essentiel pour aider les membres de l</w:t>
      </w:r>
      <w:r w:rsidR="009351FC">
        <w:t>’</w:t>
      </w:r>
      <w:r>
        <w:t>équipe d</w:t>
      </w:r>
      <w:r w:rsidR="009351FC">
        <w:t>’</w:t>
      </w:r>
      <w:r>
        <w:t>experts à comprendre la différence entre les codes d</w:t>
      </w:r>
      <w:r w:rsidR="009351FC">
        <w:t>’</w:t>
      </w:r>
      <w:r>
        <w:t>exception et les indicateurs de possibilité d</w:t>
      </w:r>
      <w:r w:rsidR="009351FC">
        <w:t>’</w:t>
      </w:r>
      <w:r>
        <w:t>effectuer une recherche textuelle, ainsi que pour réviser les codes d</w:t>
      </w:r>
      <w:r w:rsidR="009351FC">
        <w:t>’</w:t>
      </w:r>
      <w:r>
        <w:t>exception et améliorer les définitions associées.</w:t>
      </w:r>
    </w:p>
    <w:p w14:paraId="54547EB8" w14:textId="0961A6F8" w:rsidR="00F46566" w:rsidRPr="00E727AD" w:rsidRDefault="00F46566" w:rsidP="00750DB7">
      <w:pPr>
        <w:pStyle w:val="ONUMFS"/>
        <w:numPr>
          <w:ilvl w:val="1"/>
          <w:numId w:val="6"/>
        </w:numPr>
        <w:ind w:left="1134" w:hanging="567"/>
      </w:pPr>
      <w:r>
        <w:rPr>
          <w:u w:val="single"/>
        </w:rPr>
        <w:t>Indicateurs de possibilité de recherche textuelle</w:t>
      </w:r>
      <w:r w:rsidR="009351FC">
        <w:t> :</w:t>
      </w:r>
      <w:r>
        <w:t xml:space="preserve"> ces indicateurs engendraient également de la confusion pour les offices, en particulier l</w:t>
      </w:r>
      <w:r w:rsidR="009351FC">
        <w:t>’</w:t>
      </w:r>
      <w:r>
        <w:t>utilisation de l</w:t>
      </w:r>
      <w:r w:rsidR="009351FC">
        <w:t>’</w:t>
      </w:r>
      <w:r>
        <w:t>indicateur “U” par rapport à l</w:t>
      </w:r>
      <w:r w:rsidR="009351FC">
        <w:t>’</w:t>
      </w:r>
      <w:r>
        <w:t>indicateur “N”.  Il a été convenu de supprimer l</w:t>
      </w:r>
      <w:r w:rsidR="009351FC">
        <w:t>’</w:t>
      </w:r>
      <w:r>
        <w:t>indicateur de possibilité de recherche textuelle “U” de la nor</w:t>
      </w:r>
      <w:r w:rsidR="00E22742">
        <w:t>me.  Ce</w:t>
      </w:r>
      <w:r>
        <w:t>la signifie soit qu</w:t>
      </w:r>
      <w:r w:rsidR="009351FC">
        <w:t>’</w:t>
      </w:r>
      <w:r>
        <w:t>un ou des codes de langue seront affectés à l</w:t>
      </w:r>
      <w:r w:rsidR="009351FC">
        <w:t>’</w:t>
      </w:r>
      <w:r>
        <w:t>abrégé, à la description ou aux revendications pour indiquer la ou les langues dans lesquelles ils ont été publiés, soit qu</w:t>
      </w:r>
      <w:r w:rsidR="009351FC">
        <w:t>’</w:t>
      </w:r>
      <w:r>
        <w:t>une section donnée d</w:t>
      </w:r>
      <w:r w:rsidR="009351FC">
        <w:t>’</w:t>
      </w:r>
      <w:r>
        <w:t>un document n</w:t>
      </w:r>
      <w:r w:rsidR="009351FC">
        <w:t>’</w:t>
      </w:r>
      <w:r>
        <w:t>est pas dans un format se prêtant à une recherche textuelle à ce moment</w:t>
      </w:r>
      <w:r w:rsidR="00750DB7">
        <w:noBreakHyphen/>
      </w:r>
      <w:r>
        <w:t>là, ce qui sera indiqué par un “N”.</w:t>
      </w:r>
    </w:p>
    <w:p w14:paraId="488E341B" w14:textId="0AA1F519" w:rsidR="00F46566" w:rsidRDefault="00F46566" w:rsidP="00750DB7">
      <w:pPr>
        <w:pStyle w:val="ONUMFS"/>
        <w:numPr>
          <w:ilvl w:val="1"/>
          <w:numId w:val="6"/>
        </w:numPr>
        <w:ind w:left="1134" w:hanging="567"/>
      </w:pPr>
      <w:r>
        <w:rPr>
          <w:u w:val="single"/>
        </w:rPr>
        <w:t>Éléments facultatifs</w:t>
      </w:r>
      <w:r w:rsidR="009351FC" w:rsidRPr="00750DB7">
        <w:t> :</w:t>
      </w:r>
      <w:r>
        <w:t xml:space="preserve"> pour donner suite à une déclaration des utilisateurs des fichiers d</w:t>
      </w:r>
      <w:r w:rsidR="009351FC">
        <w:t>’</w:t>
      </w:r>
      <w:r>
        <w:t>autorité, il a été convenu que les schémas devraient être affinés afin de permettre l</w:t>
      </w:r>
      <w:r w:rsidR="009351FC">
        <w:t>’</w:t>
      </w:r>
      <w:r>
        <w:t>absence de certains composants dans un élément de données facultatif, de manière que toutes les informations disponibles puissent être mises à disposition.</w:t>
      </w:r>
    </w:p>
    <w:p w14:paraId="1271D2CB" w14:textId="17E6BD0E" w:rsidR="00F46566" w:rsidRDefault="00F46566" w:rsidP="00750DB7">
      <w:pPr>
        <w:pStyle w:val="ONUMFS"/>
        <w:numPr>
          <w:ilvl w:val="1"/>
          <w:numId w:val="6"/>
        </w:numPr>
        <w:ind w:left="1134" w:hanging="567"/>
      </w:pPr>
      <w:r>
        <w:rPr>
          <w:u w:val="single"/>
        </w:rPr>
        <w:t>Format texte</w:t>
      </w:r>
      <w:r w:rsidR="009351FC">
        <w:t> :</w:t>
      </w:r>
      <w:r>
        <w:t xml:space="preserve"> alors que le consensus pour les offices souhaitant fournir autant de données facultatives prévues dans la norme que possible étaient qu</w:t>
      </w:r>
      <w:r w:rsidR="009351FC">
        <w:t>’</w:t>
      </w:r>
      <w:r>
        <w:t>ils mettent en œuvre soit le schéma XML (</w:t>
      </w:r>
      <w:proofErr w:type="spellStart"/>
      <w:r>
        <w:t>eXtensible</w:t>
      </w:r>
      <w:proofErr w:type="spellEnd"/>
      <w:r>
        <w:t xml:space="preserve"> Markup </w:t>
      </w:r>
      <w:proofErr w:type="spellStart"/>
      <w:r>
        <w:t>Language</w:t>
      </w:r>
      <w:proofErr w:type="spellEnd"/>
      <w:r>
        <w:t>), soit la définition de type de document (DTD), il a été convenu que tant que les informations fournies en format texte étaient claires et explicites, elles seraient utiles aux utilisateurs des données.</w:t>
      </w:r>
    </w:p>
    <w:p w14:paraId="33B06733" w14:textId="283EC4B0" w:rsidR="00F46566" w:rsidRPr="00E727AD" w:rsidRDefault="00F46566" w:rsidP="00750DB7">
      <w:pPr>
        <w:pStyle w:val="ONUMFS"/>
        <w:numPr>
          <w:ilvl w:val="1"/>
          <w:numId w:val="6"/>
        </w:numPr>
        <w:ind w:left="1134" w:hanging="567"/>
      </w:pPr>
      <w:r>
        <w:rPr>
          <w:u w:val="single"/>
        </w:rPr>
        <w:t>Schéma XML et DTD</w:t>
      </w:r>
      <w:r w:rsidR="009351FC">
        <w:t> :</w:t>
      </w:r>
      <w:r>
        <w:t xml:space="preserve"> après examen, il a été convenu qu</w:t>
      </w:r>
      <w:r w:rsidR="009351FC">
        <w:t>’</w:t>
      </w:r>
      <w:r>
        <w:t>il faudrait apporter quelques modifications mineures aux schém</w:t>
      </w:r>
      <w:r w:rsidR="00E22742">
        <w:t>as.  Ce</w:t>
      </w:r>
      <w:r>
        <w:t>s modifications comprennent une proposition visant à autoriser plusieurs séries de numéros dans la section définition du schéma.</w:t>
      </w:r>
    </w:p>
    <w:p w14:paraId="1173E4E0" w14:textId="5EF83419" w:rsidR="00F46566" w:rsidRDefault="00F46566" w:rsidP="00750DB7">
      <w:pPr>
        <w:pStyle w:val="ONUMFS"/>
        <w:numPr>
          <w:ilvl w:val="1"/>
          <w:numId w:val="6"/>
        </w:numPr>
        <w:ind w:left="1134" w:hanging="567"/>
      </w:pPr>
      <w:r>
        <w:rPr>
          <w:u w:val="single"/>
        </w:rPr>
        <w:t>Structure du document</w:t>
      </w:r>
      <w:r w:rsidR="009351FC">
        <w:t> :</w:t>
      </w:r>
      <w:r>
        <w:t xml:space="preserve"> un membre de l</w:t>
      </w:r>
      <w:r w:rsidR="009351FC">
        <w:t>’</w:t>
      </w:r>
      <w:r>
        <w:t>équipe d</w:t>
      </w:r>
      <w:r w:rsidR="009351FC">
        <w:t>’</w:t>
      </w:r>
      <w:r>
        <w:t>experts a proposé quelques simplifications de la structure de la norme, qui ont été bien accueillies par de nombreux participants et ont permis d</w:t>
      </w:r>
      <w:r w:rsidR="009351FC">
        <w:t>’</w:t>
      </w:r>
      <w:r>
        <w:t>améliorer considérablement le document.</w:t>
      </w:r>
    </w:p>
    <w:p w14:paraId="544E2D02" w14:textId="1F75C577" w:rsidR="009351FC" w:rsidRDefault="00F46566" w:rsidP="009351FC">
      <w:pPr>
        <w:pStyle w:val="ONUMFS"/>
      </w:pPr>
      <w:r>
        <w:t>Lors de la première réunion de l</w:t>
      </w:r>
      <w:r w:rsidR="009351FC">
        <w:t>’</w:t>
      </w:r>
      <w:r>
        <w:t>équipe d</w:t>
      </w:r>
      <w:r w:rsidR="009351FC">
        <w:t>’</w:t>
      </w:r>
      <w:r>
        <w:t>experts qui s</w:t>
      </w:r>
      <w:r w:rsidR="009351FC">
        <w:t>’</w:t>
      </w:r>
      <w:r>
        <w:t>est tenue en avril 2025, le Bureau international a présenté un exposé intitulé “Publications en texte intégral</w:t>
      </w:r>
      <w:r w:rsidR="009351FC">
        <w:t> :</w:t>
      </w:r>
      <w:r>
        <w:t xml:space="preserve"> qu</w:t>
      </w:r>
      <w:r w:rsidR="009351FC">
        <w:t>’</w:t>
      </w:r>
      <w:r>
        <w:t>est</w:t>
      </w:r>
      <w:r w:rsidR="00750DB7">
        <w:noBreakHyphen/>
      </w:r>
      <w:r>
        <w:t>ce qui est suffisant?”</w:t>
      </w:r>
      <w:r w:rsidR="00E22742">
        <w:t>.</w:t>
      </w:r>
      <w:r>
        <w:t xml:space="preserve">  Cet exposé a été bien accueilli par les participants à la réunion et a donné un bon aperçu de ce que les offices doivent faire pour satisfaire aux nouvelles exigences relatives à la documentation minimale du PCT, en termes de numérisation de leurs documents de brevet.</w:t>
      </w:r>
    </w:p>
    <w:p w14:paraId="37C25C3D" w14:textId="207A395C" w:rsidR="00F46566" w:rsidRDefault="00F46566" w:rsidP="009351FC">
      <w:pPr>
        <w:pStyle w:val="ONUMFS"/>
      </w:pPr>
      <w:r>
        <w:t>Lors de la deuxième réunion de l</w:t>
      </w:r>
      <w:r w:rsidR="009351FC">
        <w:t>’</w:t>
      </w:r>
      <w:r>
        <w:t>équipe d</w:t>
      </w:r>
      <w:r w:rsidR="009351FC">
        <w:t>’</w:t>
      </w:r>
      <w:r>
        <w:t>experts qui s</w:t>
      </w:r>
      <w:r w:rsidR="009351FC">
        <w:t>’</w:t>
      </w:r>
      <w:r>
        <w:t>est déroulée en juin 2025, les discussions se sont poursuivies sur la proposition de révision de la norme ST.37 de l</w:t>
      </w:r>
      <w:r w:rsidR="009351FC">
        <w:t>’</w:t>
      </w:r>
      <w:r>
        <w:t>OMPI, fruit de la collaboration entre le Bureau international et l</w:t>
      </w:r>
      <w:r w:rsidR="009351FC">
        <w:t>’</w:t>
      </w:r>
      <w:r>
        <w:t>Office britannique de la propriété intellectuelle (UKIPO) et fondée sur les conclusions convenues lors de l</w:t>
      </w:r>
      <w:r w:rsidR="009351FC">
        <w:t>’</w:t>
      </w:r>
      <w:r>
        <w:t>atelier hybride organisé par l</w:t>
      </w:r>
      <w:r w:rsidR="009351FC">
        <w:t>’</w:t>
      </w:r>
      <w:r>
        <w:t>équipe d</w:t>
      </w:r>
      <w:r w:rsidR="009351FC">
        <w:t>’</w:t>
      </w:r>
      <w:r>
        <w:t>exper</w:t>
      </w:r>
      <w:r w:rsidR="00E22742">
        <w:t>ts.  Ét</w:t>
      </w:r>
      <w:r>
        <w:t>ant donné qu</w:t>
      </w:r>
      <w:r w:rsidR="009351FC">
        <w:t>’</w:t>
      </w:r>
      <w:r>
        <w:t>il s</w:t>
      </w:r>
      <w:r w:rsidR="009351FC">
        <w:t>’</w:t>
      </w:r>
      <w:r>
        <w:t>agit d</w:t>
      </w:r>
      <w:r w:rsidR="009351FC">
        <w:t>’</w:t>
      </w:r>
      <w:r>
        <w:t>une modification mineure du contenu des recommandations, la nouvelle version préliminaire de la norme porte le numéro 2.3.  Le projet final a été publié sur la page Wiki de l</w:t>
      </w:r>
      <w:r w:rsidR="009351FC">
        <w:t>’</w:t>
      </w:r>
      <w:r>
        <w:t>équipe d</w:t>
      </w:r>
      <w:r w:rsidR="009351FC">
        <w:t>’</w:t>
      </w:r>
      <w:r>
        <w:t>experts et approuvé par l</w:t>
      </w:r>
      <w:r w:rsidR="009351FC">
        <w:t>’</w:t>
      </w:r>
      <w:r>
        <w:t>équipe d</w:t>
      </w:r>
      <w:r w:rsidR="009351FC">
        <w:t>’</w:t>
      </w:r>
      <w:r>
        <w:t>exper</w:t>
      </w:r>
      <w:r w:rsidR="00E22742">
        <w:t>ts.  Le</w:t>
      </w:r>
      <w:r>
        <w:t xml:space="preserve"> </w:t>
      </w:r>
      <w:r w:rsidR="009351FC">
        <w:t>document</w:t>
      </w:r>
      <w:r w:rsidR="00750DB7">
        <w:t> </w:t>
      </w:r>
      <w:r w:rsidR="009351FC">
        <w:t>CW</w:t>
      </w:r>
      <w:r>
        <w:t>S/13/17 contient des informations plus détaillées sur la proposition de révision de la norme ST.37 de l</w:t>
      </w:r>
      <w:r w:rsidR="009351FC">
        <w:t>’</w:t>
      </w:r>
      <w:r>
        <w:t>OMPI.</w:t>
      </w:r>
    </w:p>
    <w:p w14:paraId="36596E45" w14:textId="250728E1" w:rsidR="00F46566" w:rsidRDefault="00F46566" w:rsidP="009351FC">
      <w:pPr>
        <w:pStyle w:val="ONUMFS"/>
      </w:pPr>
      <w:r>
        <w:t>La date d</w:t>
      </w:r>
      <w:r w:rsidR="009351FC">
        <w:t>’</w:t>
      </w:r>
      <w:r>
        <w:t>entrée en vigueur de la version 2.3 de la norme ST.37 a également fait l</w:t>
      </w:r>
      <w:r w:rsidR="009351FC">
        <w:t>’</w:t>
      </w:r>
      <w:r>
        <w:t>objet de discussio</w:t>
      </w:r>
      <w:r w:rsidR="00E22742">
        <w:t>ns.  Le</w:t>
      </w:r>
      <w:r>
        <w:t xml:space="preserve"> Secrétariat a confirmé que la date d</w:t>
      </w:r>
      <w:r w:rsidR="009351FC">
        <w:t>’</w:t>
      </w:r>
      <w:r>
        <w:t>entrée en vigueur d</w:t>
      </w:r>
      <w:r w:rsidR="009351FC">
        <w:t>’</w:t>
      </w:r>
      <w:r>
        <w:t>une norme de l</w:t>
      </w:r>
      <w:r w:rsidR="009351FC">
        <w:t>’</w:t>
      </w:r>
      <w:r>
        <w:t>OMPI est habituellement la date de publication de la norme, sauf indication contraire du CWS.  L</w:t>
      </w:r>
      <w:r w:rsidR="009351FC">
        <w:t>’</w:t>
      </w:r>
      <w:r>
        <w:t>équipe d</w:t>
      </w:r>
      <w:r w:rsidR="009351FC">
        <w:t>’</w:t>
      </w:r>
      <w:r>
        <w:t>experts est convenue que dès lors que la norme révisée aura été approuvée par la treiz</w:t>
      </w:r>
      <w:r w:rsidR="009351FC">
        <w:t>ième session</w:t>
      </w:r>
      <w:r>
        <w:t xml:space="preserve"> du CWS, les offices seraient libres de mettre en œuvre la version 2.2 ou 2.3 dès la publication de la nouvelle version.</w:t>
      </w:r>
    </w:p>
    <w:p w14:paraId="605DF5DE" w14:textId="15F278F0" w:rsidR="009351FC" w:rsidRDefault="00F46566" w:rsidP="009351FC">
      <w:pPr>
        <w:pStyle w:val="ONUMFS"/>
      </w:pPr>
      <w:r>
        <w:t>Une discussion a également eu lieu sur l</w:t>
      </w:r>
      <w:r w:rsidR="009351FC">
        <w:t>’</w:t>
      </w:r>
      <w:r>
        <w:t>espace Wiki de l</w:t>
      </w:r>
      <w:r w:rsidR="009351FC">
        <w:t>’</w:t>
      </w:r>
      <w:r>
        <w:t>équipe d</w:t>
      </w:r>
      <w:r w:rsidR="009351FC">
        <w:t>’</w:t>
      </w:r>
      <w:r>
        <w:t>experts concernant les améliorations qui pourraient être apportées au portail d</w:t>
      </w:r>
      <w:r w:rsidR="009351FC">
        <w:t>’</w:t>
      </w:r>
      <w:r>
        <w:t>accès aux fichiers d</w:t>
      </w:r>
      <w:r w:rsidR="009351FC">
        <w:t>’</w:t>
      </w:r>
      <w:r>
        <w:t>autorité afin de faciliter l</w:t>
      </w:r>
      <w:r w:rsidR="009351FC">
        <w:t>’</w:t>
      </w:r>
      <w:r>
        <w:t>accès des offices et des utilisateurs de données aux fichiers d</w:t>
      </w:r>
      <w:r w:rsidR="009351FC">
        <w:t>’</w:t>
      </w:r>
      <w:r>
        <w:t>autori</w:t>
      </w:r>
      <w:r w:rsidR="00E22742">
        <w:t>té.  Ce</w:t>
      </w:r>
      <w:r>
        <w:t xml:space="preserve">s discussions se poursuivent et de plus amples informations sur cette proposition figurent dans le </w:t>
      </w:r>
      <w:r w:rsidR="009351FC">
        <w:t>document</w:t>
      </w:r>
      <w:r w:rsidR="00750DB7">
        <w:t> </w:t>
      </w:r>
      <w:r w:rsidR="009351FC">
        <w:t>CW</w:t>
      </w:r>
      <w:r>
        <w:t>S/13/22.</w:t>
      </w:r>
    </w:p>
    <w:p w14:paraId="28F85AA5" w14:textId="56218E53" w:rsidR="00F46566" w:rsidRDefault="00F46566" w:rsidP="00750DB7">
      <w:pPr>
        <w:pStyle w:val="Heading3"/>
      </w:pPr>
      <w:r>
        <w:t>Difficultés rencontrées</w:t>
      </w:r>
    </w:p>
    <w:p w14:paraId="5ABA2928" w14:textId="34151C58" w:rsidR="00F46566" w:rsidRDefault="00F46566" w:rsidP="00750DB7">
      <w:pPr>
        <w:pStyle w:val="ONUMFS"/>
        <w:spacing w:after="120"/>
      </w:pPr>
      <w:r>
        <w:t>L</w:t>
      </w:r>
      <w:r w:rsidR="009351FC">
        <w:t>’</w:t>
      </w:r>
      <w:r>
        <w:t>Équipe d</w:t>
      </w:r>
      <w:r w:rsidR="009351FC">
        <w:t>’</w:t>
      </w:r>
      <w:r>
        <w:t>experts chargée du fichier d</w:t>
      </w:r>
      <w:r w:rsidR="009351FC">
        <w:t>’</w:t>
      </w:r>
      <w:r>
        <w:t>autorité a rencontré les difficultés suivantes</w:t>
      </w:r>
      <w:r w:rsidR="009351FC">
        <w:t> :</w:t>
      </w:r>
    </w:p>
    <w:p w14:paraId="32C9CCBB" w14:textId="0251C195" w:rsidR="00F46566" w:rsidRDefault="00F46566" w:rsidP="00750DB7">
      <w:pPr>
        <w:pStyle w:val="ONUMFS"/>
        <w:numPr>
          <w:ilvl w:val="0"/>
          <w:numId w:val="12"/>
        </w:numPr>
        <w:tabs>
          <w:tab w:val="clear" w:pos="567"/>
          <w:tab w:val="num" w:pos="1134"/>
        </w:tabs>
        <w:spacing w:after="120"/>
        <w:ind w:left="1134" w:hanging="567"/>
      </w:pPr>
      <w:r>
        <w:t>Certaines administrations chargées de la recherche internationale en vertu du PCT n</w:t>
      </w:r>
      <w:r w:rsidR="009351FC">
        <w:t>’</w:t>
      </w:r>
      <w:r>
        <w:t>étant pas encore membres de l</w:t>
      </w:r>
      <w:r w:rsidR="009351FC">
        <w:t>’</w:t>
      </w:r>
      <w:r>
        <w:t>équipe d</w:t>
      </w:r>
      <w:r w:rsidR="009351FC">
        <w:t>’</w:t>
      </w:r>
      <w:r>
        <w:t>experts, elles ne peuvent pas mettre à profit les discussions de l</w:t>
      </w:r>
      <w:r w:rsidR="009351FC">
        <w:t>’</w:t>
      </w:r>
      <w:r>
        <w:t>équipe d</w:t>
      </w:r>
      <w:r w:rsidR="009351FC">
        <w:t>’</w:t>
      </w:r>
      <w:r>
        <w:t>experts lorsqu</w:t>
      </w:r>
      <w:r w:rsidR="009351FC">
        <w:t>’</w:t>
      </w:r>
      <w:r>
        <w:t>elles créent leurs fichiers d</w:t>
      </w:r>
      <w:r w:rsidR="009351FC">
        <w:t>’</w:t>
      </w:r>
      <w:r>
        <w:t>autorité conformes à la norme ST.37 de l</w:t>
      </w:r>
      <w:r w:rsidR="009351FC">
        <w:t>’</w:t>
      </w:r>
      <w:r>
        <w:t>OMPI.</w:t>
      </w:r>
    </w:p>
    <w:p w14:paraId="2ABAB961" w14:textId="78392D40" w:rsidR="009351FC" w:rsidRDefault="00F46566" w:rsidP="00750DB7">
      <w:pPr>
        <w:pStyle w:val="ONUMFS"/>
        <w:numPr>
          <w:ilvl w:val="0"/>
          <w:numId w:val="12"/>
        </w:numPr>
        <w:tabs>
          <w:tab w:val="clear" w:pos="567"/>
          <w:tab w:val="num" w:pos="1134"/>
        </w:tabs>
        <w:ind w:left="1134" w:hanging="567"/>
      </w:pPr>
      <w:r>
        <w:t>Il existe des incohérences dans la manière dont les codes d</w:t>
      </w:r>
      <w:r w:rsidR="009351FC">
        <w:t>’</w:t>
      </w:r>
      <w:r>
        <w:t>exception sont compris et mis en œuv</w:t>
      </w:r>
      <w:r w:rsidR="00E22742">
        <w:t>re.  Il</w:t>
      </w:r>
      <w:r>
        <w:t xml:space="preserve"> est à espérer que ces problèmes seront résolus avec l</w:t>
      </w:r>
      <w:r w:rsidR="009351FC">
        <w:t>’</w:t>
      </w:r>
      <w:r>
        <w:t>approbation de la version 2.3.</w:t>
      </w:r>
    </w:p>
    <w:p w14:paraId="1A4D2B0D" w14:textId="0FAE3F2F" w:rsidR="00F46566" w:rsidRDefault="00F46566" w:rsidP="00750DB7">
      <w:pPr>
        <w:pStyle w:val="Heading3"/>
      </w:pPr>
      <w:r>
        <w:t>Travaux futurs</w:t>
      </w:r>
    </w:p>
    <w:p w14:paraId="1D796007" w14:textId="4D8BE8BF" w:rsidR="00F46566" w:rsidRDefault="00F46566" w:rsidP="009351FC">
      <w:pPr>
        <w:pStyle w:val="ONUMFS"/>
      </w:pPr>
      <w:r>
        <w:t>L</w:t>
      </w:r>
      <w:r w:rsidR="009351FC">
        <w:t>’</w:t>
      </w:r>
      <w:r>
        <w:t>Équipe d</w:t>
      </w:r>
      <w:r w:rsidR="009351FC">
        <w:t>’</w:t>
      </w:r>
      <w:r>
        <w:t>experts chargée du fichier d</w:t>
      </w:r>
      <w:r w:rsidR="009351FC">
        <w:t>’</w:t>
      </w:r>
      <w:r>
        <w:t>autorité continuera d</w:t>
      </w:r>
      <w:r w:rsidR="009351FC">
        <w:t>’</w:t>
      </w:r>
      <w:r>
        <w:t>apporter son appui aux offices qui mettent en œuvre la norme ST.37 de l</w:t>
      </w:r>
      <w:r w:rsidR="009351FC">
        <w:t>’</w:t>
      </w:r>
      <w:r>
        <w:t>OMPI et proposera toutes les révisions nécessair</w:t>
      </w:r>
      <w:r w:rsidR="00E22742">
        <w:t>es.  L’é</w:t>
      </w:r>
      <w:r>
        <w:t>quipe d</w:t>
      </w:r>
      <w:r w:rsidR="009351FC">
        <w:t>’</w:t>
      </w:r>
      <w:r>
        <w:t>experts examinera également plus avant les améliorations qu</w:t>
      </w:r>
      <w:r w:rsidR="009351FC">
        <w:t>’</w:t>
      </w:r>
      <w:r>
        <w:t>il est proposé d</w:t>
      </w:r>
      <w:r w:rsidR="009351FC">
        <w:t>’</w:t>
      </w:r>
      <w:r>
        <w:t>apporter au portail d</w:t>
      </w:r>
      <w:r w:rsidR="009351FC">
        <w:t>’</w:t>
      </w:r>
      <w:r>
        <w:t>accès aux fichiers d</w:t>
      </w:r>
      <w:r w:rsidR="009351FC">
        <w:t>’</w:t>
      </w:r>
      <w:r>
        <w:t>autorité et étudiera les mises à jour nécessaires des directives relatives au portail d</w:t>
      </w:r>
      <w:r w:rsidR="009351FC">
        <w:t>’</w:t>
      </w:r>
      <w:r>
        <w:t>accès aux fichiers d</w:t>
      </w:r>
      <w:r w:rsidR="009351FC">
        <w:t>’</w:t>
      </w:r>
      <w:r>
        <w:t>autorité.</w:t>
      </w:r>
    </w:p>
    <w:p w14:paraId="704D06CF" w14:textId="641E582F" w:rsidR="009351FC" w:rsidRPr="00750DB7" w:rsidRDefault="00F46566" w:rsidP="00750DB7">
      <w:pPr>
        <w:pStyle w:val="ONUMFS"/>
        <w:ind w:left="5533"/>
        <w:rPr>
          <w:i/>
        </w:rPr>
      </w:pPr>
      <w:r w:rsidRPr="00750DB7">
        <w:rPr>
          <w:i/>
        </w:rPr>
        <w:t>Le CWS est invité</w:t>
      </w:r>
    </w:p>
    <w:p w14:paraId="059D754E" w14:textId="2D517FAF" w:rsidR="009351FC" w:rsidRPr="00750DB7" w:rsidRDefault="00F46566" w:rsidP="00750DB7">
      <w:pPr>
        <w:pStyle w:val="ONUMFS"/>
        <w:numPr>
          <w:ilvl w:val="1"/>
          <w:numId w:val="6"/>
        </w:numPr>
        <w:ind w:left="5533" w:firstLine="704"/>
        <w:rPr>
          <w:i/>
        </w:rPr>
      </w:pPr>
      <w:proofErr w:type="gramStart"/>
      <w:r w:rsidRPr="00750DB7">
        <w:rPr>
          <w:i/>
        </w:rPr>
        <w:t>à</w:t>
      </w:r>
      <w:proofErr w:type="gramEnd"/>
      <w:r w:rsidRPr="00750DB7">
        <w:rPr>
          <w:i/>
        </w:rPr>
        <w:t xml:space="preserve"> prendre note du contenu du présent document, notamment des difficultés mentionnées au paragraphe 10 et du programme de travail décrit au paragraphe 11 ci</w:t>
      </w:r>
      <w:r w:rsidR="00750DB7" w:rsidRPr="00750DB7">
        <w:rPr>
          <w:i/>
        </w:rPr>
        <w:noBreakHyphen/>
      </w:r>
      <w:r w:rsidRPr="00750DB7">
        <w:rPr>
          <w:i/>
        </w:rPr>
        <w:t>dessus et</w:t>
      </w:r>
    </w:p>
    <w:p w14:paraId="05E3E3EB" w14:textId="3671BE7D" w:rsidR="009351FC" w:rsidRPr="00750DB7" w:rsidRDefault="00F46566" w:rsidP="00750DB7">
      <w:pPr>
        <w:pStyle w:val="ONUMFS"/>
        <w:numPr>
          <w:ilvl w:val="1"/>
          <w:numId w:val="6"/>
        </w:numPr>
        <w:ind w:left="5533" w:firstLine="704"/>
        <w:rPr>
          <w:i/>
        </w:rPr>
      </w:pPr>
      <w:proofErr w:type="gramStart"/>
      <w:r w:rsidRPr="00750DB7">
        <w:rPr>
          <w:i/>
        </w:rPr>
        <w:t>à</w:t>
      </w:r>
      <w:proofErr w:type="gramEnd"/>
      <w:r w:rsidRPr="00750DB7">
        <w:rPr>
          <w:i/>
        </w:rPr>
        <w:t xml:space="preserve"> encourager les offices de propriété intellectuelle à faire partie de l</w:t>
      </w:r>
      <w:r w:rsidR="009351FC" w:rsidRPr="00750DB7">
        <w:rPr>
          <w:i/>
        </w:rPr>
        <w:t>’</w:t>
      </w:r>
      <w:r w:rsidRPr="00750DB7">
        <w:rPr>
          <w:i/>
        </w:rPr>
        <w:t>équipe d</w:t>
      </w:r>
      <w:r w:rsidR="009351FC" w:rsidRPr="00750DB7">
        <w:rPr>
          <w:i/>
        </w:rPr>
        <w:t>’</w:t>
      </w:r>
      <w:r w:rsidRPr="00750DB7">
        <w:rPr>
          <w:i/>
        </w:rPr>
        <w:t>experts chargée du fichier d</w:t>
      </w:r>
      <w:r w:rsidR="009351FC" w:rsidRPr="00750DB7">
        <w:rPr>
          <w:i/>
        </w:rPr>
        <w:t>’</w:t>
      </w:r>
      <w:r w:rsidRPr="00750DB7">
        <w:rPr>
          <w:i/>
        </w:rPr>
        <w:t>autorité, en particulier si ce sont des administrations chargées de la recherche internationale en vertu du PCT.</w:t>
      </w:r>
    </w:p>
    <w:p w14:paraId="302467A3" w14:textId="04A9EC89" w:rsidR="0099108F" w:rsidRPr="00F46566" w:rsidRDefault="00F46566" w:rsidP="00F46566">
      <w:pPr>
        <w:pStyle w:val="Endofdocument-Annex"/>
      </w:pPr>
      <w:r w:rsidRPr="00F46566">
        <w:t>[Fin du document]</w:t>
      </w:r>
    </w:p>
    <w:sectPr w:rsidR="0099108F" w:rsidRPr="00F46566" w:rsidSect="009351FC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B2F21" w14:textId="77777777" w:rsidR="006D1AA7" w:rsidRPr="00290DCD" w:rsidRDefault="006D1AA7">
      <w:r w:rsidRPr="00290DCD">
        <w:separator/>
      </w:r>
    </w:p>
  </w:endnote>
  <w:endnote w:type="continuationSeparator" w:id="0">
    <w:p w14:paraId="530C8B9D" w14:textId="77777777" w:rsidR="006D1AA7" w:rsidRPr="00290DCD" w:rsidRDefault="006D1AA7" w:rsidP="00D45252">
      <w:pPr>
        <w:rPr>
          <w:sz w:val="17"/>
          <w:szCs w:val="17"/>
        </w:rPr>
      </w:pPr>
      <w:r w:rsidRPr="00290DCD">
        <w:rPr>
          <w:sz w:val="17"/>
          <w:szCs w:val="17"/>
        </w:rPr>
        <w:separator/>
      </w:r>
    </w:p>
    <w:p w14:paraId="2354F7DA" w14:textId="77777777" w:rsidR="006D1AA7" w:rsidRPr="00290DCD" w:rsidRDefault="006D1AA7" w:rsidP="00D45252">
      <w:pPr>
        <w:spacing w:after="60"/>
        <w:rPr>
          <w:sz w:val="17"/>
          <w:szCs w:val="17"/>
        </w:rPr>
      </w:pPr>
      <w:r w:rsidRPr="00290DCD">
        <w:rPr>
          <w:sz w:val="17"/>
          <w:szCs w:val="17"/>
        </w:rPr>
        <w:t>[Suite de la note de la page précédente]</w:t>
      </w:r>
    </w:p>
  </w:endnote>
  <w:endnote w:type="continuationNotice" w:id="1">
    <w:p w14:paraId="7CE510C2" w14:textId="77777777" w:rsidR="006D1AA7" w:rsidRPr="00290DCD" w:rsidRDefault="006D1AA7" w:rsidP="009D30E6">
      <w:pPr>
        <w:spacing w:before="60"/>
        <w:jc w:val="right"/>
        <w:rPr>
          <w:sz w:val="17"/>
          <w:szCs w:val="17"/>
        </w:rPr>
      </w:pPr>
      <w:r w:rsidRPr="00290DCD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16DC2" w14:textId="77777777" w:rsidR="006D1AA7" w:rsidRPr="00290DCD" w:rsidRDefault="006D1AA7">
      <w:r w:rsidRPr="00290DCD">
        <w:separator/>
      </w:r>
    </w:p>
  </w:footnote>
  <w:footnote w:type="continuationSeparator" w:id="0">
    <w:p w14:paraId="1E2AACA4" w14:textId="77777777" w:rsidR="006D1AA7" w:rsidRPr="00290DCD" w:rsidRDefault="006D1AA7" w:rsidP="007461F1">
      <w:r w:rsidRPr="00290DCD">
        <w:separator/>
      </w:r>
    </w:p>
    <w:p w14:paraId="662DC30D" w14:textId="77777777" w:rsidR="006D1AA7" w:rsidRPr="00290DCD" w:rsidRDefault="006D1AA7" w:rsidP="007461F1">
      <w:pPr>
        <w:spacing w:after="60"/>
        <w:rPr>
          <w:sz w:val="17"/>
          <w:szCs w:val="17"/>
        </w:rPr>
      </w:pPr>
      <w:r w:rsidRPr="00290DCD">
        <w:rPr>
          <w:sz w:val="17"/>
          <w:szCs w:val="17"/>
        </w:rPr>
        <w:t>[Suite de la note de la page précédente]</w:t>
      </w:r>
    </w:p>
  </w:footnote>
  <w:footnote w:type="continuationNotice" w:id="1">
    <w:p w14:paraId="263608DE" w14:textId="77777777" w:rsidR="006D1AA7" w:rsidRPr="00290DCD" w:rsidRDefault="006D1AA7" w:rsidP="007461F1">
      <w:pPr>
        <w:spacing w:before="60"/>
        <w:jc w:val="right"/>
        <w:rPr>
          <w:sz w:val="17"/>
          <w:szCs w:val="17"/>
        </w:rPr>
      </w:pPr>
      <w:r w:rsidRPr="00290DCD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1960" w14:textId="6B9DBB7C" w:rsidR="00F16975" w:rsidRPr="00290DCD" w:rsidRDefault="00F46566" w:rsidP="00477D6B">
    <w:pPr>
      <w:jc w:val="right"/>
    </w:pPr>
    <w:bookmarkStart w:id="3" w:name="Code2"/>
    <w:bookmarkEnd w:id="3"/>
    <w:r>
      <w:t>CWS/13/13</w:t>
    </w:r>
  </w:p>
  <w:p w14:paraId="405C4EA4" w14:textId="77777777" w:rsidR="004F4E31" w:rsidRPr="00290DCD" w:rsidRDefault="00F16975" w:rsidP="0099108F">
    <w:pPr>
      <w:spacing w:after="480"/>
      <w:jc w:val="right"/>
    </w:pPr>
    <w:proofErr w:type="gramStart"/>
    <w:r w:rsidRPr="00290DCD">
      <w:t>page</w:t>
    </w:r>
    <w:proofErr w:type="gramEnd"/>
    <w:r w:rsidR="0099108F" w:rsidRPr="00290DCD">
      <w:t> </w:t>
    </w:r>
    <w:r w:rsidRPr="00290DCD">
      <w:fldChar w:fldCharType="begin"/>
    </w:r>
    <w:r w:rsidRPr="00290DCD">
      <w:instrText xml:space="preserve"> PAGE  \* MERGEFORMAT </w:instrText>
    </w:r>
    <w:r w:rsidRPr="00290DCD">
      <w:fldChar w:fldCharType="separate"/>
    </w:r>
    <w:r w:rsidR="004F4E31" w:rsidRPr="00290DCD">
      <w:t>2</w:t>
    </w:r>
    <w:r w:rsidRPr="00290D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CC30D5"/>
    <w:multiLevelType w:val="hybridMultilevel"/>
    <w:tmpl w:val="1226B2B4"/>
    <w:lvl w:ilvl="0" w:tplc="30323D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53EBF"/>
    <w:multiLevelType w:val="hybridMultilevel"/>
    <w:tmpl w:val="AEC0A792"/>
    <w:lvl w:ilvl="0" w:tplc="30323D92">
      <w:start w:val="1"/>
      <w:numFmt w:val="lowerLetter"/>
      <w:lvlText w:val="(%1)"/>
      <w:lvlJc w:val="left"/>
      <w:pPr>
        <w:ind w:left="60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2" w:hanging="360"/>
      </w:pPr>
    </w:lvl>
    <w:lvl w:ilvl="2" w:tplc="0409001B" w:tentative="1">
      <w:start w:val="1"/>
      <w:numFmt w:val="lowerRoman"/>
      <w:lvlText w:val="%3."/>
      <w:lvlJc w:val="right"/>
      <w:pPr>
        <w:ind w:left="7472" w:hanging="180"/>
      </w:pPr>
    </w:lvl>
    <w:lvl w:ilvl="3" w:tplc="0409000F" w:tentative="1">
      <w:start w:val="1"/>
      <w:numFmt w:val="decimal"/>
      <w:lvlText w:val="%4."/>
      <w:lvlJc w:val="left"/>
      <w:pPr>
        <w:ind w:left="8192" w:hanging="360"/>
      </w:pPr>
    </w:lvl>
    <w:lvl w:ilvl="4" w:tplc="04090019" w:tentative="1">
      <w:start w:val="1"/>
      <w:numFmt w:val="lowerLetter"/>
      <w:lvlText w:val="%5."/>
      <w:lvlJc w:val="left"/>
      <w:pPr>
        <w:ind w:left="8912" w:hanging="360"/>
      </w:pPr>
    </w:lvl>
    <w:lvl w:ilvl="5" w:tplc="0409001B" w:tentative="1">
      <w:start w:val="1"/>
      <w:numFmt w:val="lowerRoman"/>
      <w:lvlText w:val="%6."/>
      <w:lvlJc w:val="right"/>
      <w:pPr>
        <w:ind w:left="9632" w:hanging="180"/>
      </w:pPr>
    </w:lvl>
    <w:lvl w:ilvl="6" w:tplc="0409000F" w:tentative="1">
      <w:start w:val="1"/>
      <w:numFmt w:val="decimal"/>
      <w:lvlText w:val="%7."/>
      <w:lvlJc w:val="left"/>
      <w:pPr>
        <w:ind w:left="10352" w:hanging="360"/>
      </w:pPr>
    </w:lvl>
    <w:lvl w:ilvl="7" w:tplc="04090019" w:tentative="1">
      <w:start w:val="1"/>
      <w:numFmt w:val="lowerLetter"/>
      <w:lvlText w:val="%8."/>
      <w:lvlJc w:val="left"/>
      <w:pPr>
        <w:ind w:left="11072" w:hanging="360"/>
      </w:pPr>
    </w:lvl>
    <w:lvl w:ilvl="8" w:tplc="0409001B" w:tentative="1">
      <w:start w:val="1"/>
      <w:numFmt w:val="lowerRoman"/>
      <w:lvlText w:val="%9."/>
      <w:lvlJc w:val="right"/>
      <w:pPr>
        <w:ind w:left="11792" w:hanging="180"/>
      </w:pPr>
    </w:lvl>
  </w:abstractNum>
  <w:abstractNum w:abstractNumId="4" w15:restartNumberingAfterBreak="0">
    <w:nsid w:val="13B11CFB"/>
    <w:multiLevelType w:val="multilevel"/>
    <w:tmpl w:val="DE841E60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DF00AB7"/>
    <w:multiLevelType w:val="hybridMultilevel"/>
    <w:tmpl w:val="DD6ADD4E"/>
    <w:lvl w:ilvl="0" w:tplc="6026303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3A2EEE"/>
    <w:multiLevelType w:val="hybridMultilevel"/>
    <w:tmpl w:val="55E819A4"/>
    <w:lvl w:ilvl="0" w:tplc="6026303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E3FB8"/>
    <w:multiLevelType w:val="multilevel"/>
    <w:tmpl w:val="DE841E60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 w16cid:durableId="1398548192">
    <w:abstractNumId w:val="5"/>
  </w:num>
  <w:num w:numId="2" w16cid:durableId="1870607316">
    <w:abstractNumId w:val="8"/>
  </w:num>
  <w:num w:numId="3" w16cid:durableId="844322595">
    <w:abstractNumId w:val="0"/>
  </w:num>
  <w:num w:numId="4" w16cid:durableId="1456631763">
    <w:abstractNumId w:val="9"/>
  </w:num>
  <w:num w:numId="5" w16cid:durableId="628778745">
    <w:abstractNumId w:val="1"/>
  </w:num>
  <w:num w:numId="6" w16cid:durableId="670451745">
    <w:abstractNumId w:val="6"/>
  </w:num>
  <w:num w:numId="7" w16cid:durableId="1184825996">
    <w:abstractNumId w:val="7"/>
  </w:num>
  <w:num w:numId="8" w16cid:durableId="599408761">
    <w:abstractNumId w:val="10"/>
  </w:num>
  <w:num w:numId="9" w16cid:durableId="1513760546">
    <w:abstractNumId w:val="3"/>
  </w:num>
  <w:num w:numId="10" w16cid:durableId="1547647246">
    <w:abstractNumId w:val="2"/>
  </w:num>
  <w:num w:numId="11" w16cid:durableId="2034648197">
    <w:abstractNumId w:val="4"/>
  </w:num>
  <w:num w:numId="12" w16cid:durableId="18042765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66"/>
    <w:rsid w:val="00011B7D"/>
    <w:rsid w:val="00075432"/>
    <w:rsid w:val="000F5E56"/>
    <w:rsid w:val="001352EC"/>
    <w:rsid w:val="001362EE"/>
    <w:rsid w:val="00157E3C"/>
    <w:rsid w:val="001832A6"/>
    <w:rsid w:val="00195C6E"/>
    <w:rsid w:val="00197881"/>
    <w:rsid w:val="001B266A"/>
    <w:rsid w:val="001D3D56"/>
    <w:rsid w:val="00240654"/>
    <w:rsid w:val="002634C4"/>
    <w:rsid w:val="00290DCD"/>
    <w:rsid w:val="002D4918"/>
    <w:rsid w:val="002E4D1A"/>
    <w:rsid w:val="002F16BC"/>
    <w:rsid w:val="002F4E68"/>
    <w:rsid w:val="00315FCA"/>
    <w:rsid w:val="003845C1"/>
    <w:rsid w:val="003A1BCD"/>
    <w:rsid w:val="004008A2"/>
    <w:rsid w:val="004025DF"/>
    <w:rsid w:val="00410E88"/>
    <w:rsid w:val="004234A5"/>
    <w:rsid w:val="00423E3E"/>
    <w:rsid w:val="00427AF4"/>
    <w:rsid w:val="004647DA"/>
    <w:rsid w:val="00477D6B"/>
    <w:rsid w:val="004B69FB"/>
    <w:rsid w:val="004D6471"/>
    <w:rsid w:val="004F4E31"/>
    <w:rsid w:val="00525B63"/>
    <w:rsid w:val="00547476"/>
    <w:rsid w:val="00561DB8"/>
    <w:rsid w:val="00567A4C"/>
    <w:rsid w:val="00576171"/>
    <w:rsid w:val="005A3309"/>
    <w:rsid w:val="005C586D"/>
    <w:rsid w:val="005E6516"/>
    <w:rsid w:val="00605827"/>
    <w:rsid w:val="00676936"/>
    <w:rsid w:val="006B0DB5"/>
    <w:rsid w:val="006D1AA7"/>
    <w:rsid w:val="006E4243"/>
    <w:rsid w:val="007007A1"/>
    <w:rsid w:val="00722109"/>
    <w:rsid w:val="007461F1"/>
    <w:rsid w:val="00750DB7"/>
    <w:rsid w:val="007C04C6"/>
    <w:rsid w:val="007D6961"/>
    <w:rsid w:val="007F07CB"/>
    <w:rsid w:val="00810CEF"/>
    <w:rsid w:val="0081208D"/>
    <w:rsid w:val="008236DE"/>
    <w:rsid w:val="00842A13"/>
    <w:rsid w:val="008B2CC1"/>
    <w:rsid w:val="008B7418"/>
    <w:rsid w:val="008E7930"/>
    <w:rsid w:val="0090731E"/>
    <w:rsid w:val="009351FC"/>
    <w:rsid w:val="00966A22"/>
    <w:rsid w:val="00974CD6"/>
    <w:rsid w:val="0099108F"/>
    <w:rsid w:val="009D30E6"/>
    <w:rsid w:val="009E3F6F"/>
    <w:rsid w:val="009F499F"/>
    <w:rsid w:val="00A02BD3"/>
    <w:rsid w:val="00A65E7E"/>
    <w:rsid w:val="00AA1F20"/>
    <w:rsid w:val="00AC0AE4"/>
    <w:rsid w:val="00AD61DB"/>
    <w:rsid w:val="00B6177F"/>
    <w:rsid w:val="00B66A77"/>
    <w:rsid w:val="00B87BCF"/>
    <w:rsid w:val="00BA62D4"/>
    <w:rsid w:val="00BC3FC3"/>
    <w:rsid w:val="00C153FD"/>
    <w:rsid w:val="00C40E15"/>
    <w:rsid w:val="00C664C8"/>
    <w:rsid w:val="00C76A79"/>
    <w:rsid w:val="00CA15F5"/>
    <w:rsid w:val="00CA72C1"/>
    <w:rsid w:val="00CF0460"/>
    <w:rsid w:val="00D45252"/>
    <w:rsid w:val="00D71B4D"/>
    <w:rsid w:val="00D75C1E"/>
    <w:rsid w:val="00D93D55"/>
    <w:rsid w:val="00DB0349"/>
    <w:rsid w:val="00DD6A16"/>
    <w:rsid w:val="00E0091A"/>
    <w:rsid w:val="00E203AA"/>
    <w:rsid w:val="00E22742"/>
    <w:rsid w:val="00E527A5"/>
    <w:rsid w:val="00E76456"/>
    <w:rsid w:val="00EE71CB"/>
    <w:rsid w:val="00F16975"/>
    <w:rsid w:val="00F46566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3127F8"/>
  <w15:docId w15:val="{5B8F7DDC-B5DC-4B47-81D9-21533AAC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46566"/>
    <w:pPr>
      <w:spacing w:before="720"/>
      <w:ind w:left="5534"/>
    </w:p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34"/>
    <w:qFormat/>
    <w:rsid w:val="00F46566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E227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3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CWS_13 (F).dotm</Template>
  <TotalTime>16</TotalTime>
  <Pages>1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CWS/13/13 (French) </vt:lpstr>
    </vt:vector>
  </TitlesOfParts>
  <Company>WIPO</Company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CWS/13/13 (French) </dc:title>
  <dc:subject>Rapport de l’Équipe d’experts chargée des fichiers d’autorité sur la tâche n° 66 </dc:subject>
  <dc:creator>WIPO</dc:creator>
  <cp:keywords>WIPO CWS treizième session, Rapport, Équipe d’experts chargée des fichiers d’autorité </cp:keywords>
  <cp:lastModifiedBy>EMMETT Claudia</cp:lastModifiedBy>
  <cp:revision>8</cp:revision>
  <cp:lastPrinted>2025-09-02T15:27:00Z</cp:lastPrinted>
  <dcterms:created xsi:type="dcterms:W3CDTF">2025-08-28T14:10:00Z</dcterms:created>
  <dcterms:modified xsi:type="dcterms:W3CDTF">2025-09-02T15:28:00Z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2025-06-12T13:23:13Z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717d40da-50e5-4df9-b411-3e5ab47e1f7b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