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8B20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3CA19126" wp14:editId="1D4A255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08644FB" wp14:editId="7A111FA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87E01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66A061E" w14:textId="6A7DF44A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2196D">
        <w:rPr>
          <w:rFonts w:ascii="Arial Black" w:hAnsi="Arial Black"/>
          <w:caps/>
          <w:sz w:val="15"/>
          <w:szCs w:val="15"/>
        </w:rPr>
        <w:t>10</w:t>
      </w:r>
    </w:p>
    <w:p w14:paraId="1C798F48" w14:textId="71426048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717B84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02196D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E7A8396" w14:textId="70305430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717B84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02196D">
        <w:rPr>
          <w:rFonts w:ascii="Arial Black" w:hAnsi="Arial Black"/>
          <w:caps/>
          <w:sz w:val="15"/>
          <w:szCs w:val="15"/>
        </w:rPr>
        <w:t>18 </w:t>
      </w:r>
      <w:r w:rsidR="00717B84">
        <w:rPr>
          <w:rFonts w:ascii="Arial Black" w:hAnsi="Arial Black"/>
          <w:caps/>
          <w:sz w:val="15"/>
          <w:szCs w:val="15"/>
        </w:rPr>
        <w:t>septembre 20</w:t>
      </w:r>
      <w:r w:rsidR="0002196D">
        <w:rPr>
          <w:rFonts w:ascii="Arial Black" w:hAnsi="Arial Black"/>
          <w:caps/>
          <w:sz w:val="15"/>
          <w:szCs w:val="15"/>
        </w:rPr>
        <w:t>25</w:t>
      </w:r>
    </w:p>
    <w:bookmarkEnd w:id="2"/>
    <w:p w14:paraId="3D1707CE" w14:textId="21140BE7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717B84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37933C7C" w14:textId="15146525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717B84">
        <w:rPr>
          <w:b/>
          <w:sz w:val="24"/>
        </w:rPr>
        <w:t>ième session</w:t>
      </w:r>
    </w:p>
    <w:p w14:paraId="268421F0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3616B334" w14:textId="4B07301A" w:rsidR="008B2CC1" w:rsidRPr="00290DCD" w:rsidRDefault="0002196D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de l</w:t>
      </w:r>
      <w:r w:rsidR="00717B84">
        <w:rPr>
          <w:caps/>
          <w:sz w:val="24"/>
        </w:rPr>
        <w:t>’</w:t>
      </w:r>
      <w:r>
        <w:rPr>
          <w:caps/>
          <w:sz w:val="24"/>
        </w:rPr>
        <w:t>Équipe d</w:t>
      </w:r>
      <w:r w:rsidR="00717B84">
        <w:rPr>
          <w:caps/>
          <w:sz w:val="24"/>
        </w:rPr>
        <w:t>’</w:t>
      </w:r>
      <w:r>
        <w:rPr>
          <w:caps/>
          <w:sz w:val="24"/>
        </w:rPr>
        <w:t>experts chargée de la chaîne de blocs sur la tâche n°</w:t>
      </w:r>
      <w:r w:rsidR="00717B84">
        <w:rPr>
          <w:caps/>
          <w:sz w:val="24"/>
        </w:rPr>
        <w:t> </w:t>
      </w:r>
      <w:r>
        <w:rPr>
          <w:caps/>
          <w:sz w:val="24"/>
        </w:rPr>
        <w:t>59</w:t>
      </w:r>
    </w:p>
    <w:p w14:paraId="13CC7BCA" w14:textId="6D63AC4D" w:rsidR="00717B84" w:rsidRDefault="0002196D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responsable de l</w:t>
      </w:r>
      <w:r w:rsidR="00717B84">
        <w:rPr>
          <w:i/>
        </w:rPr>
        <w:t>’</w:t>
      </w:r>
      <w:r>
        <w:rPr>
          <w:i/>
        </w:rPr>
        <w:t>Équipe d</w:t>
      </w:r>
      <w:r w:rsidR="00717B84">
        <w:rPr>
          <w:i/>
        </w:rPr>
        <w:t>’</w:t>
      </w:r>
      <w:r>
        <w:rPr>
          <w:i/>
        </w:rPr>
        <w:t>experts chargée de la chaîne de blocs</w:t>
      </w:r>
    </w:p>
    <w:bookmarkEnd w:id="4"/>
    <w:p w14:paraId="2BD028B4" w14:textId="782DE58E" w:rsidR="0002196D" w:rsidRDefault="0002196D" w:rsidP="00791DAF">
      <w:pPr>
        <w:pStyle w:val="Heading2"/>
      </w:pPr>
      <w:r>
        <w:t>R</w:t>
      </w:r>
      <w:r w:rsidR="00791DAF" w:rsidRPr="00791DAF">
        <w:t>ésumé</w:t>
      </w:r>
    </w:p>
    <w:p w14:paraId="755AC05F" w14:textId="78C0F562" w:rsidR="00717B84" w:rsidRDefault="0002196D" w:rsidP="00791DAF">
      <w:pPr>
        <w:pStyle w:val="ONUMFS"/>
      </w:pPr>
      <w:r>
        <w:t>L</w:t>
      </w:r>
      <w:r w:rsidR="00717B84">
        <w:t>’</w:t>
      </w:r>
      <w:r>
        <w:t>Équipe d</w:t>
      </w:r>
      <w:r w:rsidR="00717B84">
        <w:t>’</w:t>
      </w:r>
      <w:r>
        <w:t>experts chargée de la chaîne de blocs est chargée de la tâche n° 59, qui porte en partie sur l</w:t>
      </w:r>
      <w:r w:rsidR="00717B84">
        <w:t>’</w:t>
      </w:r>
      <w:r>
        <w:t>élaboration d</w:t>
      </w:r>
      <w:r w:rsidR="00717B84">
        <w:t>’</w:t>
      </w:r>
      <w:r>
        <w:t>une nouvelle norme de l</w:t>
      </w:r>
      <w:r w:rsidR="00717B84">
        <w:t>’</w:t>
      </w:r>
      <w:r>
        <w:t>OMPI visant à appuyer l</w:t>
      </w:r>
      <w:r w:rsidR="00717B84">
        <w:t>’</w:t>
      </w:r>
      <w:r>
        <w:t>application potentielle de la chaîne de blocs dans l</w:t>
      </w:r>
      <w:r w:rsidR="00717B84">
        <w:t>’</w:t>
      </w:r>
      <w:r>
        <w:t>écosystème de la propriété intellectuel</w:t>
      </w:r>
      <w:r w:rsidR="00B24679">
        <w:t>le.  L’é</w:t>
      </w:r>
      <w:r>
        <w:t>quipe d</w:t>
      </w:r>
      <w:r w:rsidR="00717B84">
        <w:t>’</w:t>
      </w:r>
      <w:r>
        <w:t>experts rend compte de l</w:t>
      </w:r>
      <w:r w:rsidR="00717B84">
        <w:t>’</w:t>
      </w:r>
      <w:r>
        <w:t>état d</w:t>
      </w:r>
      <w:r w:rsidR="00717B84">
        <w:t>’</w:t>
      </w:r>
      <w:r>
        <w:t>avancement de ses activités, notamment de ses travaux visant à améliorer encore le projet de norme depuis la dernière session du Comité des normes de l</w:t>
      </w:r>
      <w:r w:rsidR="00717B84">
        <w:t>’</w:t>
      </w:r>
      <w:r>
        <w:t xml:space="preserve">OMPI (CWS). </w:t>
      </w:r>
      <w:r w:rsidR="00240E2C">
        <w:t xml:space="preserve"> </w:t>
      </w:r>
    </w:p>
    <w:p w14:paraId="49618B73" w14:textId="0784310F" w:rsidR="0002196D" w:rsidRDefault="0002196D" w:rsidP="00791DAF">
      <w:pPr>
        <w:pStyle w:val="Heading2"/>
      </w:pPr>
      <w:r>
        <w:t>Rappel</w:t>
      </w:r>
    </w:p>
    <w:p w14:paraId="3E2F86AE" w14:textId="6D56ECB9" w:rsidR="0002196D" w:rsidRDefault="0002196D" w:rsidP="00791DAF">
      <w:pPr>
        <w:pStyle w:val="ONUMFS"/>
      </w:pPr>
      <w:r>
        <w:t>À la huit</w:t>
      </w:r>
      <w:r w:rsidR="00717B84">
        <w:t>ième session du CWS</w:t>
      </w:r>
      <w:r>
        <w:t xml:space="preserve">, tenue en </w:t>
      </w:r>
      <w:r w:rsidR="00717B84">
        <w:t>novembre 20</w:t>
      </w:r>
      <w:r>
        <w:t>20, l</w:t>
      </w:r>
      <w:r w:rsidR="00717B84">
        <w:t>’</w:t>
      </w:r>
      <w:r>
        <w:t>équipe d</w:t>
      </w:r>
      <w:r w:rsidR="00717B84">
        <w:t>’</w:t>
      </w:r>
      <w:r>
        <w:t>experts a présenté un rapport sur l</w:t>
      </w:r>
      <w:r w:rsidR="00717B84">
        <w:t>’</w:t>
      </w:r>
      <w:r>
        <w:t>état d</w:t>
      </w:r>
      <w:r w:rsidR="00717B84">
        <w:t>’</w:t>
      </w:r>
      <w:r>
        <w:t xml:space="preserve">avancement de ses activités (voir le </w:t>
      </w:r>
      <w:r w:rsidR="00717B84">
        <w:t>document CW</w:t>
      </w:r>
      <w:r>
        <w:t>S/8/15).  À cette session,</w:t>
      </w:r>
      <w:r w:rsidR="00717B84">
        <w:t xml:space="preserve"> le CWS</w:t>
      </w:r>
      <w:r>
        <w:t xml:space="preserve"> a également encouragé les offices de propriété intellectuelle à participer aux discussions de l</w:t>
      </w:r>
      <w:r w:rsidR="00717B84">
        <w:t>’</w:t>
      </w:r>
      <w:r>
        <w:t>Équipe d</w:t>
      </w:r>
      <w:r w:rsidR="00717B84">
        <w:t>’</w:t>
      </w:r>
      <w:r>
        <w:t xml:space="preserve">experts chargée de la chaîne de blocs et a souligné les avantages importants que présentait le travail en collaboration avec le secteur privé, les universités et les organisations non gouvernementales (voir les paragraphes 96 à 99 du </w:t>
      </w:r>
      <w:r w:rsidR="00717B84">
        <w:t>document CW</w:t>
      </w:r>
      <w:r>
        <w:t>S/8/24).</w:t>
      </w:r>
    </w:p>
    <w:p w14:paraId="6240B24C" w14:textId="1F15CA41" w:rsidR="00717B84" w:rsidRDefault="0002196D" w:rsidP="00791DAF">
      <w:pPr>
        <w:pStyle w:val="ONUMFS"/>
      </w:pPr>
      <w:r>
        <w:t>L</w:t>
      </w:r>
      <w:r w:rsidR="00717B84">
        <w:t>’</w:t>
      </w:r>
      <w:r>
        <w:t>équipe d</w:t>
      </w:r>
      <w:r w:rsidR="00717B84">
        <w:t>’</w:t>
      </w:r>
      <w:r>
        <w:t>experts a poursuivi ses travaux au titre de la tâche n° 59, qui a été modifiée pour la dernière fois à la sept</w:t>
      </w:r>
      <w:r w:rsidR="00717B84">
        <w:t>ième session du CWS</w:t>
      </w:r>
      <w:r>
        <w:t>, et dont la description est libellée comme suit</w:t>
      </w:r>
      <w:r w:rsidR="00717B84">
        <w:t> :</w:t>
      </w:r>
    </w:p>
    <w:p w14:paraId="22A1F344" w14:textId="51397F79" w:rsidR="0002196D" w:rsidRPr="00791DAF" w:rsidRDefault="0002196D" w:rsidP="00791DAF">
      <w:pPr>
        <w:pStyle w:val="ONUMFS"/>
        <w:numPr>
          <w:ilvl w:val="0"/>
          <w:numId w:val="0"/>
        </w:numPr>
        <w:ind w:firstLine="567"/>
        <w:rPr>
          <w:i/>
          <w:iCs/>
          <w:strike/>
          <w:szCs w:val="22"/>
        </w:rPr>
      </w:pPr>
      <w:r w:rsidRPr="00791DAF">
        <w:rPr>
          <w:i/>
          <w:iCs/>
        </w:rPr>
        <w:t>“Étudier la possibilité d</w:t>
      </w:r>
      <w:r w:rsidR="00717B84">
        <w:rPr>
          <w:i/>
          <w:iCs/>
        </w:rPr>
        <w:t>’</w:t>
      </w:r>
      <w:r w:rsidRPr="00791DAF">
        <w:rPr>
          <w:i/>
          <w:iCs/>
        </w:rPr>
        <w:t>utiliser la technologie de la chaîne de blocs dans les procédures d</w:t>
      </w:r>
      <w:r w:rsidR="00717B84">
        <w:rPr>
          <w:i/>
          <w:iCs/>
        </w:rPr>
        <w:t>’</w:t>
      </w:r>
      <w:r w:rsidRPr="00791DAF">
        <w:rPr>
          <w:i/>
          <w:iCs/>
        </w:rPr>
        <w:t xml:space="preserve">octroi de la protection des droits de propriété intellectuelle et de traitement des informations concernant les objets de propriété intellectuelle et leur utilisation; </w:t>
      </w:r>
      <w:r w:rsidR="00240E2C">
        <w:rPr>
          <w:i/>
          <w:iCs/>
        </w:rPr>
        <w:t xml:space="preserve"> </w:t>
      </w:r>
      <w:r w:rsidRPr="00791DAF">
        <w:rPr>
          <w:i/>
          <w:iCs/>
        </w:rPr>
        <w:t xml:space="preserve">recueillir des informations sur </w:t>
      </w:r>
      <w:r w:rsidRPr="00791DAF">
        <w:rPr>
          <w:i/>
          <w:iCs/>
        </w:rPr>
        <w:lastRenderedPageBreak/>
        <w:t>les progrès accomplis par les offices de propriété intellectuelle dans l</w:t>
      </w:r>
      <w:r w:rsidR="00717B84">
        <w:rPr>
          <w:i/>
          <w:iCs/>
        </w:rPr>
        <w:t>’</w:t>
      </w:r>
      <w:r w:rsidRPr="00791DAF">
        <w:rPr>
          <w:i/>
          <w:iCs/>
        </w:rPr>
        <w:t>utilisation de la chaîne de blocs et l</w:t>
      </w:r>
      <w:r w:rsidR="00717B84">
        <w:rPr>
          <w:i/>
          <w:iCs/>
        </w:rPr>
        <w:t>’</w:t>
      </w:r>
      <w:r w:rsidRPr="00791DAF">
        <w:rPr>
          <w:i/>
          <w:iCs/>
        </w:rPr>
        <w:t>expérience acquise en la matière, évaluer les normes applicables à la chaîne de blocs en vigueur dans le secteur privé et examiner le bien</w:t>
      </w:r>
      <w:r w:rsidR="00B24679">
        <w:rPr>
          <w:i/>
          <w:iCs/>
        </w:rPr>
        <w:noBreakHyphen/>
      </w:r>
      <w:r w:rsidRPr="00791DAF">
        <w:rPr>
          <w:i/>
          <w:iCs/>
        </w:rPr>
        <w:t>fondé et l</w:t>
      </w:r>
      <w:r w:rsidR="00717B84">
        <w:rPr>
          <w:i/>
          <w:iCs/>
        </w:rPr>
        <w:t>’</w:t>
      </w:r>
      <w:r w:rsidRPr="00791DAF">
        <w:rPr>
          <w:i/>
          <w:iCs/>
        </w:rPr>
        <w:t xml:space="preserve">applicabilité aux offices de propriété intellectuelle; </w:t>
      </w:r>
      <w:r w:rsidR="00240E2C">
        <w:rPr>
          <w:i/>
          <w:iCs/>
        </w:rPr>
        <w:t xml:space="preserve"> </w:t>
      </w:r>
      <w:r w:rsidRPr="00791DAF">
        <w:rPr>
          <w:i/>
          <w:iCs/>
        </w:rPr>
        <w:t>élaborer un modèle permettant de normaliser l</w:t>
      </w:r>
      <w:r w:rsidR="00717B84">
        <w:rPr>
          <w:i/>
          <w:iCs/>
        </w:rPr>
        <w:t>’</w:t>
      </w:r>
      <w:r w:rsidRPr="00791DAF">
        <w:rPr>
          <w:i/>
          <w:iCs/>
        </w:rPr>
        <w:t xml:space="preserve">utilisation de la chaîne de blocs dans le domaine de la propriété intellectuelle, </w:t>
      </w:r>
      <w:r w:rsidR="00717B84">
        <w:rPr>
          <w:i/>
          <w:iCs/>
        </w:rPr>
        <w:t>y compris</w:t>
      </w:r>
      <w:r w:rsidRPr="00791DAF">
        <w:rPr>
          <w:i/>
          <w:iCs/>
        </w:rPr>
        <w:t xml:space="preserve"> des principes directeurs, des pratiques communes et l</w:t>
      </w:r>
      <w:r w:rsidR="00717B84">
        <w:rPr>
          <w:i/>
          <w:iCs/>
        </w:rPr>
        <w:t>’</w:t>
      </w:r>
      <w:r w:rsidRPr="00791DAF">
        <w:rPr>
          <w:i/>
          <w:iCs/>
        </w:rPr>
        <w:t>utilisation de la terminologie à l</w:t>
      </w:r>
      <w:r w:rsidR="00717B84">
        <w:rPr>
          <w:i/>
          <w:iCs/>
        </w:rPr>
        <w:t>’</w:t>
      </w:r>
      <w:r w:rsidRPr="00791DAF">
        <w:rPr>
          <w:i/>
          <w:iCs/>
        </w:rPr>
        <w:t xml:space="preserve">appui de la collaboration, des projets conjoints et de la validation; </w:t>
      </w:r>
      <w:r w:rsidR="00240E2C">
        <w:rPr>
          <w:i/>
          <w:iCs/>
        </w:rPr>
        <w:t xml:space="preserve"> </w:t>
      </w:r>
      <w:r w:rsidRPr="00791DAF">
        <w:rPr>
          <w:i/>
          <w:iCs/>
        </w:rPr>
        <w:t>et établir une proposition de norme de l</w:t>
      </w:r>
      <w:r w:rsidR="00717B84">
        <w:rPr>
          <w:i/>
          <w:iCs/>
        </w:rPr>
        <w:t>’</w:t>
      </w:r>
      <w:r w:rsidRPr="00791DAF">
        <w:rPr>
          <w:i/>
          <w:iCs/>
        </w:rPr>
        <w:t>OMPI visant à appuyer l</w:t>
      </w:r>
      <w:r w:rsidR="00717B84">
        <w:rPr>
          <w:i/>
          <w:iCs/>
        </w:rPr>
        <w:t>’</w:t>
      </w:r>
      <w:r w:rsidRPr="00791DAF">
        <w:rPr>
          <w:i/>
          <w:iCs/>
        </w:rPr>
        <w:t>application potentielle de la chaîne de blocs dans l</w:t>
      </w:r>
      <w:r w:rsidR="00717B84">
        <w:rPr>
          <w:i/>
          <w:iCs/>
        </w:rPr>
        <w:t>’</w:t>
      </w:r>
      <w:r w:rsidRPr="00791DAF">
        <w:rPr>
          <w:i/>
          <w:iCs/>
        </w:rPr>
        <w:t>écosystème de la propriété intellectuelle.”</w:t>
      </w:r>
    </w:p>
    <w:p w14:paraId="39FE4CF9" w14:textId="535B78F1" w:rsidR="0002196D" w:rsidRDefault="0002196D" w:rsidP="0002196D">
      <w:pPr>
        <w:spacing w:after="220"/>
        <w:rPr>
          <w:szCs w:val="22"/>
        </w:rPr>
      </w:pPr>
      <w:r>
        <w:t>(</w:t>
      </w:r>
      <w:proofErr w:type="gramStart"/>
      <w:r>
        <w:t>voir</w:t>
      </w:r>
      <w:proofErr w:type="gramEnd"/>
      <w:r>
        <w:t xml:space="preserve"> le paragraphe 67 du </w:t>
      </w:r>
      <w:r w:rsidR="00717B84">
        <w:t>document CW</w:t>
      </w:r>
      <w:r>
        <w:t>S/7/29).</w:t>
      </w:r>
    </w:p>
    <w:p w14:paraId="6BDBBB0E" w14:textId="3E402245" w:rsidR="0002196D" w:rsidRPr="00791DAF" w:rsidRDefault="0002196D" w:rsidP="00791DAF">
      <w:pPr>
        <w:pStyle w:val="Heading2"/>
      </w:pPr>
      <w:r w:rsidRPr="00791DAF">
        <w:t>R</w:t>
      </w:r>
      <w:r w:rsidR="00791DAF" w:rsidRPr="00791DAF">
        <w:t>apport sur l</w:t>
      </w:r>
      <w:r w:rsidR="00717B84">
        <w:t>’</w:t>
      </w:r>
      <w:r w:rsidR="00791DAF" w:rsidRPr="00791DAF">
        <w:t>état d</w:t>
      </w:r>
      <w:r w:rsidR="00717B84">
        <w:t>’</w:t>
      </w:r>
      <w:r w:rsidR="00791DAF" w:rsidRPr="00791DAF">
        <w:t>avancement de la tâche n° 59</w:t>
      </w:r>
    </w:p>
    <w:p w14:paraId="67A3F6AE" w14:textId="77777777" w:rsidR="0002196D" w:rsidRDefault="0002196D" w:rsidP="0002196D">
      <w:pPr>
        <w:pStyle w:val="Heading3"/>
      </w:pPr>
      <w:r>
        <w:t>Objectif</w:t>
      </w:r>
    </w:p>
    <w:p w14:paraId="17F1F6D5" w14:textId="129CB1CF" w:rsidR="00717B84" w:rsidRDefault="0002196D" w:rsidP="00791DAF">
      <w:pPr>
        <w:pStyle w:val="ONUMFS"/>
      </w:pPr>
      <w:r>
        <w:t>L</w:t>
      </w:r>
      <w:r w:rsidR="00717B84">
        <w:t>’</w:t>
      </w:r>
      <w:r>
        <w:t>objectif principal de la tâche n° 59 est de recueillir et d</w:t>
      </w:r>
      <w:r w:rsidR="00717B84">
        <w:t>’</w:t>
      </w:r>
      <w:r>
        <w:t>analyser des informations relatives à la chaîne de blocs et à son application à l</w:t>
      </w:r>
      <w:r w:rsidR="00717B84">
        <w:t>’</w:t>
      </w:r>
      <w:r>
        <w:t>écosystème de la propriété intellectuelle, ainsi que d</w:t>
      </w:r>
      <w:r w:rsidR="00717B84">
        <w:t>’</w:t>
      </w:r>
      <w:r>
        <w:t>élaborer un ensemble de recommandations sur la chaîne de blocs dans l</w:t>
      </w:r>
      <w:r w:rsidR="00717B84">
        <w:t>’</w:t>
      </w:r>
      <w:r>
        <w:t>écosystème de la propriété intellectuelle.</w:t>
      </w:r>
    </w:p>
    <w:p w14:paraId="36507CAC" w14:textId="26E7714A" w:rsidR="0002196D" w:rsidRDefault="0002196D" w:rsidP="0002196D">
      <w:pPr>
        <w:pStyle w:val="Heading3"/>
      </w:pPr>
      <w:r>
        <w:t>Évaluation des progrès accomplis</w:t>
      </w:r>
    </w:p>
    <w:p w14:paraId="48CB9565" w14:textId="1C7CB103" w:rsidR="0002196D" w:rsidRDefault="0002196D" w:rsidP="00791DAF">
      <w:pPr>
        <w:pStyle w:val="ONUMFS"/>
        <w:rPr>
          <w:szCs w:val="22"/>
        </w:rPr>
      </w:pPr>
      <w:r>
        <w:t>Depuis la dernière session</w:t>
      </w:r>
      <w:r w:rsidR="00717B84">
        <w:t xml:space="preserve"> du CWS</w:t>
      </w:r>
      <w:r>
        <w:t>, le responsable de l</w:t>
      </w:r>
      <w:r w:rsidR="00717B84">
        <w:t>’</w:t>
      </w:r>
      <w:r>
        <w:t>équipe d</w:t>
      </w:r>
      <w:r w:rsidR="00717B84">
        <w:t>’</w:t>
      </w:r>
      <w:r>
        <w:t>experts a continué d</w:t>
      </w:r>
      <w:r w:rsidR="00717B84">
        <w:t>’</w:t>
      </w:r>
      <w:r>
        <w:t>améliorer le projet de nouvelle norme de l</w:t>
      </w:r>
      <w:r w:rsidR="00717B84">
        <w:t>’</w:t>
      </w:r>
      <w:r>
        <w:t xml:space="preserve">OMPI en se fondant sur les recherches approfondies menées </w:t>
      </w:r>
      <w:r w:rsidR="00717B84">
        <w:t>de 2019</w:t>
      </w:r>
      <w:r>
        <w:t xml:space="preserve"> à 2021.</w:t>
      </w:r>
    </w:p>
    <w:p w14:paraId="46886666" w14:textId="73B428AE" w:rsidR="00717B84" w:rsidRDefault="0002196D" w:rsidP="00791DAF">
      <w:pPr>
        <w:pStyle w:val="ONUMFS"/>
      </w:pPr>
      <w:r>
        <w:t>L</w:t>
      </w:r>
      <w:r w:rsidR="00717B84">
        <w:t>’</w:t>
      </w:r>
      <w:r>
        <w:t>équipe d</w:t>
      </w:r>
      <w:r w:rsidR="00717B84">
        <w:t>’</w:t>
      </w:r>
      <w:r>
        <w:t>experts s</w:t>
      </w:r>
      <w:r w:rsidR="00717B84">
        <w:t>’</w:t>
      </w:r>
      <w:r>
        <w:t>est réunie en ligne le 20 </w:t>
      </w:r>
      <w:r w:rsidR="00717B84">
        <w:t>mai 20</w:t>
      </w:r>
      <w:r>
        <w:t>25.  À cette réunion, le responsable de l</w:t>
      </w:r>
      <w:r w:rsidR="00717B84">
        <w:t>’</w:t>
      </w:r>
      <w:r>
        <w:t>équipe d</w:t>
      </w:r>
      <w:r w:rsidR="00717B84">
        <w:t>’</w:t>
      </w:r>
      <w:r>
        <w:t>experts a présenté les résultats préliminaires de son analyse de la liste d</w:t>
      </w:r>
      <w:r w:rsidR="00717B84">
        <w:t>’</w:t>
      </w:r>
      <w:r>
        <w:t>applications potentielles présentée dans le document intitulé “Chaîne de blocs et écosystèmes de la propriété intellectuelle</w:t>
      </w:r>
      <w:r w:rsidR="00717B84">
        <w:t> :</w:t>
      </w:r>
      <w:r>
        <w:rPr>
          <w:i/>
        </w:rPr>
        <w:t xml:space="preserve"> </w:t>
      </w:r>
      <w:r>
        <w:t>un livre blanc de l</w:t>
      </w:r>
      <w:r w:rsidR="00717B84">
        <w:t>’</w:t>
      </w:r>
      <w:r>
        <w:t xml:space="preserve">OMPI”, publié </w:t>
      </w:r>
      <w:r w:rsidR="00717B84">
        <w:t>en 2021</w:t>
      </w:r>
      <w:r>
        <w:t>, et a donné un aperçu de chaque applicati</w:t>
      </w:r>
      <w:r w:rsidR="00B24679">
        <w:t>on.  Il</w:t>
      </w:r>
      <w:r>
        <w:t xml:space="preserve"> a été noté que certaines des applications présentées sont trop générales pour permettre de formuler des recommandations à l</w:t>
      </w:r>
      <w:r w:rsidR="00717B84">
        <w:t>’</w:t>
      </w:r>
      <w:r>
        <w:t>intention des offices de propriété intellectuelle, tandis que d</w:t>
      </w:r>
      <w:r w:rsidR="00717B84">
        <w:t>’</w:t>
      </w:r>
      <w:r>
        <w:t>autres pourraient être regroupées.</w:t>
      </w:r>
    </w:p>
    <w:p w14:paraId="3CBA8E80" w14:textId="08DE268D" w:rsidR="0002196D" w:rsidRDefault="0002196D" w:rsidP="00791DAF">
      <w:pPr>
        <w:pStyle w:val="ONUMFS"/>
      </w:pPr>
      <w:r>
        <w:t>Compte tenu de ces résultats préliminaires, le responsable de l</w:t>
      </w:r>
      <w:r w:rsidR="00717B84">
        <w:t>’</w:t>
      </w:r>
      <w:r>
        <w:t>équipe d</w:t>
      </w:r>
      <w:r w:rsidR="00717B84">
        <w:t>’</w:t>
      </w:r>
      <w:r>
        <w:t>experts a défini l</w:t>
      </w:r>
      <w:r w:rsidR="00717B84">
        <w:t>’</w:t>
      </w:r>
      <w:r>
        <w:t>orientation des travaux futurs, qui comprend une liste révisée d</w:t>
      </w:r>
      <w:r w:rsidR="00717B84">
        <w:t>’</w:t>
      </w:r>
      <w:r>
        <w:t>applications dans le projet de norme de l</w:t>
      </w:r>
      <w:r w:rsidR="00717B84">
        <w:t>’</w:t>
      </w:r>
      <w:r>
        <w:t>O</w:t>
      </w:r>
      <w:r w:rsidR="00B24679">
        <w:t>MPI.  Ce</w:t>
      </w:r>
      <w:r>
        <w:t>tte liste d</w:t>
      </w:r>
      <w:r w:rsidR="00717B84">
        <w:t>’</w:t>
      </w:r>
      <w:r>
        <w:t>applications potentielles peut inclure les thèmes ci</w:t>
      </w:r>
      <w:r w:rsidR="00B24679">
        <w:noBreakHyphen/>
      </w:r>
      <w:r>
        <w:t>après</w:t>
      </w:r>
      <w:r w:rsidR="00717B84">
        <w:t> :</w:t>
      </w:r>
    </w:p>
    <w:p w14:paraId="5BF9932C" w14:textId="3A529FAB" w:rsidR="0002196D" w:rsidRDefault="0002196D" w:rsidP="00791DAF">
      <w:pPr>
        <w:pStyle w:val="ONUMFS"/>
        <w:numPr>
          <w:ilvl w:val="0"/>
          <w:numId w:val="9"/>
        </w:numPr>
        <w:tabs>
          <w:tab w:val="clear" w:pos="567"/>
        </w:tabs>
        <w:ind w:left="1134" w:hanging="567"/>
      </w:pPr>
      <w:r>
        <w:t>L</w:t>
      </w:r>
      <w:r w:rsidR="00717B84">
        <w:t>’</w:t>
      </w:r>
      <w:r>
        <w:t>horodatage comme preuve d</w:t>
      </w:r>
      <w:r w:rsidR="00717B84">
        <w:t>’</w:t>
      </w:r>
      <w:r>
        <w:t>existence des fichiers numériques;</w:t>
      </w:r>
    </w:p>
    <w:p w14:paraId="108FF48D" w14:textId="17EAEBFC" w:rsidR="0002196D" w:rsidRPr="00FA18A1" w:rsidRDefault="0002196D" w:rsidP="00791DAF">
      <w:pPr>
        <w:pStyle w:val="ONUMFS"/>
        <w:numPr>
          <w:ilvl w:val="0"/>
          <w:numId w:val="9"/>
        </w:numPr>
        <w:tabs>
          <w:tab w:val="clear" w:pos="567"/>
        </w:tabs>
        <w:ind w:left="1134" w:hanging="567"/>
      </w:pPr>
      <w:r>
        <w:t>La vérification de l</w:t>
      </w:r>
      <w:r w:rsidR="00717B84">
        <w:t>’</w:t>
      </w:r>
      <w:r>
        <w:t>identité numérique des déposants;</w:t>
      </w:r>
    </w:p>
    <w:p w14:paraId="7DA57878" w14:textId="77777777" w:rsidR="0002196D" w:rsidRDefault="0002196D" w:rsidP="00791DAF">
      <w:pPr>
        <w:pStyle w:val="ONUMFS"/>
        <w:numPr>
          <w:ilvl w:val="0"/>
          <w:numId w:val="9"/>
        </w:numPr>
        <w:tabs>
          <w:tab w:val="clear" w:pos="567"/>
        </w:tabs>
        <w:ind w:left="1134" w:hanging="567"/>
      </w:pPr>
      <w:r>
        <w:t>Les registres de propriété intellectuelle décentralisés;</w:t>
      </w:r>
    </w:p>
    <w:p w14:paraId="500B9D16" w14:textId="77777777" w:rsidR="0002196D" w:rsidRDefault="0002196D" w:rsidP="00791DAF">
      <w:pPr>
        <w:pStyle w:val="ONUMFS"/>
        <w:numPr>
          <w:ilvl w:val="0"/>
          <w:numId w:val="9"/>
        </w:numPr>
        <w:tabs>
          <w:tab w:val="clear" w:pos="567"/>
        </w:tabs>
        <w:ind w:left="1134" w:hanging="567"/>
      </w:pPr>
      <w:r>
        <w:t>La preuve de la création de droits de propriété intellectuelle;</w:t>
      </w:r>
    </w:p>
    <w:p w14:paraId="68963AD1" w14:textId="065791D9" w:rsidR="0002196D" w:rsidRDefault="0002196D" w:rsidP="00791DAF">
      <w:pPr>
        <w:pStyle w:val="ONUMFS"/>
        <w:numPr>
          <w:ilvl w:val="0"/>
          <w:numId w:val="9"/>
        </w:numPr>
        <w:tabs>
          <w:tab w:val="clear" w:pos="567"/>
        </w:tabs>
        <w:ind w:left="1134" w:hanging="567"/>
      </w:pPr>
      <w:r>
        <w:t>Les systèmes d</w:t>
      </w:r>
      <w:r w:rsidR="00717B84">
        <w:t>’</w:t>
      </w:r>
      <w:r>
        <w:t>échange de documents de priorité.</w:t>
      </w:r>
    </w:p>
    <w:p w14:paraId="665B5E5B" w14:textId="63593A08" w:rsidR="0002196D" w:rsidRDefault="0002196D" w:rsidP="00791DAF">
      <w:pPr>
        <w:pStyle w:val="ONUMFS"/>
      </w:pPr>
      <w:r>
        <w:t>L</w:t>
      </w:r>
      <w:r w:rsidR="00717B84">
        <w:t>’</w:t>
      </w:r>
      <w:r>
        <w:t>équipe d</w:t>
      </w:r>
      <w:r w:rsidR="00717B84">
        <w:t>’</w:t>
      </w:r>
      <w:r>
        <w:t>experts a mentionné les études conjointes sur la chaîne de blocs et la propriété intellectuelle produites par les offices de Singapour et de la Suisse, dont les résultats ont été présentés à la première session du Dialogue de haut niveau de l</w:t>
      </w:r>
      <w:r w:rsidR="00717B84">
        <w:t>’</w:t>
      </w:r>
      <w:r>
        <w:t>OMPI sur le numériq</w:t>
      </w:r>
      <w:r w:rsidR="00B24679">
        <w:t>ue.  Lo</w:t>
      </w:r>
      <w:r>
        <w:t>rs de la réunion du groupe de travail qui s</w:t>
      </w:r>
      <w:r w:rsidR="00717B84">
        <w:t>’</w:t>
      </w:r>
      <w:r>
        <w:t>est tenue en mai, il a été proposé de se concentrer sur un ou deux</w:t>
      </w:r>
      <w:r w:rsidR="00240E2C">
        <w:t> </w:t>
      </w:r>
      <w:r>
        <w:t>domaines clés à approfondir et de se reporter aux résultats de l</w:t>
      </w:r>
      <w:r w:rsidR="00717B84">
        <w:t>’</w:t>
      </w:r>
      <w:r>
        <w:t>étude conjointe comme référence uti</w:t>
      </w:r>
      <w:r w:rsidR="00B24679">
        <w:t>le.  Il</w:t>
      </w:r>
      <w:r>
        <w:t xml:space="preserve"> a également été suggéré de collaborer avec d</w:t>
      </w:r>
      <w:r w:rsidR="00717B84">
        <w:t>’</w:t>
      </w:r>
      <w:r>
        <w:t>autres offices de propriété intellectuelle qui utilisent déjà la technologie de la chaîne de blocs afin de recueillir d</w:t>
      </w:r>
      <w:r w:rsidR="00717B84">
        <w:t>’</w:t>
      </w:r>
      <w:r>
        <w:t>autres exemples concrets.</w:t>
      </w:r>
    </w:p>
    <w:p w14:paraId="5A3FC19E" w14:textId="49078B38" w:rsidR="0002196D" w:rsidRDefault="0002196D" w:rsidP="00791DAF">
      <w:pPr>
        <w:pStyle w:val="ONUMFS"/>
      </w:pPr>
      <w:r>
        <w:t>Dans le cadre de l</w:t>
      </w:r>
      <w:r w:rsidR="00717B84">
        <w:t>’</w:t>
      </w:r>
      <w:r>
        <w:t>étude en cours, le responsable de l</w:t>
      </w:r>
      <w:r w:rsidR="00717B84">
        <w:t>’</w:t>
      </w:r>
      <w:r>
        <w:t>équipe d</w:t>
      </w:r>
      <w:r w:rsidR="00717B84">
        <w:t>’</w:t>
      </w:r>
      <w:r>
        <w:t>experts a examiné les publications relatives à la chaîne de blocs disponibles sur les sites</w:t>
      </w:r>
      <w:r w:rsidR="00240E2C">
        <w:t> </w:t>
      </w:r>
      <w:r>
        <w:t>Web officiels des offices ou des organisatio</w:t>
      </w:r>
      <w:r w:rsidR="00B24679">
        <w:t>ns.  Le</w:t>
      </w:r>
      <w:r>
        <w:t>s offices de propriété intellectuelle suivants de 15 États membres et quatre</w:t>
      </w:r>
      <w:r w:rsidR="00240E2C">
        <w:t> </w:t>
      </w:r>
      <w:r>
        <w:t>organisations semblent être les plus actifs en matière d</w:t>
      </w:r>
      <w:r w:rsidR="00717B84">
        <w:t>’</w:t>
      </w:r>
      <w:r>
        <w:t>utilisation des technologies de la chaîne de blocs</w:t>
      </w:r>
      <w:r w:rsidR="00717B84">
        <w:t> :</w:t>
      </w:r>
      <w:r>
        <w:t xml:space="preserve"> Australie (AU), Espagne (ES), États</w:t>
      </w:r>
      <w:r w:rsidR="00B24679">
        <w:noBreakHyphen/>
      </w:r>
      <w:r>
        <w:t>Unis d</w:t>
      </w:r>
      <w:r w:rsidR="00717B84">
        <w:t>’</w:t>
      </w:r>
      <w:r>
        <w:t>Amérique (US), Fédération de Russie (RU), Grèce (GR), Israël (IL), Japon (JP), Norvège (NO), Nouvelle</w:t>
      </w:r>
      <w:r w:rsidR="00B24679">
        <w:noBreakHyphen/>
      </w:r>
      <w:r>
        <w:t>Zélande (NZ), Philippines (PH), Royaume</w:t>
      </w:r>
      <w:r w:rsidR="00B24679">
        <w:noBreakHyphen/>
      </w:r>
      <w:r>
        <w:t>Uni (GB), Singapour (SG), Slovaquie (SK), Suède (SE), Suisse (CH), Office de l</w:t>
      </w:r>
      <w:r w:rsidR="00717B84">
        <w:t>’</w:t>
      </w:r>
      <w:r>
        <w:t>Union européenne pour la propriété intellectuelle (EUIPO), Organisation européenne des brevets (OEB), Organisation Mondiale de la Propriété Intellectuelle (OMPI) et Union internationale pour la protection des obtentions végétales (UPOV).  À cet égard, leur expérience pourrait servir de point de départ à des recherches plus approfondi</w:t>
      </w:r>
      <w:r w:rsidR="00B24679">
        <w:t>es.  Pa</w:t>
      </w:r>
      <w:r>
        <w:t>rmi ces offices de propriété intellectuelle, l</w:t>
      </w:r>
      <w:r w:rsidR="00717B84">
        <w:t>’</w:t>
      </w:r>
      <w:r>
        <w:t>application concrète la plus développée de la chaîne de blocs a été mentionnée sur le site</w:t>
      </w:r>
      <w:r w:rsidR="00240E2C">
        <w:t> </w:t>
      </w:r>
      <w:r>
        <w:t>Web de l</w:t>
      </w:r>
      <w:r w:rsidR="00717B84">
        <w:t>’</w:t>
      </w:r>
      <w:r>
        <w:t xml:space="preserve">EUIPO, </w:t>
      </w:r>
      <w:r w:rsidR="00717B84">
        <w:t>à savoir</w:t>
      </w:r>
      <w:r>
        <w:t xml:space="preserve"> son infrastructure d</w:t>
      </w:r>
      <w:r w:rsidR="00717B84">
        <w:t>’</w:t>
      </w:r>
      <w:r>
        <w:t>authentification fondée sur la chaîne de blocs.</w:t>
      </w:r>
    </w:p>
    <w:p w14:paraId="5AF3AE34" w14:textId="77777777" w:rsidR="0002196D" w:rsidRDefault="0002196D" w:rsidP="0002196D">
      <w:pPr>
        <w:pStyle w:val="Heading3"/>
        <w:rPr>
          <w:szCs w:val="22"/>
        </w:rPr>
      </w:pPr>
      <w:r>
        <w:t>Difficultés rencontrées</w:t>
      </w:r>
    </w:p>
    <w:p w14:paraId="516ED8A2" w14:textId="3A095833" w:rsidR="0002196D" w:rsidRDefault="0002196D" w:rsidP="00791DAF">
      <w:pPr>
        <w:pStyle w:val="ONUMFS"/>
      </w:pPr>
      <w:r>
        <w:t>L</w:t>
      </w:r>
      <w:r w:rsidR="00717B84">
        <w:t>’</w:t>
      </w:r>
      <w:r>
        <w:t>équipe d</w:t>
      </w:r>
      <w:r w:rsidR="00717B84">
        <w:t>’</w:t>
      </w:r>
      <w:r>
        <w:t>experts a fait face aux problèmes majeurs ci</w:t>
      </w:r>
      <w:r w:rsidR="00B24679">
        <w:noBreakHyphen/>
      </w:r>
      <w:r>
        <w:t>après</w:t>
      </w:r>
      <w:r w:rsidR="00717B84">
        <w:t> :</w:t>
      </w:r>
      <w:r>
        <w:t xml:space="preserve"> implication insuffisante des experts en raison de leur manque d</w:t>
      </w:r>
      <w:r w:rsidR="00717B84">
        <w:t>’</w:t>
      </w:r>
      <w:r>
        <w:t>expérience dans la mise en œuvre des technologies de la chaîne de blocs dans les différents domaines de la propriété intellectuel</w:t>
      </w:r>
      <w:r w:rsidR="00B24679">
        <w:t>le.  L’é</w:t>
      </w:r>
      <w:r>
        <w:t>quipe d</w:t>
      </w:r>
      <w:r w:rsidR="00717B84">
        <w:t>’</w:t>
      </w:r>
      <w:r>
        <w:t>experts prie</w:t>
      </w:r>
      <w:r w:rsidR="00717B84">
        <w:t xml:space="preserve"> le CWS</w:t>
      </w:r>
      <w:r>
        <w:t xml:space="preserve"> d</w:t>
      </w:r>
      <w:r w:rsidR="00717B84">
        <w:t>’</w:t>
      </w:r>
      <w:r>
        <w:t>encourager les offices de propriété intellectuelle qui mettent actuellement en œuvre ou prévoient de mettre en œuvre cette technologie à rejoindre l</w:t>
      </w:r>
      <w:r w:rsidR="00717B84">
        <w:t>’</w:t>
      </w:r>
      <w:r>
        <w:t>équipe d</w:t>
      </w:r>
      <w:r w:rsidR="00717B84">
        <w:t>’</w:t>
      </w:r>
      <w:r>
        <w:t>experts afin de partager leur expérience.</w:t>
      </w:r>
    </w:p>
    <w:p w14:paraId="24798D3B" w14:textId="3966679F" w:rsidR="0002196D" w:rsidRPr="00EC62F1" w:rsidRDefault="0002196D" w:rsidP="00791DAF">
      <w:pPr>
        <w:pStyle w:val="Heading2"/>
      </w:pPr>
      <w:r>
        <w:t>P</w:t>
      </w:r>
      <w:r w:rsidR="00791DAF" w:rsidRPr="00791DAF">
        <w:t>rogramme de travail</w:t>
      </w:r>
    </w:p>
    <w:p w14:paraId="662BC3C2" w14:textId="1AE52D74" w:rsidR="0002196D" w:rsidRDefault="0002196D" w:rsidP="00791DAF">
      <w:pPr>
        <w:pStyle w:val="ONUMFS"/>
      </w:pPr>
      <w:r>
        <w:t>L</w:t>
      </w:r>
      <w:r w:rsidR="00717B84">
        <w:t>’</w:t>
      </w:r>
      <w:r>
        <w:t>équipe d</w:t>
      </w:r>
      <w:r w:rsidR="00717B84">
        <w:t>’</w:t>
      </w:r>
      <w:r>
        <w:t>experts informe</w:t>
      </w:r>
      <w:r w:rsidR="00717B84">
        <w:t xml:space="preserve"> le CWS</w:t>
      </w:r>
      <w:r>
        <w:t xml:space="preserve"> de son programme de travail </w:t>
      </w:r>
      <w:r w:rsidR="00717B84">
        <w:t>pour 2025</w:t>
      </w:r>
      <w:r w:rsidR="00B24679">
        <w:noBreakHyphen/>
      </w:r>
      <w:r>
        <w:t>2026, qui se présente comme suit</w:t>
      </w:r>
      <w:r w:rsidR="00717B84">
        <w:t> :</w:t>
      </w:r>
    </w:p>
    <w:tbl>
      <w:tblPr>
        <w:tblStyle w:val="TableGrid"/>
        <w:tblW w:w="9606" w:type="dxa"/>
        <w:tblInd w:w="0" w:type="dxa"/>
        <w:tblLook w:val="04A0" w:firstRow="1" w:lastRow="0" w:firstColumn="1" w:lastColumn="0" w:noHBand="0" w:noVBand="1"/>
      </w:tblPr>
      <w:tblGrid>
        <w:gridCol w:w="2972"/>
        <w:gridCol w:w="4394"/>
        <w:gridCol w:w="2240"/>
      </w:tblGrid>
      <w:tr w:rsidR="0002196D" w14:paraId="6240502E" w14:textId="77777777" w:rsidTr="000F20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01D393" w14:textId="77777777" w:rsidR="0002196D" w:rsidRDefault="0002196D" w:rsidP="00C26F21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Objet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1E9009" w14:textId="77777777" w:rsidR="0002196D" w:rsidRDefault="0002196D" w:rsidP="00C26F21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8876BE" w14:textId="77777777" w:rsidR="0002196D" w:rsidRDefault="0002196D" w:rsidP="00C26F21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Calendrier</w:t>
            </w:r>
          </w:p>
        </w:tc>
      </w:tr>
      <w:tr w:rsidR="0002196D" w14:paraId="3F24C65D" w14:textId="77777777" w:rsidTr="000F20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E9E6" w14:textId="77777777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CWS/13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F9B1" w14:textId="12CF2720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Rapport de l</w:t>
            </w:r>
            <w:r w:rsidR="00717B84">
              <w:t>’</w:t>
            </w:r>
            <w:r>
              <w:t>équipe d</w:t>
            </w:r>
            <w:r w:rsidR="00717B84">
              <w:t>’</w:t>
            </w:r>
            <w:r>
              <w:t>experts à la treiz</w:t>
            </w:r>
            <w:r w:rsidR="00717B84">
              <w:t>ième session du CWS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CCAC" w14:textId="13F9D5CD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10 – 1</w:t>
            </w:r>
            <w:r w:rsidR="00717B84">
              <w:t>4</w:t>
            </w:r>
            <w:r w:rsidR="000F209E">
              <w:t xml:space="preserve"> </w:t>
            </w:r>
            <w:r w:rsidR="00717B84">
              <w:t>novembre</w:t>
            </w:r>
            <w:r w:rsidR="000F209E">
              <w:t xml:space="preserve"> </w:t>
            </w:r>
            <w:r w:rsidR="00717B84">
              <w:t>20</w:t>
            </w:r>
            <w:r>
              <w:t>25</w:t>
            </w:r>
          </w:p>
        </w:tc>
      </w:tr>
      <w:tr w:rsidR="0002196D" w14:paraId="6C748A92" w14:textId="77777777" w:rsidTr="000F20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C93" w14:textId="77777777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Amélioration du projet de norme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FE42" w14:textId="5981D9C3" w:rsidR="0002196D" w:rsidRDefault="0002196D" w:rsidP="00C26F21">
            <w:pPr>
              <w:spacing w:before="60" w:after="60"/>
            </w:pPr>
            <w:r>
              <w:t>Rechercher et analyser des cas d</w:t>
            </w:r>
            <w:r w:rsidR="00717B84">
              <w:t>’</w:t>
            </w:r>
            <w:r>
              <w:t>utilisation de la chaîne de blocs auprès des membres de la communauté de la propriété intellectuelle qui l</w:t>
            </w:r>
            <w:r w:rsidR="00717B84">
              <w:t>’</w:t>
            </w:r>
            <w:r>
              <w:t>utilisent, et améliorer encore le projet de norme.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264A" w14:textId="77777777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2025 – 2026</w:t>
            </w:r>
          </w:p>
        </w:tc>
      </w:tr>
      <w:tr w:rsidR="0002196D" w14:paraId="0743BDB2" w14:textId="77777777" w:rsidTr="000F20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EAE4" w14:textId="0A4EFE35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Réunion de l</w:t>
            </w:r>
            <w:r w:rsidR="00717B84">
              <w:t>’</w:t>
            </w:r>
            <w:r>
              <w:t>équipe d</w:t>
            </w:r>
            <w:r w:rsidR="00717B84">
              <w:t>’</w:t>
            </w:r>
            <w:r>
              <w:t>experts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FD60" w14:textId="7B4221FD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Organiser une réunion virtuelle de l</w:t>
            </w:r>
            <w:r w:rsidR="00717B84">
              <w:t>’</w:t>
            </w:r>
            <w:r>
              <w:t>équipe d</w:t>
            </w:r>
            <w:r w:rsidR="00717B84">
              <w:t>’</w:t>
            </w:r>
            <w:r>
              <w:t>experts pour examiner les résultats de la recherche.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2FD5" w14:textId="77777777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2026</w:t>
            </w:r>
          </w:p>
        </w:tc>
      </w:tr>
      <w:tr w:rsidR="0002196D" w14:paraId="134C8BCC" w14:textId="77777777" w:rsidTr="000F20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1BCC" w14:textId="26D43B3C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Préparation en vue de la quatorz</w:t>
            </w:r>
            <w:r w:rsidR="00717B84">
              <w:t>ième session du CWS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3B8D" w14:textId="22EAE5CD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Rédaction des documents de travail pour la prochaine session</w:t>
            </w:r>
            <w:r w:rsidR="00717B84">
              <w:t xml:space="preserve"> du CWS</w:t>
            </w:r>
            <w: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4CEA" w14:textId="77777777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2026</w:t>
            </w:r>
          </w:p>
        </w:tc>
      </w:tr>
      <w:tr w:rsidR="0002196D" w14:paraId="012A1B16" w14:textId="77777777" w:rsidTr="000F20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BBF7" w14:textId="77777777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CWS/14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EF09" w14:textId="70FD1DAA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Rapport de l</w:t>
            </w:r>
            <w:r w:rsidR="00717B84">
              <w:t>’</w:t>
            </w:r>
            <w:r>
              <w:t>équipe d</w:t>
            </w:r>
            <w:r w:rsidR="00717B84">
              <w:t>’</w:t>
            </w:r>
            <w:r>
              <w:t>experts à la quatorz</w:t>
            </w:r>
            <w:r w:rsidR="00717B84">
              <w:t>ième session du CWS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134C" w14:textId="6118FE99" w:rsidR="0002196D" w:rsidRDefault="0002196D" w:rsidP="00C26F21">
            <w:pPr>
              <w:spacing w:before="60" w:after="60"/>
              <w:rPr>
                <w:szCs w:val="20"/>
              </w:rPr>
            </w:pPr>
            <w:r>
              <w:t>2026</w:t>
            </w:r>
          </w:p>
        </w:tc>
      </w:tr>
    </w:tbl>
    <w:p w14:paraId="753F5DD5" w14:textId="1B197639" w:rsidR="0002196D" w:rsidRPr="00791DAF" w:rsidRDefault="0002196D" w:rsidP="00791DAF">
      <w:pPr>
        <w:pStyle w:val="ONUMFS"/>
        <w:spacing w:before="220"/>
        <w:ind w:left="5533"/>
        <w:rPr>
          <w:i/>
          <w:szCs w:val="22"/>
        </w:rPr>
      </w:pPr>
      <w:r w:rsidRPr="00791DAF">
        <w:rPr>
          <w:i/>
        </w:rPr>
        <w:t>Le CWS est invité</w:t>
      </w:r>
    </w:p>
    <w:p w14:paraId="13DF4A31" w14:textId="77777777" w:rsidR="00717B84" w:rsidRDefault="0002196D" w:rsidP="00791DAF">
      <w:pPr>
        <w:pStyle w:val="ONUMFS"/>
        <w:numPr>
          <w:ilvl w:val="1"/>
          <w:numId w:val="6"/>
        </w:numPr>
        <w:ind w:left="5533"/>
        <w:rPr>
          <w:i/>
        </w:rPr>
      </w:pPr>
      <w:proofErr w:type="gramStart"/>
      <w:r w:rsidRPr="00791DAF">
        <w:rPr>
          <w:i/>
        </w:rPr>
        <w:t>à</w:t>
      </w:r>
      <w:proofErr w:type="gramEnd"/>
      <w:r w:rsidRPr="00791DAF">
        <w:rPr>
          <w:i/>
        </w:rPr>
        <w:t xml:space="preserve"> prendre note du contenu du présent document,</w:t>
      </w:r>
    </w:p>
    <w:p w14:paraId="5D74F8AC" w14:textId="27A617CF" w:rsidR="0002196D" w:rsidRPr="00791DAF" w:rsidRDefault="0002196D" w:rsidP="00791DAF">
      <w:pPr>
        <w:pStyle w:val="ONUMFS"/>
        <w:numPr>
          <w:ilvl w:val="1"/>
          <w:numId w:val="6"/>
        </w:numPr>
        <w:ind w:left="5533"/>
        <w:rPr>
          <w:i/>
        </w:rPr>
      </w:pPr>
      <w:proofErr w:type="gramStart"/>
      <w:r w:rsidRPr="00791DAF">
        <w:rPr>
          <w:i/>
        </w:rPr>
        <w:t>à</w:t>
      </w:r>
      <w:proofErr w:type="gramEnd"/>
      <w:r w:rsidRPr="00791DAF">
        <w:rPr>
          <w:i/>
        </w:rPr>
        <w:t xml:space="preserve"> encourager les offices de propriété intellectuelle à rejoindre l</w:t>
      </w:r>
      <w:r w:rsidR="00717B84">
        <w:rPr>
          <w:i/>
        </w:rPr>
        <w:t>’</w:t>
      </w:r>
      <w:r w:rsidRPr="00791DAF">
        <w:rPr>
          <w:i/>
        </w:rPr>
        <w:t>équipe d</w:t>
      </w:r>
      <w:r w:rsidR="00717B84">
        <w:rPr>
          <w:i/>
        </w:rPr>
        <w:t>’</w:t>
      </w:r>
      <w:r w:rsidRPr="00791DAF">
        <w:rPr>
          <w:i/>
        </w:rPr>
        <w:t>experts et à partager leur expérience, comme indiqué au paragraphe 10, et</w:t>
      </w:r>
    </w:p>
    <w:p w14:paraId="6B74C56F" w14:textId="1393F83B" w:rsidR="0002196D" w:rsidRPr="00791DAF" w:rsidRDefault="0002196D" w:rsidP="00791DAF">
      <w:pPr>
        <w:pStyle w:val="ONUMFS"/>
        <w:numPr>
          <w:ilvl w:val="1"/>
          <w:numId w:val="6"/>
        </w:numPr>
        <w:ind w:left="5533"/>
        <w:rPr>
          <w:i/>
        </w:rPr>
      </w:pPr>
      <w:proofErr w:type="gramStart"/>
      <w:r w:rsidRPr="00791DAF">
        <w:rPr>
          <w:i/>
        </w:rPr>
        <w:t>à</w:t>
      </w:r>
      <w:proofErr w:type="gramEnd"/>
      <w:r w:rsidRPr="00791DAF">
        <w:rPr>
          <w:i/>
        </w:rPr>
        <w:t xml:space="preserve"> prendre note du programme de travail proposé de l</w:t>
      </w:r>
      <w:r w:rsidR="00717B84">
        <w:rPr>
          <w:i/>
        </w:rPr>
        <w:t>’</w:t>
      </w:r>
      <w:r w:rsidRPr="00791DAF">
        <w:rPr>
          <w:i/>
        </w:rPr>
        <w:t>Équipe d</w:t>
      </w:r>
      <w:r w:rsidR="00717B84">
        <w:rPr>
          <w:i/>
        </w:rPr>
        <w:t>’</w:t>
      </w:r>
      <w:r w:rsidRPr="00791DAF">
        <w:rPr>
          <w:i/>
        </w:rPr>
        <w:t>experts chargée de la chaîne de blocs, présenté au paragraphe 11.</w:t>
      </w:r>
    </w:p>
    <w:p w14:paraId="42E4B2CC" w14:textId="77777777" w:rsidR="0002196D" w:rsidRDefault="0002196D" w:rsidP="00791DAF">
      <w:pPr>
        <w:pStyle w:val="Endofdocument-Annex"/>
        <w:spacing w:before="720"/>
      </w:pPr>
      <w:r>
        <w:t>[Fin du document]</w:t>
      </w:r>
    </w:p>
    <w:sectPr w:rsidR="0002196D" w:rsidSect="0002196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D475" w14:textId="77777777" w:rsidR="00C25762" w:rsidRPr="00290DCD" w:rsidRDefault="00C25762">
      <w:r w:rsidRPr="00290DCD">
        <w:separator/>
      </w:r>
    </w:p>
  </w:endnote>
  <w:endnote w:type="continuationSeparator" w:id="0">
    <w:p w14:paraId="70E267C0" w14:textId="77777777" w:rsidR="00C25762" w:rsidRPr="00290DCD" w:rsidRDefault="00C25762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38B31B4C" w14:textId="77777777" w:rsidR="00C25762" w:rsidRPr="00290DCD" w:rsidRDefault="00C25762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723E55CA" w14:textId="77777777" w:rsidR="00C25762" w:rsidRPr="00290DCD" w:rsidRDefault="00C25762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6A3B" w14:textId="77777777" w:rsidR="00C25762" w:rsidRPr="00290DCD" w:rsidRDefault="00C25762">
      <w:r w:rsidRPr="00290DCD">
        <w:separator/>
      </w:r>
    </w:p>
  </w:footnote>
  <w:footnote w:type="continuationSeparator" w:id="0">
    <w:p w14:paraId="25656836" w14:textId="77777777" w:rsidR="00C25762" w:rsidRPr="00290DCD" w:rsidRDefault="00C25762" w:rsidP="007461F1">
      <w:r w:rsidRPr="00290DCD">
        <w:separator/>
      </w:r>
    </w:p>
    <w:p w14:paraId="3E5B9424" w14:textId="77777777" w:rsidR="00C25762" w:rsidRPr="00290DCD" w:rsidRDefault="00C25762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26158D30" w14:textId="77777777" w:rsidR="00C25762" w:rsidRPr="00290DCD" w:rsidRDefault="00C25762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F24B" w14:textId="434A03CE" w:rsidR="00F16975" w:rsidRPr="00290DCD" w:rsidRDefault="0002196D" w:rsidP="00477D6B">
    <w:pPr>
      <w:jc w:val="right"/>
    </w:pPr>
    <w:bookmarkStart w:id="5" w:name="Code2"/>
    <w:bookmarkEnd w:id="5"/>
    <w:r>
      <w:t>CWS/13/10</w:t>
    </w:r>
  </w:p>
  <w:p w14:paraId="163AE31E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CB0D6A"/>
    <w:multiLevelType w:val="multilevel"/>
    <w:tmpl w:val="84D4345A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B04DA4"/>
    <w:multiLevelType w:val="hybridMultilevel"/>
    <w:tmpl w:val="918C1264"/>
    <w:lvl w:ilvl="0" w:tplc="E6B8B40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7C4635D"/>
    <w:multiLevelType w:val="hybridMultilevel"/>
    <w:tmpl w:val="9CFCDEE2"/>
    <w:lvl w:ilvl="0" w:tplc="30323D92">
      <w:start w:val="1"/>
      <w:numFmt w:val="lowerLetter"/>
      <w:lvlText w:val="(%1)"/>
      <w:lvlJc w:val="left"/>
      <w:pPr>
        <w:ind w:left="6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6" w:hanging="360"/>
      </w:pPr>
    </w:lvl>
    <w:lvl w:ilvl="2" w:tplc="0409001B" w:tentative="1">
      <w:start w:val="1"/>
      <w:numFmt w:val="lowerRoman"/>
      <w:lvlText w:val="%3."/>
      <w:lvlJc w:val="right"/>
      <w:pPr>
        <w:ind w:left="7476" w:hanging="180"/>
      </w:pPr>
    </w:lvl>
    <w:lvl w:ilvl="3" w:tplc="0409000F" w:tentative="1">
      <w:start w:val="1"/>
      <w:numFmt w:val="decimal"/>
      <w:lvlText w:val="%4."/>
      <w:lvlJc w:val="left"/>
      <w:pPr>
        <w:ind w:left="8196" w:hanging="360"/>
      </w:pPr>
    </w:lvl>
    <w:lvl w:ilvl="4" w:tplc="04090019" w:tentative="1">
      <w:start w:val="1"/>
      <w:numFmt w:val="lowerLetter"/>
      <w:lvlText w:val="%5."/>
      <w:lvlJc w:val="left"/>
      <w:pPr>
        <w:ind w:left="8916" w:hanging="360"/>
      </w:pPr>
    </w:lvl>
    <w:lvl w:ilvl="5" w:tplc="0409001B" w:tentative="1">
      <w:start w:val="1"/>
      <w:numFmt w:val="lowerRoman"/>
      <w:lvlText w:val="%6."/>
      <w:lvlJc w:val="right"/>
      <w:pPr>
        <w:ind w:left="9636" w:hanging="180"/>
      </w:pPr>
    </w:lvl>
    <w:lvl w:ilvl="6" w:tplc="0409000F" w:tentative="1">
      <w:start w:val="1"/>
      <w:numFmt w:val="decimal"/>
      <w:lvlText w:val="%7."/>
      <w:lvlJc w:val="left"/>
      <w:pPr>
        <w:ind w:left="10356" w:hanging="360"/>
      </w:pPr>
    </w:lvl>
    <w:lvl w:ilvl="7" w:tplc="04090019" w:tentative="1">
      <w:start w:val="1"/>
      <w:numFmt w:val="lowerLetter"/>
      <w:lvlText w:val="%8."/>
      <w:lvlJc w:val="left"/>
      <w:pPr>
        <w:ind w:left="11076" w:hanging="360"/>
      </w:pPr>
    </w:lvl>
    <w:lvl w:ilvl="8" w:tplc="0409001B" w:tentative="1">
      <w:start w:val="1"/>
      <w:numFmt w:val="lowerRoman"/>
      <w:lvlText w:val="%9."/>
      <w:lvlJc w:val="right"/>
      <w:pPr>
        <w:ind w:left="11796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8"/>
  </w:num>
  <w:num w:numId="5" w16cid:durableId="628778745">
    <w:abstractNumId w:val="1"/>
  </w:num>
  <w:num w:numId="6" w16cid:durableId="670451745">
    <w:abstractNumId w:val="5"/>
  </w:num>
  <w:num w:numId="7" w16cid:durableId="2092509685">
    <w:abstractNumId w:val="4"/>
  </w:num>
  <w:num w:numId="8" w16cid:durableId="708339631">
    <w:abstractNumId w:val="7"/>
  </w:num>
  <w:num w:numId="9" w16cid:durableId="997877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6D"/>
    <w:rsid w:val="00011B7D"/>
    <w:rsid w:val="0002196D"/>
    <w:rsid w:val="00075432"/>
    <w:rsid w:val="000F209E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40344"/>
    <w:rsid w:val="00240654"/>
    <w:rsid w:val="00240E2C"/>
    <w:rsid w:val="002634C4"/>
    <w:rsid w:val="00290DCD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605827"/>
    <w:rsid w:val="00676936"/>
    <w:rsid w:val="006B0DB5"/>
    <w:rsid w:val="006E4243"/>
    <w:rsid w:val="00717B84"/>
    <w:rsid w:val="007461F1"/>
    <w:rsid w:val="00791DAF"/>
    <w:rsid w:val="007C04C6"/>
    <w:rsid w:val="007D6961"/>
    <w:rsid w:val="007E159F"/>
    <w:rsid w:val="007F07CB"/>
    <w:rsid w:val="00810CEF"/>
    <w:rsid w:val="0081208D"/>
    <w:rsid w:val="008236DE"/>
    <w:rsid w:val="00842A13"/>
    <w:rsid w:val="008B2CC1"/>
    <w:rsid w:val="008B580B"/>
    <w:rsid w:val="008B7418"/>
    <w:rsid w:val="008E7930"/>
    <w:rsid w:val="0090731E"/>
    <w:rsid w:val="00966A22"/>
    <w:rsid w:val="00974CD6"/>
    <w:rsid w:val="0099108F"/>
    <w:rsid w:val="009D30E6"/>
    <w:rsid w:val="009E3F6F"/>
    <w:rsid w:val="009F499F"/>
    <w:rsid w:val="00A02BD3"/>
    <w:rsid w:val="00A65E7E"/>
    <w:rsid w:val="00AA1F20"/>
    <w:rsid w:val="00AC0AE4"/>
    <w:rsid w:val="00AD61DB"/>
    <w:rsid w:val="00B24679"/>
    <w:rsid w:val="00B6177F"/>
    <w:rsid w:val="00B66A77"/>
    <w:rsid w:val="00B87BCF"/>
    <w:rsid w:val="00BA62D4"/>
    <w:rsid w:val="00BC3FC3"/>
    <w:rsid w:val="00C153FD"/>
    <w:rsid w:val="00C25762"/>
    <w:rsid w:val="00C40E15"/>
    <w:rsid w:val="00C6558E"/>
    <w:rsid w:val="00C664C8"/>
    <w:rsid w:val="00C76714"/>
    <w:rsid w:val="00C76A79"/>
    <w:rsid w:val="00CA15F5"/>
    <w:rsid w:val="00CA72C1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267EE"/>
  <w15:docId w15:val="{3F8FA193-4ED8-4E42-A8C0-DF825073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1DA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791DAF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02196D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paragraph" w:styleId="ListParagraph">
    <w:name w:val="List Paragraph"/>
    <w:basedOn w:val="Normal"/>
    <w:uiPriority w:val="34"/>
    <w:qFormat/>
    <w:rsid w:val="0002196D"/>
    <w:pPr>
      <w:ind w:left="720"/>
      <w:contextualSpacing/>
    </w:pPr>
  </w:style>
  <w:style w:type="character" w:customStyle="1" w:styleId="ONUMEChar">
    <w:name w:val="ONUM E Char"/>
    <w:link w:val="ONUME"/>
    <w:locked/>
    <w:rsid w:val="0002196D"/>
    <w:rPr>
      <w:rFonts w:ascii="Arial" w:eastAsia="SimSun" w:hAnsi="Arial" w:cs="Arial"/>
      <w:sz w:val="22"/>
      <w:lang w:val="fr-FR" w:eastAsia="zh-CN"/>
    </w:rPr>
  </w:style>
  <w:style w:type="table" w:styleId="TableGrid">
    <w:name w:val="Table Grid"/>
    <w:basedOn w:val="TableNormal"/>
    <w:uiPriority w:val="59"/>
    <w:rsid w:val="0002196D"/>
    <w:rPr>
      <w:rFonts w:asciiTheme="minorHAnsi" w:eastAsia="MS Mincho" w:hAnsiTheme="minorHAnsi" w:cstheme="minorBidi"/>
      <w:sz w:val="22"/>
      <w:szCs w:val="22"/>
      <w:lang w:val="fr-F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24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64A8-BAC1-45FF-9415-B906E9A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19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CWS/13/10 (French) </vt:lpstr>
    </vt:vector>
  </TitlesOfParts>
  <Company>WIPO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CWS/13/10 (French) </dc:title>
  <dc:subject>Rapport de l’Équipe d’experts chargée de la chaîne de blocs sur la tâche n° 59 </dc:subject>
  <dc:creator>WIPO</dc:creator>
  <cp:keywords>WIPO CWS treizième session, Rapport, Équipe d’experts chargée de la chaîne de blocs </cp:keywords>
  <cp:lastModifiedBy>EMMETT Claudia</cp:lastModifiedBy>
  <cp:revision>7</cp:revision>
  <cp:lastPrinted>2025-09-24T14:40:00Z</cp:lastPrinted>
  <dcterms:created xsi:type="dcterms:W3CDTF">2025-09-19T10:35:00Z</dcterms:created>
  <dcterms:modified xsi:type="dcterms:W3CDTF">2025-09-24T14:41:00Z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