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AB69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3F3E8BA6" wp14:editId="5D803F3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C05E7A4" wp14:editId="29943D1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19B64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45DB656" w14:textId="4AB2D684" w:rsidR="008B2CC1" w:rsidRPr="00DB0349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040EE">
        <w:rPr>
          <w:rFonts w:ascii="Arial Black" w:hAnsi="Arial Black"/>
          <w:caps/>
          <w:sz w:val="15"/>
          <w:szCs w:val="15"/>
        </w:rPr>
        <w:t>7</w:t>
      </w:r>
    </w:p>
    <w:p w14:paraId="3A28B6E4" w14:textId="08681CC6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8F7F74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2040EE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46FD24C4" w14:textId="1EAF2CDB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8F7F74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2040EE">
        <w:rPr>
          <w:rFonts w:ascii="Arial Black" w:hAnsi="Arial Black"/>
          <w:caps/>
          <w:sz w:val="15"/>
          <w:szCs w:val="15"/>
        </w:rPr>
        <w:t>5</w:t>
      </w:r>
      <w:r w:rsidR="008F7F74">
        <w:rPr>
          <w:rFonts w:ascii="Arial Black" w:hAnsi="Arial Black"/>
          <w:caps/>
          <w:sz w:val="15"/>
          <w:szCs w:val="15"/>
        </w:rPr>
        <w:t> août 20</w:t>
      </w:r>
      <w:r w:rsidR="002040EE">
        <w:rPr>
          <w:rFonts w:ascii="Arial Black" w:hAnsi="Arial Black"/>
          <w:caps/>
          <w:sz w:val="15"/>
          <w:szCs w:val="15"/>
        </w:rPr>
        <w:t>24</w:t>
      </w:r>
    </w:p>
    <w:bookmarkEnd w:id="2"/>
    <w:p w14:paraId="7878482B" w14:textId="4F857239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8F7F74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39759913" w14:textId="267E7FBD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8F7F74">
        <w:rPr>
          <w:b/>
          <w:sz w:val="24"/>
        </w:rPr>
        <w:t>ième session</w:t>
      </w:r>
    </w:p>
    <w:p w14:paraId="6F7E46B1" w14:textId="75C5E7B5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2040EE">
        <w:rPr>
          <w:b/>
          <w:sz w:val="24"/>
        </w:rPr>
        <w:t>19</w:t>
      </w:r>
      <w:r w:rsidR="008F7F74">
        <w:rPr>
          <w:b/>
          <w:sz w:val="24"/>
        </w:rPr>
        <w:t> septembre </w:t>
      </w:r>
      <w:r w:rsidR="008F7F74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5A6AD781" w14:textId="365A7079" w:rsidR="008B2CC1" w:rsidRPr="00842A13" w:rsidRDefault="002040EE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de l</w:t>
      </w:r>
      <w:r w:rsidR="008F7F74">
        <w:rPr>
          <w:caps/>
          <w:sz w:val="24"/>
        </w:rPr>
        <w:t>’</w:t>
      </w:r>
      <w:r>
        <w:rPr>
          <w:caps/>
          <w:sz w:val="24"/>
        </w:rPr>
        <w:t>Équipe d</w:t>
      </w:r>
      <w:r w:rsidR="008F7F74">
        <w:rPr>
          <w:caps/>
          <w:sz w:val="24"/>
        </w:rPr>
        <w:t>’</w:t>
      </w:r>
      <w:r>
        <w:rPr>
          <w:caps/>
          <w:sz w:val="24"/>
        </w:rPr>
        <w:t>experts chargée de l</w:t>
      </w:r>
      <w:r w:rsidR="008F7F74">
        <w:rPr>
          <w:caps/>
          <w:sz w:val="24"/>
        </w:rPr>
        <w:t>’</w:t>
      </w:r>
      <w:r>
        <w:rPr>
          <w:caps/>
          <w:sz w:val="24"/>
        </w:rPr>
        <w:t>accès public à l</w:t>
      </w:r>
      <w:r w:rsidR="008F7F74">
        <w:rPr>
          <w:caps/>
          <w:sz w:val="24"/>
        </w:rPr>
        <w:t>’</w:t>
      </w:r>
      <w:r>
        <w:rPr>
          <w:caps/>
          <w:sz w:val="24"/>
        </w:rPr>
        <w:t>information en matière de brevets sur la tâche n°</w:t>
      </w:r>
      <w:r w:rsidR="008F7F74">
        <w:rPr>
          <w:caps/>
          <w:sz w:val="24"/>
        </w:rPr>
        <w:t> </w:t>
      </w:r>
      <w:r>
        <w:rPr>
          <w:caps/>
          <w:sz w:val="24"/>
        </w:rPr>
        <w:t>52</w:t>
      </w:r>
    </w:p>
    <w:p w14:paraId="4FDA5C95" w14:textId="6284EFE9" w:rsidR="00525B63" w:rsidRPr="00C153FD" w:rsidRDefault="002040EE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responsable de l</w:t>
      </w:r>
      <w:r w:rsidR="008F7F74">
        <w:rPr>
          <w:i/>
        </w:rPr>
        <w:t>’</w:t>
      </w:r>
      <w:r>
        <w:rPr>
          <w:i/>
        </w:rPr>
        <w:t>Équipe d</w:t>
      </w:r>
      <w:r w:rsidR="008F7F74">
        <w:rPr>
          <w:i/>
        </w:rPr>
        <w:t>’</w:t>
      </w:r>
      <w:r>
        <w:rPr>
          <w:i/>
        </w:rPr>
        <w:t>experts chargée de l</w:t>
      </w:r>
      <w:r w:rsidR="008F7F74">
        <w:rPr>
          <w:i/>
        </w:rPr>
        <w:t>’</w:t>
      </w:r>
      <w:r>
        <w:rPr>
          <w:i/>
        </w:rPr>
        <w:t>accès public à l</w:t>
      </w:r>
      <w:r w:rsidR="008F7F74">
        <w:rPr>
          <w:i/>
        </w:rPr>
        <w:t>’</w:t>
      </w:r>
      <w:r>
        <w:rPr>
          <w:i/>
        </w:rPr>
        <w:t>information en matière de brevets</w:t>
      </w:r>
    </w:p>
    <w:bookmarkEnd w:id="4"/>
    <w:p w14:paraId="7BF89D40" w14:textId="26F4B92D" w:rsidR="002040EE" w:rsidRPr="00AA282C" w:rsidRDefault="002040EE" w:rsidP="00AA282C">
      <w:pPr>
        <w:pStyle w:val="Heading2"/>
      </w:pPr>
      <w:r w:rsidRPr="00AA282C">
        <w:t>R</w:t>
      </w:r>
      <w:r w:rsidR="00AA282C" w:rsidRPr="00AA282C">
        <w:t>ésumé</w:t>
      </w:r>
    </w:p>
    <w:p w14:paraId="5385A08B" w14:textId="634D486E" w:rsidR="002040EE" w:rsidRPr="00AA282C" w:rsidRDefault="002040EE" w:rsidP="00AA282C">
      <w:pPr>
        <w:pStyle w:val="ONUMFS"/>
        <w:rPr>
          <w:iCs/>
        </w:rPr>
      </w:pPr>
      <w:r>
        <w:t>L</w:t>
      </w:r>
      <w:r w:rsidR="008F7F74">
        <w:t>’</w:t>
      </w:r>
      <w:r>
        <w:t>Équipe d</w:t>
      </w:r>
      <w:r w:rsidR="008F7F74">
        <w:t>’</w:t>
      </w:r>
      <w:r>
        <w:t>experts chargée de l</w:t>
      </w:r>
      <w:r w:rsidR="008F7F74">
        <w:t>’</w:t>
      </w:r>
      <w:r>
        <w:t>accès public à l</w:t>
      </w:r>
      <w:r w:rsidR="008F7F74">
        <w:t>’</w:t>
      </w:r>
      <w:r>
        <w:t>information en matière de brevets est responsable de la tâche n° 52 et rend compte des progrès accomplis depuis la dernière session du Comité des normes de l</w:t>
      </w:r>
      <w:r w:rsidR="008F7F74">
        <w:t>’</w:t>
      </w:r>
      <w:r>
        <w:t>OMPI (CWS).  L</w:t>
      </w:r>
      <w:r w:rsidR="008F7F74">
        <w:t>’</w:t>
      </w:r>
      <w:r>
        <w:t>équipe d</w:t>
      </w:r>
      <w:r w:rsidR="008F7F74">
        <w:t>’</w:t>
      </w:r>
      <w:r>
        <w:t>experts fait part de son intention de présenter une proposition pour la mise à jour de la partie 6.1 du Manuel de l</w:t>
      </w:r>
      <w:r w:rsidR="008F7F74">
        <w:t>’</w:t>
      </w:r>
      <w:r>
        <w:t>OMPI à la treiz</w:t>
      </w:r>
      <w:r w:rsidR="008F7F74">
        <w:t>ième session</w:t>
      </w:r>
      <w:r>
        <w:t xml:space="preserve"> du CWS.</w:t>
      </w:r>
    </w:p>
    <w:p w14:paraId="486CCDA9" w14:textId="23543DEC" w:rsidR="002040EE" w:rsidRPr="00AA282C" w:rsidRDefault="002040EE" w:rsidP="00AA282C">
      <w:pPr>
        <w:pStyle w:val="Heading2"/>
      </w:pPr>
      <w:r w:rsidRPr="00AA282C">
        <w:t>C</w:t>
      </w:r>
      <w:r w:rsidR="00AA282C" w:rsidRPr="00AA282C">
        <w:t>ontexte</w:t>
      </w:r>
    </w:p>
    <w:p w14:paraId="111AAC15" w14:textId="2F47AC9D" w:rsidR="002040EE" w:rsidRPr="00495B26" w:rsidRDefault="002040EE" w:rsidP="00AA282C">
      <w:pPr>
        <w:pStyle w:val="ONUMFS"/>
        <w:rPr>
          <w:caps/>
        </w:rPr>
      </w:pPr>
      <w:r>
        <w:t>À la reprise de sa quatr</w:t>
      </w:r>
      <w:r w:rsidR="008F7F74">
        <w:t>ième session</w:t>
      </w:r>
      <w:r>
        <w:t xml:space="preserve"> tenue en 2016, le CWS a pris note de la demande du Groupe de documentation sur les brevets et des informations qu</w:t>
      </w:r>
      <w:r w:rsidR="008F7F74">
        <w:t>’</w:t>
      </w:r>
      <w:r>
        <w:t>il a transmises concernant les exigences relatives aux registres nationaux et régionaux des breve</w:t>
      </w:r>
      <w:r w:rsidR="006F6218">
        <w:t>ts.  Le</w:t>
      </w:r>
      <w:r w:rsidR="008F7F74">
        <w:t> CWS</w:t>
      </w:r>
      <w:r>
        <w:t xml:space="preserve"> est convenu, en particulier, de recenser les pratiques des offices de propriété intellectuelle sur le contenu, les fonctions et les plans futurs concernant leurs registres de brevets (voir l</w:t>
      </w:r>
      <w:r w:rsidR="008F7F74">
        <w:t>’</w:t>
      </w:r>
      <w:r>
        <w:t xml:space="preserve">annexe III du </w:t>
      </w:r>
      <w:r w:rsidR="008F7F74">
        <w:t>document CW</w:t>
      </w:r>
      <w:r>
        <w:t>S/4BIS/6).</w:t>
      </w:r>
    </w:p>
    <w:p w14:paraId="293CDB56" w14:textId="362AA0E1" w:rsidR="008F7F74" w:rsidRDefault="002040EE" w:rsidP="00AA282C">
      <w:pPr>
        <w:pStyle w:val="ONUMFS"/>
      </w:pPr>
      <w:r>
        <w:t>En réponse à cette demande, le Comité des normes a créé, à sa cinqu</w:t>
      </w:r>
      <w:r w:rsidR="008F7F74">
        <w:t>ième session</w:t>
      </w:r>
      <w:r>
        <w:t xml:space="preserve"> en 2017, la tâche n° 52 dont la description est la suivante</w:t>
      </w:r>
      <w:r w:rsidR="008F7F74">
        <w:t> :</w:t>
      </w:r>
    </w:p>
    <w:p w14:paraId="62F557FA" w14:textId="134E99EE" w:rsidR="008F7F74" w:rsidRDefault="002040EE" w:rsidP="002040EE">
      <w:pPr>
        <w:pStyle w:val="ONUMFS"/>
        <w:numPr>
          <w:ilvl w:val="0"/>
          <w:numId w:val="0"/>
        </w:numPr>
        <w:ind w:left="567"/>
      </w:pPr>
      <w:r>
        <w:t>“</w:t>
      </w:r>
      <w:r>
        <w:rPr>
          <w:i/>
          <w:iCs/>
        </w:rPr>
        <w:t>Enquêter sur le contenu et les fonctionnalités des systèmes destinés à assurer l</w:t>
      </w:r>
      <w:r w:rsidR="008F7F74">
        <w:rPr>
          <w:i/>
          <w:iCs/>
        </w:rPr>
        <w:t>’</w:t>
      </w:r>
      <w:r>
        <w:rPr>
          <w:i/>
          <w:iCs/>
        </w:rPr>
        <w:t>accès à l</w:t>
      </w:r>
      <w:r w:rsidR="008F7F74">
        <w:rPr>
          <w:i/>
          <w:iCs/>
        </w:rPr>
        <w:t>’</w:t>
      </w:r>
      <w:r>
        <w:rPr>
          <w:i/>
          <w:iCs/>
        </w:rPr>
        <w:t xml:space="preserve">information en matière de brevets accessible au public des offices de propriété industrielle, ainsi que sur leurs plans futurs en ce qui concerne leurs pratiques en matière de publication; </w:t>
      </w:r>
      <w:r w:rsidR="00C60760">
        <w:rPr>
          <w:i/>
          <w:iCs/>
        </w:rPr>
        <w:t xml:space="preserve"> </w:t>
      </w:r>
      <w:r>
        <w:rPr>
          <w:i/>
          <w:iCs/>
        </w:rPr>
        <w:t xml:space="preserve">établir des recommandations concernant des systèmes destinés à assurer </w:t>
      </w:r>
      <w:r>
        <w:rPr>
          <w:i/>
          <w:iCs/>
        </w:rPr>
        <w:lastRenderedPageBreak/>
        <w:t>l</w:t>
      </w:r>
      <w:r w:rsidR="008F7F74">
        <w:rPr>
          <w:i/>
          <w:iCs/>
        </w:rPr>
        <w:t>’</w:t>
      </w:r>
      <w:r>
        <w:rPr>
          <w:i/>
          <w:iCs/>
        </w:rPr>
        <w:t>accès à l</w:t>
      </w:r>
      <w:r w:rsidR="008F7F74">
        <w:rPr>
          <w:i/>
          <w:iCs/>
        </w:rPr>
        <w:t>’</w:t>
      </w:r>
      <w:r>
        <w:rPr>
          <w:i/>
          <w:iCs/>
        </w:rPr>
        <w:t>information en matière de brevets accessible au public des offices de propriété industrielle</w:t>
      </w:r>
      <w:r>
        <w:t>”.</w:t>
      </w:r>
    </w:p>
    <w:p w14:paraId="0D0C4D42" w14:textId="0A1B8FDD" w:rsidR="002040EE" w:rsidRPr="00AA282C" w:rsidRDefault="002040EE" w:rsidP="00AA282C">
      <w:pPr>
        <w:pStyle w:val="ONUMFS"/>
        <w:numPr>
          <w:ilvl w:val="0"/>
          <w:numId w:val="0"/>
        </w:numPr>
      </w:pPr>
      <w:r w:rsidRPr="00AA282C">
        <w:t>Le Bureau international a été nommé responsable de l</w:t>
      </w:r>
      <w:r w:rsidR="008F7F74">
        <w:t>’</w:t>
      </w:r>
      <w:r w:rsidRPr="00AA282C">
        <w:t>équipe d</w:t>
      </w:r>
      <w:r w:rsidR="008F7F74">
        <w:t>’</w:t>
      </w:r>
      <w:r w:rsidRPr="00AA282C">
        <w:t xml:space="preserve">experts (voir les paragraphes 94 et 100 du </w:t>
      </w:r>
      <w:r w:rsidR="008F7F74" w:rsidRPr="00AA282C">
        <w:t>document</w:t>
      </w:r>
      <w:r w:rsidR="008F7F74">
        <w:t xml:space="preserve"> </w:t>
      </w:r>
      <w:r w:rsidR="008F7F74" w:rsidRPr="00AA282C">
        <w:t>CW</w:t>
      </w:r>
      <w:r w:rsidRPr="00AA282C">
        <w:t>S/5/22).</w:t>
      </w:r>
    </w:p>
    <w:p w14:paraId="2BFC9027" w14:textId="5FE47ECC" w:rsidR="002040EE" w:rsidRPr="00AA282C" w:rsidRDefault="002040EE" w:rsidP="00AA282C">
      <w:pPr>
        <w:pStyle w:val="ONUMFS"/>
      </w:pPr>
      <w:r w:rsidRPr="00AA282C">
        <w:t>À sa sept</w:t>
      </w:r>
      <w:r w:rsidR="008F7F74">
        <w:t>ième session</w:t>
      </w:r>
      <w:r w:rsidRPr="00AA282C">
        <w:t xml:space="preserve"> tenue en 2019,</w:t>
      </w:r>
      <w:r w:rsidR="008F7F74" w:rsidRPr="00AA282C">
        <w:t xml:space="preserve"> le</w:t>
      </w:r>
      <w:r w:rsidR="008F7F74">
        <w:t> </w:t>
      </w:r>
      <w:r w:rsidR="008F7F74" w:rsidRPr="00AA282C">
        <w:t>CWS</w:t>
      </w:r>
      <w:r w:rsidRPr="00AA282C">
        <w:t xml:space="preserve"> a examiné le questionnaire sur l</w:t>
      </w:r>
      <w:r w:rsidR="008F7F74">
        <w:t>’</w:t>
      </w:r>
      <w:r w:rsidRPr="00AA282C">
        <w:t>accès public à l</w:t>
      </w:r>
      <w:r w:rsidR="008F7F74">
        <w:t>’</w:t>
      </w:r>
      <w:r w:rsidRPr="00AA282C">
        <w:t>information en matière de brevets présenté par l</w:t>
      </w:r>
      <w:r w:rsidR="008F7F74">
        <w:t>’</w:t>
      </w:r>
      <w:r w:rsidRPr="00AA282C">
        <w:t>Équipe d</w:t>
      </w:r>
      <w:r w:rsidR="008F7F74">
        <w:t>’</w:t>
      </w:r>
      <w:r w:rsidRPr="00AA282C">
        <w:t>experts chargée de l</w:t>
      </w:r>
      <w:r w:rsidR="008F7F74">
        <w:t>’</w:t>
      </w:r>
      <w:r w:rsidRPr="00AA282C">
        <w:t>accès public à l</w:t>
      </w:r>
      <w:r w:rsidR="008F7F74">
        <w:t>’</w:t>
      </w:r>
      <w:r w:rsidRPr="00AA282C">
        <w:t>information en matière de breve</w:t>
      </w:r>
      <w:r w:rsidR="006F6218" w:rsidRPr="00AA282C">
        <w:t>ts</w:t>
      </w:r>
      <w:r w:rsidR="006F6218">
        <w:t xml:space="preserve">.  </w:t>
      </w:r>
      <w:r w:rsidR="006F6218" w:rsidRPr="00AA282C">
        <w:t>Le</w:t>
      </w:r>
      <w:r w:rsidRPr="00AA282C">
        <w:t> CWS a approuvé la première partie du questionnaire, mais a renvoyé la deuxième partie du questionnaire à l</w:t>
      </w:r>
      <w:r w:rsidR="008F7F74">
        <w:t>’</w:t>
      </w:r>
      <w:r w:rsidRPr="00AA282C">
        <w:t>Équipe d</w:t>
      </w:r>
      <w:r w:rsidR="008F7F74">
        <w:t>’</w:t>
      </w:r>
      <w:r w:rsidRPr="00AA282C">
        <w:t>experts chargée de l</w:t>
      </w:r>
      <w:r w:rsidR="008F7F74">
        <w:t>’</w:t>
      </w:r>
      <w:r w:rsidRPr="00AA282C">
        <w:t>accès public à l</w:t>
      </w:r>
      <w:r w:rsidR="008F7F74">
        <w:t>’</w:t>
      </w:r>
      <w:r w:rsidRPr="00AA282C">
        <w:t xml:space="preserve">information en matière de brevets pour un examen plus approfondi (voir les paragraphes 197 et 201 du </w:t>
      </w:r>
      <w:r w:rsidR="008F7F74" w:rsidRPr="00AA282C">
        <w:t>document</w:t>
      </w:r>
      <w:r w:rsidR="008F7F74">
        <w:t xml:space="preserve"> </w:t>
      </w:r>
      <w:r w:rsidR="008F7F74" w:rsidRPr="00AA282C">
        <w:t>CW</w:t>
      </w:r>
      <w:r w:rsidRPr="00AA282C">
        <w:t>S/7/29).</w:t>
      </w:r>
    </w:p>
    <w:p w14:paraId="33E9C462" w14:textId="664108E3" w:rsidR="008F7F74" w:rsidRDefault="002040EE" w:rsidP="00AA282C">
      <w:pPr>
        <w:pStyle w:val="ONUMFS"/>
      </w:pPr>
      <w:r w:rsidRPr="00AA282C">
        <w:t>À sa huit</w:t>
      </w:r>
      <w:r w:rsidR="008F7F74">
        <w:t>ième session</w:t>
      </w:r>
      <w:r w:rsidRPr="00AA282C">
        <w:t xml:space="preserve"> en 2020,</w:t>
      </w:r>
      <w:r w:rsidR="008F7F74" w:rsidRPr="00AA282C">
        <w:t xml:space="preserve"> le</w:t>
      </w:r>
      <w:r w:rsidR="008F7F74">
        <w:t> </w:t>
      </w:r>
      <w:r w:rsidR="008F7F74" w:rsidRPr="00AA282C">
        <w:t>CWS</w:t>
      </w:r>
      <w:r w:rsidRPr="00AA282C">
        <w:t xml:space="preserve"> a pris note des résultats de l</w:t>
      </w:r>
      <w:r w:rsidR="008F7F74">
        <w:t>’</w:t>
      </w:r>
      <w:r w:rsidRPr="00AA282C">
        <w:t>enquête sur les pratiques des offices de propriété industrielle relatives au contenu et aux fonctions, ainsi que sur leurs plans futurs, concernant l</w:t>
      </w:r>
      <w:r w:rsidR="008F7F74">
        <w:t>’</w:t>
      </w:r>
      <w:r w:rsidRPr="00AA282C">
        <w:t>information en matière de brevets accessible au public, à laquelle 60 offices ont répon</w:t>
      </w:r>
      <w:r w:rsidR="006F6218" w:rsidRPr="00AA282C">
        <w:t>du</w:t>
      </w:r>
      <w:r w:rsidR="006F6218">
        <w:t xml:space="preserve">.  </w:t>
      </w:r>
      <w:r w:rsidR="006F6218" w:rsidRPr="00AA282C">
        <w:t>Le</w:t>
      </w:r>
      <w:r w:rsidR="008F7F74">
        <w:t> </w:t>
      </w:r>
      <w:r w:rsidR="008F7F74" w:rsidRPr="00AA282C">
        <w:t>CWS</w:t>
      </w:r>
      <w:r w:rsidRPr="00AA282C">
        <w:t xml:space="preserve"> a approuvé la publication des résultats de l</w:t>
      </w:r>
      <w:r w:rsidR="008F7F74">
        <w:t>’</w:t>
      </w:r>
      <w:r w:rsidRPr="00AA282C">
        <w:t>enquête, qui font l</w:t>
      </w:r>
      <w:r w:rsidR="008F7F74">
        <w:t>’</w:t>
      </w:r>
      <w:r w:rsidRPr="00AA282C">
        <w:t>objet de l</w:t>
      </w:r>
      <w:r w:rsidR="008F7F74">
        <w:t>’</w:t>
      </w:r>
      <w:r w:rsidRPr="00AA282C">
        <w:t xml:space="preserve">annexe du </w:t>
      </w:r>
      <w:r w:rsidR="008F7F74" w:rsidRPr="00AA282C">
        <w:t>document</w:t>
      </w:r>
      <w:r w:rsidR="008F7F74">
        <w:t xml:space="preserve"> </w:t>
      </w:r>
      <w:r w:rsidR="008F7F74" w:rsidRPr="00AA282C">
        <w:t>CW</w:t>
      </w:r>
      <w:r w:rsidRPr="00AA282C">
        <w:t xml:space="preserve">S/8/10 (voir les paragraphes 71 et 72 du </w:t>
      </w:r>
      <w:r w:rsidR="008F7F74" w:rsidRPr="00AA282C">
        <w:t>document</w:t>
      </w:r>
      <w:r w:rsidR="008F7F74">
        <w:t xml:space="preserve"> </w:t>
      </w:r>
      <w:r w:rsidR="008F7F74" w:rsidRPr="00AA282C">
        <w:t>CW</w:t>
      </w:r>
      <w:r w:rsidRPr="00AA282C">
        <w:t>S/8/24).  Les résultats peuvent être consultés sur le site Web de l</w:t>
      </w:r>
      <w:r w:rsidR="008F7F74">
        <w:t>’</w:t>
      </w:r>
      <w:r w:rsidRPr="00AA282C">
        <w:t xml:space="preserve">OMPI dans la </w:t>
      </w:r>
      <w:hyperlink r:id="rId8" w:anchor="p7.18" w:history="1">
        <w:r w:rsidRPr="00AA282C">
          <w:rPr>
            <w:rStyle w:val="Hyperlink"/>
            <w:color w:val="auto"/>
            <w:u w:val="none"/>
          </w:rPr>
          <w:t>partie 7.18.1</w:t>
        </w:r>
        <w:r w:rsidR="006F6218">
          <w:rPr>
            <w:rStyle w:val="Hyperlink"/>
            <w:color w:val="auto"/>
            <w:u w:val="none"/>
          </w:rPr>
          <w:t>:</w:t>
        </w:r>
      </w:hyperlink>
      <w:hyperlink r:id="rId9" w:anchor="p7.18" w:history="1">
        <w:r w:rsidRPr="00AA282C">
          <w:rPr>
            <w:rStyle w:val="Hyperlink"/>
            <w:color w:val="auto"/>
            <w:u w:val="none"/>
          </w:rPr>
          <w:t xml:space="preserve"> Enquête sur l</w:t>
        </w:r>
        <w:r w:rsidR="008F7F74">
          <w:rPr>
            <w:rStyle w:val="Hyperlink"/>
            <w:color w:val="auto"/>
            <w:u w:val="none"/>
          </w:rPr>
          <w:t>’</w:t>
        </w:r>
        <w:r w:rsidRPr="00AA282C">
          <w:rPr>
            <w:rStyle w:val="Hyperlink"/>
            <w:color w:val="auto"/>
            <w:u w:val="none"/>
          </w:rPr>
          <w:t>accès à l</w:t>
        </w:r>
        <w:r w:rsidR="008F7F74">
          <w:rPr>
            <w:rStyle w:val="Hyperlink"/>
            <w:color w:val="auto"/>
            <w:u w:val="none"/>
          </w:rPr>
          <w:t>’</w:t>
        </w:r>
        <w:r w:rsidRPr="00AA282C">
          <w:rPr>
            <w:rStyle w:val="Hyperlink"/>
            <w:color w:val="auto"/>
            <w:u w:val="none"/>
          </w:rPr>
          <w:t>information en matière de brevets accessible au public, partie 1</w:t>
        </w:r>
      </w:hyperlink>
      <w:r w:rsidRPr="00AA282C">
        <w:t xml:space="preserve">.  </w:t>
      </w:r>
      <w:r w:rsidRPr="00AA282C">
        <w:tab/>
        <w:t>À la même session, le CWS a également approuvé le questionnaire révisé pour la deuxième partie de l</w:t>
      </w:r>
      <w:r w:rsidR="008F7F74">
        <w:t>’</w:t>
      </w:r>
      <w:r w:rsidRPr="00AA282C">
        <w:t>enquête, tel que présenté par l</w:t>
      </w:r>
      <w:r w:rsidR="008F7F74">
        <w:t>’</w:t>
      </w:r>
      <w:r w:rsidRPr="00AA282C">
        <w:t>Équipe d</w:t>
      </w:r>
      <w:r w:rsidR="008F7F74">
        <w:t>’</w:t>
      </w:r>
      <w:r w:rsidRPr="00AA282C">
        <w:t>experts chargée de l</w:t>
      </w:r>
      <w:r w:rsidR="008F7F74">
        <w:t>’</w:t>
      </w:r>
      <w:r w:rsidRPr="00AA282C">
        <w:t>accès public à l</w:t>
      </w:r>
      <w:r w:rsidR="008F7F74">
        <w:t>’</w:t>
      </w:r>
      <w:r w:rsidRPr="00AA282C">
        <w:t>information en matière de brevets.</w:t>
      </w:r>
    </w:p>
    <w:p w14:paraId="780E5D63" w14:textId="375A69DC" w:rsidR="008F7F74" w:rsidRDefault="002040EE" w:rsidP="00AA282C">
      <w:pPr>
        <w:pStyle w:val="ONUMFS"/>
      </w:pPr>
      <w:r w:rsidRPr="00AA282C">
        <w:t>À sa neuv</w:t>
      </w:r>
      <w:r w:rsidR="008F7F74">
        <w:t>ième session</w:t>
      </w:r>
      <w:r w:rsidRPr="00AA282C">
        <w:t>, tenue en 2021,</w:t>
      </w:r>
      <w:r w:rsidR="008F7F74" w:rsidRPr="00AA282C">
        <w:t xml:space="preserve"> le</w:t>
      </w:r>
      <w:r w:rsidR="008F7F74">
        <w:t> </w:t>
      </w:r>
      <w:r w:rsidR="008F7F74" w:rsidRPr="00AA282C">
        <w:t>CWS</w:t>
      </w:r>
      <w:r w:rsidRPr="00AA282C">
        <w:t xml:space="preserve"> a pris note des résultats de la deuxième partie de l</w:t>
      </w:r>
      <w:r w:rsidR="008F7F74">
        <w:t>’</w:t>
      </w:r>
      <w:r w:rsidRPr="00AA282C">
        <w:t>enquête sur l</w:t>
      </w:r>
      <w:r w:rsidR="008F7F74">
        <w:t>’</w:t>
      </w:r>
      <w:r w:rsidRPr="00AA282C">
        <w:t>accès public à l</w:t>
      </w:r>
      <w:r w:rsidR="008F7F74">
        <w:t>’</w:t>
      </w:r>
      <w:r w:rsidRPr="00AA282C">
        <w:t>information en matière de breve</w:t>
      </w:r>
      <w:r w:rsidR="006F6218" w:rsidRPr="00AA282C">
        <w:t>ts</w:t>
      </w:r>
      <w:r w:rsidR="006F6218">
        <w:t xml:space="preserve">.  </w:t>
      </w:r>
      <w:r w:rsidR="006F6218" w:rsidRPr="00AA282C">
        <w:t>Le</w:t>
      </w:r>
      <w:r w:rsidRPr="00AA282C">
        <w:t> CWS a approuvé la publication des résultats de l</w:t>
      </w:r>
      <w:r w:rsidR="008F7F74">
        <w:t>’</w:t>
      </w:r>
      <w:r w:rsidRPr="00AA282C">
        <w:t>enquête et l</w:t>
      </w:r>
      <w:r w:rsidR="008F7F74">
        <w:t>’</w:t>
      </w:r>
      <w:r w:rsidRPr="00AA282C">
        <w:t xml:space="preserve">analyse dans la </w:t>
      </w:r>
      <w:hyperlink r:id="rId10" w:anchor="p7.18" w:history="1">
        <w:r w:rsidRPr="00AA282C">
          <w:rPr>
            <w:rStyle w:val="Hyperlink"/>
            <w:color w:val="auto"/>
            <w:u w:val="none"/>
          </w:rPr>
          <w:t>partie 7 du Manuel de l</w:t>
        </w:r>
        <w:r w:rsidR="008F7F74">
          <w:rPr>
            <w:rStyle w:val="Hyperlink"/>
            <w:color w:val="auto"/>
            <w:u w:val="none"/>
          </w:rPr>
          <w:t>’</w:t>
        </w:r>
        <w:r w:rsidRPr="00AA282C">
          <w:rPr>
            <w:rStyle w:val="Hyperlink"/>
            <w:color w:val="auto"/>
            <w:u w:val="none"/>
          </w:rPr>
          <w:t>OMPI</w:t>
        </w:r>
      </w:hyperlink>
      <w:r w:rsidRPr="00AA282C">
        <w:t>.  À la même session,</w:t>
      </w:r>
      <w:r w:rsidR="008F7F74" w:rsidRPr="00AA282C">
        <w:t xml:space="preserve"> le</w:t>
      </w:r>
      <w:r w:rsidR="008F7F74">
        <w:t> </w:t>
      </w:r>
      <w:r w:rsidR="008F7F74" w:rsidRPr="00AA282C">
        <w:t>CWS</w:t>
      </w:r>
      <w:r w:rsidRPr="00AA282C">
        <w:t xml:space="preserve"> a approuvé la révision de la tâche n° 52 libellée comme suit</w:t>
      </w:r>
      <w:r w:rsidR="008F7F74">
        <w:t> :</w:t>
      </w:r>
    </w:p>
    <w:p w14:paraId="1CD07F74" w14:textId="6E45277C" w:rsidR="008F7F74" w:rsidRDefault="002040EE" w:rsidP="002040EE">
      <w:pPr>
        <w:pStyle w:val="ONUMFS"/>
        <w:numPr>
          <w:ilvl w:val="0"/>
          <w:numId w:val="0"/>
        </w:numPr>
        <w:ind w:left="567"/>
      </w:pPr>
      <w:r>
        <w:t>“</w:t>
      </w:r>
      <w:r>
        <w:rPr>
          <w:i/>
          <w:iCs/>
        </w:rPr>
        <w:t>Établir des recommandations concernant des systèmes destinés à assurer l</w:t>
      </w:r>
      <w:r w:rsidR="008F7F74">
        <w:rPr>
          <w:i/>
          <w:iCs/>
        </w:rPr>
        <w:t>’</w:t>
      </w:r>
      <w:r>
        <w:rPr>
          <w:i/>
          <w:iCs/>
        </w:rPr>
        <w:t>accès à l</w:t>
      </w:r>
      <w:r w:rsidR="008F7F74">
        <w:rPr>
          <w:i/>
          <w:iCs/>
        </w:rPr>
        <w:t>’</w:t>
      </w:r>
      <w:r>
        <w:rPr>
          <w:i/>
          <w:iCs/>
        </w:rPr>
        <w:t>information en matière de brevets accessible au public des offices de propriété industrielle</w:t>
      </w:r>
      <w:r>
        <w:t>”</w:t>
      </w:r>
    </w:p>
    <w:p w14:paraId="1181D4D9" w14:textId="3E7329ED" w:rsidR="002040EE" w:rsidRDefault="002040EE" w:rsidP="002040EE">
      <w:pPr>
        <w:pStyle w:val="ONUMFS"/>
        <w:numPr>
          <w:ilvl w:val="0"/>
          <w:numId w:val="0"/>
        </w:numPr>
      </w:pPr>
      <w:r>
        <w:t>(</w:t>
      </w:r>
      <w:r w:rsidR="00AA282C">
        <w:t>V</w:t>
      </w:r>
      <w:r>
        <w:t xml:space="preserve">oir les paragraphes 84 et 88 du </w:t>
      </w:r>
      <w:r w:rsidR="008F7F74">
        <w:t>document CW</w:t>
      </w:r>
      <w:r>
        <w:t>S/9/25).</w:t>
      </w:r>
    </w:p>
    <w:p w14:paraId="5340B045" w14:textId="5F2692BE" w:rsidR="008F7F74" w:rsidRDefault="002040EE" w:rsidP="00AA282C">
      <w:pPr>
        <w:pStyle w:val="ONUMFS"/>
      </w:pPr>
      <w:r w:rsidRPr="00AA282C">
        <w:t>À sa onz</w:t>
      </w:r>
      <w:r w:rsidR="008F7F74">
        <w:t>ième session</w:t>
      </w:r>
      <w:r w:rsidRPr="00AA282C">
        <w:t xml:space="preserve"> tenue en 2023, le CWS a pris note des propositions en faveur du transfert de la responsabilité de la mise à jour de la partie 6 du Manuel de l</w:t>
      </w:r>
      <w:r w:rsidR="008F7F74">
        <w:t>’</w:t>
      </w:r>
      <w:r w:rsidRPr="00AA282C">
        <w:t>OMPI, qui incombait auparavant à l</w:t>
      </w:r>
      <w:r w:rsidR="008F7F74">
        <w:t>’</w:t>
      </w:r>
      <w:r w:rsidRPr="00AA282C">
        <w:t>Équipe d</w:t>
      </w:r>
      <w:r w:rsidR="008F7F74">
        <w:t>’</w:t>
      </w:r>
      <w:r w:rsidRPr="00AA282C">
        <w:t xml:space="preserve">experts chargée de la transformation numérique dans le cadre de la tâche n° 62.  Le CWS a également pris note de la lettre de PDG (Partnering in Patent Information) en faveur de la mise à jour de la Partie 6 qui comprenait certaines suggestions, telle que reproduite en annexe du </w:t>
      </w:r>
      <w:r w:rsidR="008F7F74" w:rsidRPr="00AA282C">
        <w:t>document</w:t>
      </w:r>
      <w:r w:rsidR="008F7F74">
        <w:t xml:space="preserve"> </w:t>
      </w:r>
      <w:r w:rsidR="008F7F74" w:rsidRPr="00AA282C">
        <w:t>CW</w:t>
      </w:r>
      <w:r w:rsidRPr="00AA282C">
        <w:t>S/11/12.  Le CWS a approuvé la proposition et, en conséquence, l</w:t>
      </w:r>
      <w:r w:rsidR="008F7F74">
        <w:t>’</w:t>
      </w:r>
      <w:r w:rsidRPr="00AA282C">
        <w:t>actualisation de la description de la tâche n° 52 libellée comme suit</w:t>
      </w:r>
      <w:r w:rsidR="008F7F74">
        <w:t> :</w:t>
      </w:r>
    </w:p>
    <w:p w14:paraId="5350D7A2" w14:textId="1C6AA5F7" w:rsidR="008F7F74" w:rsidRDefault="002040EE" w:rsidP="00AA282C">
      <w:pPr>
        <w:pStyle w:val="ONUMFS"/>
        <w:numPr>
          <w:ilvl w:val="0"/>
          <w:numId w:val="0"/>
        </w:numPr>
        <w:ind w:left="567"/>
      </w:pPr>
      <w:r>
        <w:t>“</w:t>
      </w:r>
      <w:r>
        <w:rPr>
          <w:i/>
          <w:iCs/>
        </w:rPr>
        <w:t>Établir une proposition pour la mise à jour de la partie 6.1 du Manuel de l</w:t>
      </w:r>
      <w:r w:rsidR="008F7F74">
        <w:rPr>
          <w:i/>
          <w:iCs/>
        </w:rPr>
        <w:t>’</w:t>
      </w:r>
      <w:r>
        <w:rPr>
          <w:i/>
          <w:iCs/>
        </w:rPr>
        <w:t>OMPI</w:t>
      </w:r>
      <w:r w:rsidR="008F7F74">
        <w:rPr>
          <w:i/>
          <w:iCs/>
        </w:rPr>
        <w:t> :</w:t>
      </w:r>
      <w:r>
        <w:rPr>
          <w:i/>
        </w:rPr>
        <w:t xml:space="preserve"> </w:t>
      </w:r>
      <w:r w:rsidR="008F7F74">
        <w:rPr>
          <w:i/>
          <w:iCs/>
        </w:rPr>
        <w:t>‘</w:t>
      </w:r>
      <w:r>
        <w:rPr>
          <w:i/>
          <w:iCs/>
        </w:rPr>
        <w:t>Contenu minimum recommandé pour les sites</w:t>
      </w:r>
      <w:r w:rsidR="00C60760">
        <w:rPr>
          <w:i/>
          <w:iCs/>
        </w:rPr>
        <w:t> </w:t>
      </w:r>
      <w:r>
        <w:rPr>
          <w:i/>
          <w:iCs/>
        </w:rPr>
        <w:t>Web des offices de propriété intellectuelle</w:t>
      </w:r>
      <w:r w:rsidR="008F7F74">
        <w:rPr>
          <w:i/>
          <w:iCs/>
        </w:rPr>
        <w:t>’</w:t>
      </w:r>
      <w:r>
        <w:rPr>
          <w:i/>
          <w:iCs/>
        </w:rPr>
        <w:t>”</w:t>
      </w:r>
    </w:p>
    <w:p w14:paraId="00D1854D" w14:textId="75A3A514" w:rsidR="002040EE" w:rsidRDefault="002040EE" w:rsidP="002040EE">
      <w:pPr>
        <w:pStyle w:val="ONUMFS"/>
        <w:numPr>
          <w:ilvl w:val="0"/>
          <w:numId w:val="0"/>
        </w:numPr>
        <w:spacing w:after="0"/>
      </w:pPr>
      <w:r>
        <w:t>(</w:t>
      </w:r>
      <w:r w:rsidR="00AA282C">
        <w:t>V</w:t>
      </w:r>
      <w:r>
        <w:t xml:space="preserve">oir le paragraphe 92 du </w:t>
      </w:r>
      <w:r w:rsidR="008F7F74">
        <w:t>document CW</w:t>
      </w:r>
      <w:r>
        <w:t>S/11/28).</w:t>
      </w:r>
    </w:p>
    <w:p w14:paraId="77ED2479" w14:textId="320F3AF6" w:rsidR="002040EE" w:rsidRPr="00AA282C" w:rsidRDefault="002040EE" w:rsidP="00AA282C">
      <w:pPr>
        <w:pStyle w:val="Heading2"/>
      </w:pPr>
      <w:r w:rsidRPr="00AA282C">
        <w:t>Rapport sur l</w:t>
      </w:r>
      <w:r w:rsidR="008F7F74">
        <w:t>’</w:t>
      </w:r>
      <w:r w:rsidRPr="00AA282C">
        <w:t>état d</w:t>
      </w:r>
      <w:r w:rsidR="008F7F74">
        <w:t>’</w:t>
      </w:r>
      <w:r w:rsidRPr="00AA282C">
        <w:t>avancement de la tâche n° 52</w:t>
      </w:r>
    </w:p>
    <w:p w14:paraId="5F9D3812" w14:textId="77777777" w:rsidR="002040EE" w:rsidRPr="00AA282C" w:rsidRDefault="002040EE" w:rsidP="00AA282C">
      <w:pPr>
        <w:pStyle w:val="Heading3"/>
      </w:pPr>
      <w:r w:rsidRPr="00AA282C">
        <w:t>Objectifs</w:t>
      </w:r>
    </w:p>
    <w:p w14:paraId="2D7CE162" w14:textId="426DC07C" w:rsidR="002040EE" w:rsidRPr="00AA282C" w:rsidRDefault="002040EE" w:rsidP="00AA282C">
      <w:pPr>
        <w:pStyle w:val="ONUMFS"/>
      </w:pPr>
      <w:r w:rsidRPr="00AA282C">
        <w:t>L</w:t>
      </w:r>
      <w:r w:rsidR="008F7F74">
        <w:t>’</w:t>
      </w:r>
      <w:r w:rsidRPr="00AA282C">
        <w:t>objectif de la tâche n° 52 est d</w:t>
      </w:r>
      <w:r w:rsidR="008F7F74">
        <w:t>’</w:t>
      </w:r>
      <w:r w:rsidRPr="00AA282C">
        <w:t>établir une proposition pour la mise à jour de la partie 6.1 du Manuel de l</w:t>
      </w:r>
      <w:r w:rsidR="008F7F74">
        <w:t>’</w:t>
      </w:r>
      <w:r w:rsidRPr="00AA282C">
        <w:t>OMPI pour que les offices de propriété intellectuelle mettent en œuvre le contenu minimum recommandé pour leurs sites</w:t>
      </w:r>
      <w:r w:rsidR="00C60760">
        <w:t> </w:t>
      </w:r>
      <w:r w:rsidRPr="00AA282C">
        <w:t>Web.</w:t>
      </w:r>
    </w:p>
    <w:p w14:paraId="4FDDEE68" w14:textId="0EFDCA2C" w:rsidR="002040EE" w:rsidRDefault="002040EE" w:rsidP="00AA282C">
      <w:pPr>
        <w:pStyle w:val="Heading3"/>
      </w:pPr>
      <w:r>
        <w:lastRenderedPageBreak/>
        <w:t>Actions pertinentes pour l</w:t>
      </w:r>
      <w:r w:rsidR="008F7F74">
        <w:t>’</w:t>
      </w:r>
      <w:r>
        <w:t>année 2024</w:t>
      </w:r>
    </w:p>
    <w:p w14:paraId="3ADA94BE" w14:textId="504E76F0" w:rsidR="008F7F74" w:rsidRDefault="002040EE" w:rsidP="00AA282C">
      <w:pPr>
        <w:pStyle w:val="ONUMFS"/>
      </w:pPr>
      <w:r w:rsidRPr="00AA282C">
        <w:t>L</w:t>
      </w:r>
      <w:r w:rsidR="008F7F74">
        <w:t>’</w:t>
      </w:r>
      <w:r w:rsidRPr="00AA282C">
        <w:t>Équipe d</w:t>
      </w:r>
      <w:r w:rsidR="008F7F74">
        <w:t>’</w:t>
      </w:r>
      <w:r w:rsidRPr="00AA282C">
        <w:t>experts chargée de l</w:t>
      </w:r>
      <w:r w:rsidR="008F7F74">
        <w:t>’</w:t>
      </w:r>
      <w:r w:rsidRPr="00AA282C">
        <w:t>accès public à l</w:t>
      </w:r>
      <w:r w:rsidR="008F7F74">
        <w:t>’</w:t>
      </w:r>
      <w:r w:rsidRPr="00AA282C">
        <w:t>information en matière de brevets a examiné la proposition figurant à l</w:t>
      </w:r>
      <w:r w:rsidR="008F7F74">
        <w:t>’</w:t>
      </w:r>
      <w:r w:rsidRPr="00AA282C">
        <w:t>annexe du document</w:t>
      </w:r>
      <w:r w:rsidR="008F7F74">
        <w:t> </w:t>
      </w:r>
      <w:hyperlink r:id="rId11" w:history="1">
        <w:r w:rsidRPr="00AA282C">
          <w:rPr>
            <w:rStyle w:val="Hyperlink"/>
            <w:color w:val="auto"/>
            <w:u w:val="none"/>
          </w:rPr>
          <w:t>CWS/11/12</w:t>
        </w:r>
      </w:hyperlink>
      <w:r w:rsidRPr="00AA282C">
        <w:t xml:space="preserve"> et les résultats des enquêtes du CWS associées, publiés dans la partie 7.18 (Accès à l</w:t>
      </w:r>
      <w:r w:rsidR="008F7F74">
        <w:t>’</w:t>
      </w:r>
      <w:r w:rsidRPr="00AA282C">
        <w:t>information en matière de brevets) et dans la partie 7.19 (Pratiques en matière de transformation numérique) du Manu</w:t>
      </w:r>
      <w:r w:rsidR="006F6218" w:rsidRPr="00AA282C">
        <w:t>el</w:t>
      </w:r>
      <w:r w:rsidR="006F6218">
        <w:t xml:space="preserve">.  </w:t>
      </w:r>
      <w:r w:rsidR="006F6218" w:rsidRPr="00AA282C">
        <w:t>L</w:t>
      </w:r>
      <w:r w:rsidR="006F6218">
        <w:t>’</w:t>
      </w:r>
      <w:r w:rsidR="006F6218" w:rsidRPr="00AA282C">
        <w:t>é</w:t>
      </w:r>
      <w:r w:rsidRPr="00AA282C">
        <w:t>quipe d</w:t>
      </w:r>
      <w:r w:rsidR="008F7F74">
        <w:t>’</w:t>
      </w:r>
      <w:r w:rsidRPr="00AA282C">
        <w:t>experts extraira et analysera les informations pertinentes que les experts en brevets ou les utilisateurs de brevets aimeraient trouver sur les sites</w:t>
      </w:r>
      <w:r w:rsidR="00C60760">
        <w:t> </w:t>
      </w:r>
      <w:r w:rsidRPr="00AA282C">
        <w:t>Web des offices de propriété intellectuelle ainsi que les informations disponibles sur ces mêmes sites</w:t>
      </w:r>
      <w:r w:rsidR="00C60760">
        <w:t> </w:t>
      </w:r>
      <w:r w:rsidRPr="00AA282C">
        <w:t>W</w:t>
      </w:r>
      <w:r w:rsidR="006F6218" w:rsidRPr="00AA282C">
        <w:t>eb</w:t>
      </w:r>
      <w:r w:rsidR="006F6218">
        <w:t xml:space="preserve">.  </w:t>
      </w:r>
      <w:r w:rsidR="006F6218" w:rsidRPr="00AA282C">
        <w:t>Su</w:t>
      </w:r>
      <w:r w:rsidRPr="00AA282C">
        <w:t>r la base de cette analyse, l</w:t>
      </w:r>
      <w:r w:rsidR="008F7F74">
        <w:t>’</w:t>
      </w:r>
      <w:r w:rsidRPr="00AA282C">
        <w:t>équipe d</w:t>
      </w:r>
      <w:r w:rsidR="008F7F74">
        <w:t>’</w:t>
      </w:r>
      <w:r w:rsidRPr="00AA282C">
        <w:t>experts prévoit d</w:t>
      </w:r>
      <w:r w:rsidR="008F7F74">
        <w:t>’</w:t>
      </w:r>
      <w:r w:rsidRPr="00AA282C">
        <w:t>établir un ensemble de recommandations pour la mise à jour de la partie 6.1 du Manuel de l</w:t>
      </w:r>
      <w:r w:rsidR="008F7F74">
        <w:t>’</w:t>
      </w:r>
      <w:r w:rsidRPr="00AA282C">
        <w:t>OMPI.</w:t>
      </w:r>
    </w:p>
    <w:p w14:paraId="62372160" w14:textId="05B639F8" w:rsidR="002040EE" w:rsidRDefault="002040EE" w:rsidP="00AA282C">
      <w:pPr>
        <w:pStyle w:val="Heading3"/>
      </w:pPr>
      <w:r>
        <w:t>Défis potentiels ou dépendances</w:t>
      </w:r>
    </w:p>
    <w:p w14:paraId="780843AD" w14:textId="30EA4B08" w:rsidR="002040EE" w:rsidRDefault="002040EE" w:rsidP="00AA282C">
      <w:pPr>
        <w:pStyle w:val="ONUMFS"/>
        <w:rPr>
          <w:iCs/>
        </w:rPr>
      </w:pPr>
      <w:r>
        <w:t>L</w:t>
      </w:r>
      <w:r w:rsidR="008F7F74">
        <w:t>’</w:t>
      </w:r>
      <w:r>
        <w:t>équipe d</w:t>
      </w:r>
      <w:r w:rsidR="008F7F74">
        <w:t>’</w:t>
      </w:r>
      <w:r>
        <w:t>experts a identifié plusieurs défis ou dépendances pour mener à bien ses travaux, notamment</w:t>
      </w:r>
      <w:r w:rsidR="008F7F74">
        <w:t> :</w:t>
      </w:r>
    </w:p>
    <w:p w14:paraId="701941F3" w14:textId="22CA8A6A" w:rsidR="002040EE" w:rsidRDefault="002040EE" w:rsidP="00AA282C">
      <w:pPr>
        <w:pStyle w:val="ONUMFS"/>
        <w:numPr>
          <w:ilvl w:val="0"/>
          <w:numId w:val="7"/>
        </w:numPr>
        <w:ind w:left="1134" w:hanging="567"/>
        <w:rPr>
          <w:iCs/>
        </w:rPr>
      </w:pPr>
      <w:r>
        <w:t>la faible priorité de cette tâche accordée par certains offices de propriété intellectuelle, de sorte que les membres de l</w:t>
      </w:r>
      <w:r w:rsidR="008F7F74">
        <w:t>’</w:t>
      </w:r>
      <w:r>
        <w:t>équipe d</w:t>
      </w:r>
      <w:r w:rsidR="008F7F74">
        <w:t>’</w:t>
      </w:r>
      <w:r>
        <w:t>experts et d</w:t>
      </w:r>
      <w:r w:rsidR="008F7F74">
        <w:t>’</w:t>
      </w:r>
      <w:r>
        <w:t>autres offices peuvent ne pas y participer activement;  et</w:t>
      </w:r>
    </w:p>
    <w:p w14:paraId="1403FC18" w14:textId="7E3895A4" w:rsidR="002040EE" w:rsidRDefault="002040EE" w:rsidP="00AA282C">
      <w:pPr>
        <w:pStyle w:val="ONUMFS"/>
        <w:numPr>
          <w:ilvl w:val="0"/>
          <w:numId w:val="7"/>
        </w:numPr>
        <w:spacing w:after="0"/>
        <w:ind w:left="1134" w:hanging="567"/>
        <w:rPr>
          <w:iCs/>
        </w:rPr>
      </w:pPr>
      <w:r>
        <w:t xml:space="preserve">la forte dépendance </w:t>
      </w:r>
      <w:r w:rsidR="008F7F74">
        <w:t>à l’égard</w:t>
      </w:r>
      <w:r>
        <w:t xml:space="preserve"> des contributions et de la participation de l</w:t>
      </w:r>
      <w:r w:rsidR="008F7F74">
        <w:t>’</w:t>
      </w:r>
      <w:r>
        <w:t>industrie de la propriété intellectuelle.</w:t>
      </w:r>
    </w:p>
    <w:p w14:paraId="77EADF16" w14:textId="77777777" w:rsidR="002040EE" w:rsidRPr="006211B3" w:rsidRDefault="002040EE" w:rsidP="00AA282C">
      <w:pPr>
        <w:pStyle w:val="Heading3"/>
      </w:pPr>
      <w:r>
        <w:t>Évaluation des progrès accomplis</w:t>
      </w:r>
    </w:p>
    <w:p w14:paraId="7ED0ED5D" w14:textId="19FF6E56" w:rsidR="008F7F74" w:rsidRDefault="002040EE" w:rsidP="00AA282C">
      <w:pPr>
        <w:pStyle w:val="ONUMFS"/>
      </w:pPr>
      <w:r>
        <w:t>L</w:t>
      </w:r>
      <w:r w:rsidR="008F7F74">
        <w:t>’</w:t>
      </w:r>
      <w:r>
        <w:t>équipe d</w:t>
      </w:r>
      <w:r w:rsidR="008F7F74">
        <w:t>’</w:t>
      </w:r>
      <w:r>
        <w:t>experts s</w:t>
      </w:r>
      <w:r w:rsidR="008F7F74">
        <w:t>’</w:t>
      </w:r>
      <w:r>
        <w:t>est réunie en mai 2024, a examiné le contenu de la partie 6.1 du Manuel et est convenue d</w:t>
      </w:r>
      <w:r w:rsidR="008F7F74">
        <w:t>’</w:t>
      </w:r>
      <w:r>
        <w:t>un programme de trava</w:t>
      </w:r>
      <w:r w:rsidR="006F6218">
        <w:t>il.  El</w:t>
      </w:r>
      <w:r>
        <w:t>le a pris note que la partie 6.1 du Manuel de l</w:t>
      </w:r>
      <w:r w:rsidR="008F7F74">
        <w:t>’</w:t>
      </w:r>
      <w:r>
        <w:t>OMPI comprenait trois</w:t>
      </w:r>
      <w:r w:rsidR="00C60760">
        <w:t> </w:t>
      </w:r>
      <w:r>
        <w:t>composantes</w:t>
      </w:r>
      <w:r w:rsidR="008F7F74">
        <w:t> :</w:t>
      </w:r>
    </w:p>
    <w:p w14:paraId="15DAB648" w14:textId="77388885" w:rsidR="008F7F74" w:rsidRDefault="0098021F" w:rsidP="00AA282C">
      <w:pPr>
        <w:pStyle w:val="ONUMFS"/>
        <w:numPr>
          <w:ilvl w:val="0"/>
          <w:numId w:val="8"/>
        </w:numPr>
        <w:ind w:left="1134" w:hanging="567"/>
      </w:pPr>
      <w:r>
        <w:t>c</w:t>
      </w:r>
      <w:r w:rsidR="002040EE">
        <w:t>ontenu recommandé pour les Sites</w:t>
      </w:r>
      <w:r w:rsidR="00C60760">
        <w:t> Web</w:t>
      </w:r>
      <w:r w:rsidR="002040EE">
        <w:t xml:space="preserve"> de propriété intellectuelle;</w:t>
      </w:r>
    </w:p>
    <w:p w14:paraId="5F5316F9" w14:textId="4EDA47C2" w:rsidR="002040EE" w:rsidRPr="008F7F74" w:rsidRDefault="0098021F" w:rsidP="00AA282C">
      <w:pPr>
        <w:pStyle w:val="ONUMFS"/>
        <w:numPr>
          <w:ilvl w:val="0"/>
          <w:numId w:val="8"/>
        </w:numPr>
        <w:ind w:left="1134" w:hanging="567"/>
        <w:rPr>
          <w:spacing w:val="-4"/>
          <w:szCs w:val="26"/>
          <w:u w:val="single"/>
        </w:rPr>
      </w:pPr>
      <w:r w:rsidRPr="008F7F74">
        <w:rPr>
          <w:spacing w:val="-4"/>
        </w:rPr>
        <w:t>p</w:t>
      </w:r>
      <w:r w:rsidR="002040EE" w:rsidRPr="008F7F74">
        <w:rPr>
          <w:spacing w:val="-4"/>
        </w:rPr>
        <w:t>rincipes recommandés pour la conception des sites</w:t>
      </w:r>
      <w:r w:rsidR="00C60760">
        <w:rPr>
          <w:spacing w:val="-4"/>
        </w:rPr>
        <w:t> </w:t>
      </w:r>
      <w:r w:rsidR="002040EE" w:rsidRPr="008F7F74">
        <w:rPr>
          <w:spacing w:val="-4"/>
        </w:rPr>
        <w:t>Web de propriété intellectuelle;  et</w:t>
      </w:r>
    </w:p>
    <w:p w14:paraId="5DFE5D3B" w14:textId="26FFB79E" w:rsidR="008F7F74" w:rsidRDefault="0098021F" w:rsidP="00AA282C">
      <w:pPr>
        <w:pStyle w:val="ONUMFS"/>
        <w:numPr>
          <w:ilvl w:val="0"/>
          <w:numId w:val="8"/>
        </w:numPr>
        <w:ind w:left="1134" w:hanging="567"/>
      </w:pPr>
      <w:r>
        <w:t>s</w:t>
      </w:r>
      <w:r w:rsidR="002040EE">
        <w:t>ervices de pointe pour les sites</w:t>
      </w:r>
      <w:r w:rsidR="00C60760">
        <w:t> </w:t>
      </w:r>
      <w:r w:rsidR="002040EE">
        <w:t>Web de propriété intellectuelle.</w:t>
      </w:r>
    </w:p>
    <w:p w14:paraId="1C8F6A57" w14:textId="3B33EF95" w:rsidR="008F7F74" w:rsidRDefault="002040EE" w:rsidP="00AA282C">
      <w:pPr>
        <w:pStyle w:val="ONUMFS"/>
      </w:pPr>
      <w:r w:rsidRPr="00AA282C">
        <w:t>Pour ce qui est de la première composante, les observateurs de l</w:t>
      </w:r>
      <w:r w:rsidR="008F7F74">
        <w:t>’</w:t>
      </w:r>
      <w:r w:rsidRPr="00AA282C">
        <w:t>équipe d</w:t>
      </w:r>
      <w:r w:rsidR="008F7F74">
        <w:t>’</w:t>
      </w:r>
      <w:r w:rsidRPr="00AA282C">
        <w:t>experts ont communiqué une liste d</w:t>
      </w:r>
      <w:r w:rsidR="008F7F74">
        <w:t>’</w:t>
      </w:r>
      <w:r w:rsidRPr="00AA282C">
        <w:t>éléments essentiels qu</w:t>
      </w:r>
      <w:r w:rsidR="008F7F74">
        <w:t>’</w:t>
      </w:r>
      <w:r w:rsidRPr="00AA282C">
        <w:t>ils aimeraient voir figurer sur les sites</w:t>
      </w:r>
      <w:r w:rsidR="00C60760">
        <w:t> </w:t>
      </w:r>
      <w:r w:rsidRPr="00AA282C">
        <w:t>Web des offices de propriété intellectuelle ainsi que des éléments souhaitables et des fonctions supplémentair</w:t>
      </w:r>
      <w:r w:rsidR="006F6218" w:rsidRPr="00AA282C">
        <w:t>es</w:t>
      </w:r>
      <w:r w:rsidR="006F6218">
        <w:t xml:space="preserve">.  </w:t>
      </w:r>
      <w:r w:rsidR="006F6218" w:rsidRPr="00AA282C">
        <w:t>S</w:t>
      </w:r>
      <w:r w:rsidR="006F6218">
        <w:t>’</w:t>
      </w:r>
      <w:r w:rsidR="006F6218" w:rsidRPr="00AA282C">
        <w:t>a</w:t>
      </w:r>
      <w:r w:rsidRPr="00AA282C">
        <w:t>gissant de la deuxième composante, le Bureau international a l</w:t>
      </w:r>
      <w:r w:rsidR="008F7F74">
        <w:t>’</w:t>
      </w:r>
      <w:r w:rsidRPr="00AA282C">
        <w:t>intention d</w:t>
      </w:r>
      <w:r w:rsidR="008F7F74">
        <w:t>’</w:t>
      </w:r>
      <w:r w:rsidRPr="00AA282C">
        <w:t>indiquer des principes directeurs pour examen par l</w:t>
      </w:r>
      <w:r w:rsidR="008F7F74">
        <w:t>’</w:t>
      </w:r>
      <w:r w:rsidRPr="00AA282C">
        <w:t>équipe d</w:t>
      </w:r>
      <w:r w:rsidR="008F7F74">
        <w:t>’</w:t>
      </w:r>
      <w:r w:rsidRPr="00AA282C">
        <w:t>experts lors de ses prochaines réunio</w:t>
      </w:r>
      <w:r w:rsidR="006F6218" w:rsidRPr="00AA282C">
        <w:t>ns</w:t>
      </w:r>
      <w:r w:rsidR="006F6218">
        <w:t xml:space="preserve">.  </w:t>
      </w:r>
      <w:r w:rsidR="006F6218" w:rsidRPr="00AA282C">
        <w:t>En</w:t>
      </w:r>
      <w:r w:rsidRPr="00AA282C">
        <w:t xml:space="preserve"> ce qui concerne la troisième composante, les délibérations n</w:t>
      </w:r>
      <w:r w:rsidR="008F7F74">
        <w:t>’</w:t>
      </w:r>
      <w:r w:rsidRPr="00AA282C">
        <w:t>ont pas encore commencé.</w:t>
      </w:r>
    </w:p>
    <w:p w14:paraId="241B8214" w14:textId="6E8918F5" w:rsidR="002040EE" w:rsidRPr="00AA282C" w:rsidRDefault="002040EE" w:rsidP="00AA282C">
      <w:pPr>
        <w:pStyle w:val="Heading2"/>
      </w:pPr>
      <w:r w:rsidRPr="00AA282C">
        <w:t>P</w:t>
      </w:r>
      <w:r w:rsidR="00AA282C" w:rsidRPr="00AA282C">
        <w:t>rogramme de travail</w:t>
      </w:r>
    </w:p>
    <w:p w14:paraId="29925F13" w14:textId="490434F2" w:rsidR="008F7F74" w:rsidRDefault="002040EE" w:rsidP="00AA282C">
      <w:pPr>
        <w:pStyle w:val="ONUMFS"/>
      </w:pPr>
      <w:r>
        <w:t>L</w:t>
      </w:r>
      <w:r w:rsidR="008F7F74">
        <w:t>’</w:t>
      </w:r>
      <w:r>
        <w:t>Équipe d</w:t>
      </w:r>
      <w:r w:rsidR="008F7F74">
        <w:t>’</w:t>
      </w:r>
      <w:r>
        <w:t>experts chargée de l</w:t>
      </w:r>
      <w:r w:rsidR="008F7F74">
        <w:t>’</w:t>
      </w:r>
      <w:r>
        <w:t>accès public à l</w:t>
      </w:r>
      <w:r w:rsidR="008F7F74">
        <w:t>’</w:t>
      </w:r>
      <w:r>
        <w:t>information en matière de brevets établira une proposition en vue de la mise à jour de la partie 6.1 du Manuel de l</w:t>
      </w:r>
      <w:r w:rsidR="008F7F74">
        <w:t>’</w:t>
      </w:r>
      <w:r>
        <w:t>OMPI et la présentera pour examen à la treiz</w:t>
      </w:r>
      <w:r w:rsidR="008F7F74">
        <w:t>ième session</w:t>
      </w:r>
      <w:r>
        <w:t xml:space="preserve"> du CWS.</w:t>
      </w:r>
    </w:p>
    <w:p w14:paraId="55C68BD3" w14:textId="77777777" w:rsidR="008F7F74" w:rsidRDefault="002040EE" w:rsidP="00AA282C">
      <w:pPr>
        <w:pStyle w:val="ONUMFS"/>
        <w:ind w:left="5533"/>
        <w:rPr>
          <w:i/>
        </w:rPr>
      </w:pPr>
      <w:r w:rsidRPr="00AA282C">
        <w:rPr>
          <w:i/>
        </w:rPr>
        <w:t>Le CWS est invité</w:t>
      </w:r>
    </w:p>
    <w:p w14:paraId="7B107AB7" w14:textId="6F561DEA" w:rsidR="002040EE" w:rsidRDefault="002040EE" w:rsidP="0098021F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tab/>
        <w:t>a)</w:t>
      </w:r>
      <w:r>
        <w:rPr>
          <w:i/>
        </w:rPr>
        <w:tab/>
        <w:t>à prendre note du contenu du présent document et</w:t>
      </w:r>
    </w:p>
    <w:p w14:paraId="361AF423" w14:textId="17531D87" w:rsidR="008F7F74" w:rsidRDefault="002040EE" w:rsidP="0098021F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tab/>
        <w:t>b)</w:t>
      </w:r>
      <w:r>
        <w:rPr>
          <w:i/>
        </w:rPr>
        <w:tab/>
        <w:t>à prendre note du programme de travail de l</w:t>
      </w:r>
      <w:r w:rsidR="008F7F74">
        <w:rPr>
          <w:i/>
        </w:rPr>
        <w:t>’</w:t>
      </w:r>
      <w:r>
        <w:rPr>
          <w:i/>
        </w:rPr>
        <w:t>Équipe d</w:t>
      </w:r>
      <w:r w:rsidR="008F7F74">
        <w:rPr>
          <w:i/>
        </w:rPr>
        <w:t>’</w:t>
      </w:r>
      <w:r>
        <w:rPr>
          <w:i/>
        </w:rPr>
        <w:t>experts chargée de l</w:t>
      </w:r>
      <w:r w:rsidR="008F7F74">
        <w:rPr>
          <w:i/>
        </w:rPr>
        <w:t>’</w:t>
      </w:r>
      <w:r>
        <w:rPr>
          <w:i/>
        </w:rPr>
        <w:t xml:space="preserve">accès public à </w:t>
      </w:r>
      <w:r>
        <w:rPr>
          <w:i/>
        </w:rPr>
        <w:lastRenderedPageBreak/>
        <w:t>l</w:t>
      </w:r>
      <w:r w:rsidR="008F7F74">
        <w:rPr>
          <w:i/>
        </w:rPr>
        <w:t>’</w:t>
      </w:r>
      <w:r>
        <w:rPr>
          <w:i/>
        </w:rPr>
        <w:t>information en matière de brevets présenté au paragraphe 13.</w:t>
      </w:r>
    </w:p>
    <w:p w14:paraId="22D301C9" w14:textId="3CEEF432" w:rsidR="002040EE" w:rsidRPr="00084955" w:rsidRDefault="002040EE" w:rsidP="00AA282C">
      <w:pPr>
        <w:pStyle w:val="Endofdocument-Annex"/>
        <w:spacing w:before="720"/>
      </w:pPr>
      <w:r>
        <w:t>[Fin du document]</w:t>
      </w:r>
    </w:p>
    <w:sectPr w:rsidR="002040EE" w:rsidRPr="00084955" w:rsidSect="002040EE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75863" w14:textId="77777777" w:rsidR="002040EE" w:rsidRDefault="002040EE">
      <w:r>
        <w:separator/>
      </w:r>
    </w:p>
  </w:endnote>
  <w:endnote w:type="continuationSeparator" w:id="0">
    <w:p w14:paraId="168095C0" w14:textId="77777777" w:rsidR="002040EE" w:rsidRPr="009D30E6" w:rsidRDefault="002040E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DFDA071" w14:textId="77777777" w:rsidR="002040EE" w:rsidRPr="009D30E6" w:rsidRDefault="002040E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0E9CB56" w14:textId="77777777" w:rsidR="002040EE" w:rsidRPr="009D30E6" w:rsidRDefault="002040E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8C5DD" w14:textId="77777777" w:rsidR="002040EE" w:rsidRDefault="002040EE">
      <w:r>
        <w:separator/>
      </w:r>
    </w:p>
  </w:footnote>
  <w:footnote w:type="continuationSeparator" w:id="0">
    <w:p w14:paraId="26FB9D71" w14:textId="77777777" w:rsidR="002040EE" w:rsidRDefault="002040EE" w:rsidP="007461F1">
      <w:r>
        <w:separator/>
      </w:r>
    </w:p>
    <w:p w14:paraId="1DD3B9D7" w14:textId="77777777" w:rsidR="002040EE" w:rsidRPr="009D30E6" w:rsidRDefault="002040E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9EAE5FC" w14:textId="77777777" w:rsidR="002040EE" w:rsidRPr="009D30E6" w:rsidRDefault="002040E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261AD" w14:textId="77777777" w:rsidR="00F16975" w:rsidRDefault="002040EE" w:rsidP="00477D6B">
    <w:pPr>
      <w:jc w:val="right"/>
    </w:pPr>
    <w:bookmarkStart w:id="5" w:name="Code2"/>
    <w:bookmarkEnd w:id="5"/>
    <w:r>
      <w:t>CWS/12/7</w:t>
    </w:r>
  </w:p>
  <w:p w14:paraId="24FA05F0" w14:textId="46A3D145" w:rsidR="00F16975" w:rsidRDefault="00F16975" w:rsidP="00AA282C">
    <w:pPr>
      <w:spacing w:after="480"/>
      <w:jc w:val="right"/>
    </w:pPr>
    <w:r>
      <w:t>page</w:t>
    </w:r>
    <w:r w:rsidR="00AA282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E70BC"/>
    <w:multiLevelType w:val="hybridMultilevel"/>
    <w:tmpl w:val="AC6A081C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7"/>
  </w:num>
  <w:num w:numId="5" w16cid:durableId="628778745">
    <w:abstractNumId w:val="1"/>
  </w:num>
  <w:num w:numId="6" w16cid:durableId="670451745">
    <w:abstractNumId w:val="3"/>
  </w:num>
  <w:num w:numId="7" w16cid:durableId="1879277026">
    <w:abstractNumId w:val="5"/>
  </w:num>
  <w:num w:numId="8" w16cid:durableId="964848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EE"/>
    <w:rsid w:val="00011B7D"/>
    <w:rsid w:val="00075432"/>
    <w:rsid w:val="000F5E56"/>
    <w:rsid w:val="001352EC"/>
    <w:rsid w:val="001362EE"/>
    <w:rsid w:val="0016098F"/>
    <w:rsid w:val="001832A6"/>
    <w:rsid w:val="00195C6E"/>
    <w:rsid w:val="00197881"/>
    <w:rsid w:val="001B266A"/>
    <w:rsid w:val="001D3D56"/>
    <w:rsid w:val="002040EE"/>
    <w:rsid w:val="002334E8"/>
    <w:rsid w:val="00240654"/>
    <w:rsid w:val="002634C4"/>
    <w:rsid w:val="002D19EF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4601"/>
    <w:rsid w:val="005E6516"/>
    <w:rsid w:val="00605827"/>
    <w:rsid w:val="006474D3"/>
    <w:rsid w:val="00676936"/>
    <w:rsid w:val="006B0DB5"/>
    <w:rsid w:val="006E4243"/>
    <w:rsid w:val="006F6218"/>
    <w:rsid w:val="007461F1"/>
    <w:rsid w:val="00774FF1"/>
    <w:rsid w:val="007D6961"/>
    <w:rsid w:val="007F07CB"/>
    <w:rsid w:val="00810CEF"/>
    <w:rsid w:val="0081208D"/>
    <w:rsid w:val="008236DE"/>
    <w:rsid w:val="00842A13"/>
    <w:rsid w:val="008B2CC1"/>
    <w:rsid w:val="008E7930"/>
    <w:rsid w:val="008F7F74"/>
    <w:rsid w:val="0090731E"/>
    <w:rsid w:val="00966A22"/>
    <w:rsid w:val="00974CD6"/>
    <w:rsid w:val="0098021F"/>
    <w:rsid w:val="009D30E6"/>
    <w:rsid w:val="009E3F6F"/>
    <w:rsid w:val="009F499F"/>
    <w:rsid w:val="00A02BD3"/>
    <w:rsid w:val="00AA1F20"/>
    <w:rsid w:val="00AA282C"/>
    <w:rsid w:val="00AC0AE4"/>
    <w:rsid w:val="00AD61DB"/>
    <w:rsid w:val="00B87BCF"/>
    <w:rsid w:val="00BA62D4"/>
    <w:rsid w:val="00C153FD"/>
    <w:rsid w:val="00C40E15"/>
    <w:rsid w:val="00C60760"/>
    <w:rsid w:val="00C664C8"/>
    <w:rsid w:val="00C76A79"/>
    <w:rsid w:val="00CA15F5"/>
    <w:rsid w:val="00CF0460"/>
    <w:rsid w:val="00D14651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80FC7"/>
    <w:rsid w:val="00EE71CB"/>
    <w:rsid w:val="00F16975"/>
    <w:rsid w:val="00F66152"/>
    <w:rsid w:val="00F870AD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FBC0F"/>
  <w15:docId w15:val="{9DA30D08-F55A-4CFC-B3A5-B8CBC87E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282C"/>
    <w:pPr>
      <w:keepNext/>
      <w:spacing w:before="22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A282C"/>
    <w:pPr>
      <w:keepNext/>
      <w:spacing w:before="22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AA282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A282C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2040EE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2040EE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uiPriority w:val="99"/>
    <w:unhideWhenUsed/>
    <w:rsid w:val="00204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standards/fr/part_0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docs/mdocs/cws/fr/cws_11/cws_11_1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po.int/standards/fr/part_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standards/fr/part_07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17</TotalTime>
  <Pages>4</Pages>
  <Words>1291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CWS/12/7</vt:lpstr>
    </vt:vector>
  </TitlesOfParts>
  <Company>WIPO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CWS/12/7</dc:title>
  <dc:creator>WIPO</dc:creator>
  <cp:keywords>Comité des normes de l’OMPI (CWS) Douzième Session</cp:keywords>
  <cp:lastModifiedBy>BLANCHET Gaspard</cp:lastModifiedBy>
  <cp:revision>6</cp:revision>
  <cp:lastPrinted>2011-05-19T12:37:00Z</cp:lastPrinted>
  <dcterms:created xsi:type="dcterms:W3CDTF">2024-08-13T08:10:00Z</dcterms:created>
  <dcterms:modified xsi:type="dcterms:W3CDTF">2024-08-19T14:15:00Z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2024-08-13T08:12:13Z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1d448290-4059-423e-83ce-0f302c2fe47d</vt:lpwstr>
  </property>
  <property fmtid="{D5CDD505-2E9C-101B-9397-08002B2CF9AE}" pid="14" name="MSIP_Label_20773ee6-353b-4fb9-a59d-0b94c8c67bea_ContentBits">
    <vt:lpwstr>0</vt:lpwstr>
  </property>
</Properties>
</file>