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6C39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695586A" wp14:editId="3A6DC5E1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204D2DBE" wp14:editId="4BE0A62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7E030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781A469" w14:textId="77777777" w:rsidR="00334687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</w:t>
      </w:r>
      <w:r w:rsidR="001352EC">
        <w:rPr>
          <w:rFonts w:ascii="Arial Black" w:hAnsi="Arial Black"/>
          <w:caps/>
          <w:sz w:val="15"/>
          <w:szCs w:val="15"/>
        </w:rPr>
        <w:t>2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75AA0">
        <w:rPr>
          <w:rFonts w:ascii="Arial Black" w:hAnsi="Arial Black"/>
          <w:caps/>
          <w:sz w:val="15"/>
          <w:szCs w:val="15"/>
        </w:rPr>
        <w:t>22</w:t>
      </w:r>
    </w:p>
    <w:p w14:paraId="5DD11B42" w14:textId="5621CFF7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33468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E75AA0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A0F8F24" w14:textId="1D413089" w:rsidR="008B2CC1" w:rsidRPr="00197881" w:rsidRDefault="00DB0349" w:rsidP="00DB0349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334687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E75AA0">
        <w:rPr>
          <w:rFonts w:ascii="Arial Black" w:hAnsi="Arial Black"/>
          <w:caps/>
          <w:sz w:val="15"/>
          <w:szCs w:val="15"/>
        </w:rPr>
        <w:t>17 </w:t>
      </w:r>
      <w:r w:rsidR="00334687">
        <w:rPr>
          <w:rFonts w:ascii="Arial Black" w:hAnsi="Arial Black"/>
          <w:caps/>
          <w:sz w:val="15"/>
          <w:szCs w:val="15"/>
        </w:rPr>
        <w:t>juillet 20</w:t>
      </w:r>
      <w:r w:rsidR="00E75AA0">
        <w:rPr>
          <w:rFonts w:ascii="Arial Black" w:hAnsi="Arial Black"/>
          <w:caps/>
          <w:sz w:val="15"/>
          <w:szCs w:val="15"/>
        </w:rPr>
        <w:t>24</w:t>
      </w:r>
    </w:p>
    <w:bookmarkEnd w:id="2"/>
    <w:p w14:paraId="01F31B98" w14:textId="57A16A80" w:rsidR="00C40E15" w:rsidRPr="00197881" w:rsidRDefault="00197881" w:rsidP="00DB0349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334687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66763C94" w14:textId="64EE2DD1" w:rsidR="008B2CC1" w:rsidRPr="00197881" w:rsidRDefault="001352EC" w:rsidP="008B2CC1">
      <w:pPr>
        <w:rPr>
          <w:b/>
          <w:sz w:val="28"/>
          <w:szCs w:val="24"/>
        </w:rPr>
      </w:pPr>
      <w:r w:rsidRPr="00197881">
        <w:rPr>
          <w:b/>
          <w:sz w:val="24"/>
        </w:rPr>
        <w:t>D</w:t>
      </w:r>
      <w:r>
        <w:rPr>
          <w:b/>
          <w:sz w:val="24"/>
        </w:rPr>
        <w:t>ouz</w:t>
      </w:r>
      <w:r w:rsidR="00334687">
        <w:rPr>
          <w:b/>
          <w:sz w:val="24"/>
        </w:rPr>
        <w:t>ième session</w:t>
      </w:r>
    </w:p>
    <w:p w14:paraId="60FEF9F8" w14:textId="0B1278E1" w:rsidR="008B2CC1" w:rsidRPr="00197881" w:rsidRDefault="00197881" w:rsidP="00DB0349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</w:t>
      </w:r>
      <w:r w:rsidR="001352EC" w:rsidRPr="001352EC">
        <w:rPr>
          <w:b/>
          <w:sz w:val="24"/>
        </w:rPr>
        <w:t xml:space="preserve"> </w:t>
      </w:r>
      <w:r w:rsidR="001352EC">
        <w:rPr>
          <w:b/>
          <w:sz w:val="24"/>
        </w:rPr>
        <w:t xml:space="preserve">16 </w:t>
      </w:r>
      <w:r w:rsidR="001352EC" w:rsidRPr="00197881">
        <w:rPr>
          <w:b/>
          <w:sz w:val="24"/>
        </w:rPr>
        <w:t xml:space="preserve">– </w:t>
      </w:r>
      <w:r w:rsidR="0065686C">
        <w:rPr>
          <w:b/>
          <w:sz w:val="24"/>
        </w:rPr>
        <w:t>19</w:t>
      </w:r>
      <w:r w:rsidR="00334687">
        <w:rPr>
          <w:b/>
          <w:sz w:val="24"/>
        </w:rPr>
        <w:t> septembre </w:t>
      </w:r>
      <w:r w:rsidR="00334687" w:rsidRPr="00197881">
        <w:rPr>
          <w:b/>
          <w:sz w:val="24"/>
        </w:rPr>
        <w:t>20</w:t>
      </w:r>
      <w:r w:rsidR="001352EC" w:rsidRPr="00197881">
        <w:rPr>
          <w:b/>
          <w:sz w:val="24"/>
        </w:rPr>
        <w:t>2</w:t>
      </w:r>
      <w:r w:rsidR="001352EC">
        <w:rPr>
          <w:b/>
          <w:sz w:val="24"/>
        </w:rPr>
        <w:t>4</w:t>
      </w:r>
    </w:p>
    <w:p w14:paraId="30C887C5" w14:textId="0F1BB6B7" w:rsidR="008B2CC1" w:rsidRPr="00E75AA0" w:rsidRDefault="00E75AA0" w:rsidP="00DB0349">
      <w:pPr>
        <w:spacing w:after="360"/>
        <w:rPr>
          <w:caps/>
          <w:sz w:val="24"/>
        </w:rPr>
      </w:pPr>
      <w:bookmarkStart w:id="3" w:name="TitleOfDoc"/>
      <w:r w:rsidRPr="00E75AA0">
        <w:rPr>
          <w:caps/>
          <w:sz w:val="24"/>
        </w:rPr>
        <w:t>Recommandations concernant l</w:t>
      </w:r>
      <w:r w:rsidR="00334687">
        <w:rPr>
          <w:caps/>
          <w:sz w:val="24"/>
        </w:rPr>
        <w:t>’</w:t>
      </w:r>
      <w:r w:rsidRPr="00E75AA0">
        <w:rPr>
          <w:caps/>
          <w:sz w:val="24"/>
        </w:rPr>
        <w:t>administration des technologies de l</w:t>
      </w:r>
      <w:r w:rsidR="00334687">
        <w:rPr>
          <w:caps/>
          <w:sz w:val="24"/>
        </w:rPr>
        <w:t>’</w:t>
      </w:r>
      <w:r w:rsidRPr="00E75AA0">
        <w:rPr>
          <w:caps/>
          <w:sz w:val="24"/>
        </w:rPr>
        <w:t>information et de la communication et de la propriété intellectuelle</w:t>
      </w:r>
    </w:p>
    <w:p w14:paraId="180D60E4" w14:textId="2610E702" w:rsidR="00525B63" w:rsidRPr="00C153FD" w:rsidRDefault="00E75AA0" w:rsidP="00DB0349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Document </w:t>
      </w:r>
      <w:r w:rsidR="0022485F" w:rsidRPr="0022485F">
        <w:rPr>
          <w:i/>
          <w:iCs/>
        </w:rPr>
        <w:t>établi par le</w:t>
      </w:r>
      <w:r w:rsidR="0022485F">
        <w:rPr>
          <w:i/>
          <w:iCs/>
        </w:rPr>
        <w:t>s</w:t>
      </w:r>
      <w:r w:rsidR="0022485F" w:rsidRPr="0022485F">
        <w:rPr>
          <w:i/>
          <w:iCs/>
        </w:rPr>
        <w:t xml:space="preserve"> responsable</w:t>
      </w:r>
      <w:r w:rsidR="0022485F">
        <w:rPr>
          <w:i/>
          <w:iCs/>
        </w:rPr>
        <w:t>s</w:t>
      </w:r>
      <w:r w:rsidR="0022485F" w:rsidRPr="0022485F">
        <w:rPr>
          <w:i/>
          <w:iCs/>
        </w:rPr>
        <w:t xml:space="preserve"> de l’Équipe d’experts chargée des normes relatives aux technologies de l’information et de la communication</w:t>
      </w:r>
    </w:p>
    <w:bookmarkEnd w:id="4"/>
    <w:p w14:paraId="461BD9DC" w14:textId="7490E89E" w:rsidR="00E75AA0" w:rsidRPr="00D34F73" w:rsidRDefault="00334687" w:rsidP="00334687">
      <w:pPr>
        <w:pStyle w:val="Heading2"/>
        <w:rPr>
          <w:rFonts w:ascii="Aptos Display" w:hAnsi="Aptos Display"/>
          <w:color w:val="0F4761"/>
          <w:szCs w:val="26"/>
        </w:rPr>
      </w:pPr>
      <w:r w:rsidRPr="00334687">
        <w:t>Résumé</w:t>
      </w:r>
    </w:p>
    <w:p w14:paraId="3581AA35" w14:textId="0B7F0BD0" w:rsidR="00E75AA0" w:rsidRDefault="00E75AA0" w:rsidP="00334687">
      <w:pPr>
        <w:pStyle w:val="ONUMFS"/>
        <w:rPr>
          <w:sz w:val="24"/>
          <w:szCs w:val="24"/>
        </w:rPr>
      </w:pPr>
      <w:r>
        <w:t>L</w:t>
      </w:r>
      <w:r w:rsidR="00334687">
        <w:t>’</w:t>
      </w:r>
      <w:r>
        <w:t>Équipe d</w:t>
      </w:r>
      <w:r w:rsidR="00334687">
        <w:t>’</w:t>
      </w:r>
      <w:r>
        <w:t>experts chargée de la stratégie en matière de TIC présente une série de projets de recommandations révisées concernant l</w:t>
      </w:r>
      <w:r w:rsidR="00334687">
        <w:t>’</w:t>
      </w:r>
      <w:r>
        <w:t>administration des technologies de l</w:t>
      </w:r>
      <w:r w:rsidR="00334687">
        <w:t>’</w:t>
      </w:r>
      <w:r>
        <w:t>information et de la communication et de la propriété intellectuelle aux fins de leur examen et de leur adoption par le Comité des normes de l</w:t>
      </w:r>
      <w:r w:rsidR="00334687">
        <w:t>’</w:t>
      </w:r>
      <w:r>
        <w:t>OMPI (CWS).  Ces recommandations doivent être examinées dans la perspective de leur mise en œuvre par les offices de propriété intellectuelle.</w:t>
      </w:r>
    </w:p>
    <w:p w14:paraId="4A6B9290" w14:textId="011EF31D" w:rsidR="00E75AA0" w:rsidRDefault="00334687" w:rsidP="00334687">
      <w:pPr>
        <w:pStyle w:val="Heading2"/>
      </w:pPr>
      <w:r>
        <w:t>Contexte</w:t>
      </w:r>
    </w:p>
    <w:p w14:paraId="1BE279F4" w14:textId="2F77188A" w:rsidR="00E75AA0" w:rsidRPr="00D34F73" w:rsidRDefault="00E75AA0" w:rsidP="00334687">
      <w:pPr>
        <w:pStyle w:val="ONUMFS"/>
        <w:rPr>
          <w:rFonts w:eastAsia="Arial"/>
          <w:szCs w:val="22"/>
        </w:rPr>
      </w:pPr>
      <w:r>
        <w:t>À sa six</w:t>
      </w:r>
      <w:r w:rsidR="00334687">
        <w:t>ième session</w:t>
      </w:r>
      <w:r>
        <w:t xml:space="preserve">, tenue </w:t>
      </w:r>
      <w:r w:rsidR="00334687">
        <w:t>en 2018</w:t>
      </w:r>
      <w:r>
        <w:t>,</w:t>
      </w:r>
      <w:r w:rsidR="00334687">
        <w:t xml:space="preserve"> le CWS</w:t>
      </w:r>
      <w:r>
        <w:t xml:space="preserve"> a pris note des “40</w:t>
      </w:r>
      <w:r w:rsidR="00334687">
        <w:t> </w:t>
      </w:r>
      <w:r>
        <w:t>recommandations” établies par la Réunion des offices de propriété intellectuelle sur les stratégies informatiques et l</w:t>
      </w:r>
      <w:r w:rsidR="00334687">
        <w:t>’</w:t>
      </w:r>
      <w:r>
        <w:t>intelligence artificielle aux fins de l</w:t>
      </w:r>
      <w:r w:rsidR="00334687">
        <w:t>’</w:t>
      </w:r>
      <w:r>
        <w:t>administration de la propriété intellectuelle, convoquée par le Bureau international pour permettre l</w:t>
      </w:r>
      <w:r w:rsidR="00334687">
        <w:t>’</w:t>
      </w:r>
      <w:r>
        <w:t>échange de vues et de données d</w:t>
      </w:r>
      <w:r w:rsidR="00334687">
        <w:t>’</w:t>
      </w:r>
      <w:r>
        <w:t>expérience sur les stratégies informatiques et l</w:t>
      </w:r>
      <w:r w:rsidR="00334687">
        <w:t>’</w:t>
      </w:r>
      <w:r>
        <w:t xml:space="preserve">administration rationnelle des opérations.  </w:t>
      </w:r>
      <w:r w:rsidR="00334687">
        <w:t>Le CWS</w:t>
      </w:r>
      <w:r>
        <w:t xml:space="preserve"> a pris note de l</w:t>
      </w:r>
      <w:r w:rsidR="00334687">
        <w:t>’</w:t>
      </w:r>
      <w:r>
        <w:t>analyse des 40</w:t>
      </w:r>
      <w:r w:rsidR="00334687">
        <w:t> </w:t>
      </w:r>
      <w:r>
        <w:t>recommandations effectuée par le Secrétariat ainsi que de leur pertinence au regard de ses activités, avec un classement des recommandations en trois</w:t>
      </w:r>
      <w:r w:rsidR="005A0C99">
        <w:t> </w:t>
      </w:r>
      <w:r>
        <w:t>groupes (voir les paragraphes</w:t>
      </w:r>
      <w:r w:rsidR="00334687">
        <w:t> </w:t>
      </w:r>
      <w:r>
        <w:t xml:space="preserve">17 à 27 du </w:t>
      </w:r>
      <w:r w:rsidR="00334687">
        <w:t>document</w:t>
      </w:r>
      <w:r w:rsidR="00744A8E">
        <w:t> </w:t>
      </w:r>
      <w:r w:rsidR="00334687">
        <w:t>CW</w:t>
      </w:r>
      <w:r>
        <w:t>S/6/34).</w:t>
      </w:r>
    </w:p>
    <w:p w14:paraId="5A6D3EBC" w14:textId="091CEB36" w:rsidR="00E75AA0" w:rsidRPr="00D34F73" w:rsidRDefault="00E75AA0" w:rsidP="00334687">
      <w:pPr>
        <w:pStyle w:val="ONUMFS"/>
        <w:spacing w:before="220"/>
        <w:rPr>
          <w:rFonts w:eastAsia="Arial"/>
          <w:szCs w:val="22"/>
        </w:rPr>
      </w:pPr>
      <w:r>
        <w:t>L</w:t>
      </w:r>
      <w:r w:rsidR="00334687">
        <w:t>’</w:t>
      </w:r>
      <w:r>
        <w:t>Équipe d</w:t>
      </w:r>
      <w:r w:rsidR="00334687">
        <w:t>’</w:t>
      </w:r>
      <w:r>
        <w:t>experts chargée de la stratégie en matière de TIC a procédé à l</w:t>
      </w:r>
      <w:r w:rsidR="00334687">
        <w:t>’</w:t>
      </w:r>
      <w:r>
        <w:t>analyse de la pertinence et de l</w:t>
      </w:r>
      <w:r w:rsidR="00334687">
        <w:t>’</w:t>
      </w:r>
      <w:r>
        <w:t>ordre de priorité de ces 40</w:t>
      </w:r>
      <w:r w:rsidR="00334687">
        <w:t> </w:t>
      </w:r>
      <w:r>
        <w:t>recommandations au regard des activités</w:t>
      </w:r>
      <w:r w:rsidR="00334687">
        <w:t xml:space="preserve"> du CWS</w:t>
      </w:r>
      <w:r>
        <w:t>, compte tenu des résultats des deux</w:t>
      </w:r>
      <w:r w:rsidR="005A0C99">
        <w:t> </w:t>
      </w:r>
      <w:r>
        <w:t>enquêtes menées auprès des membres de l</w:t>
      </w:r>
      <w:r w:rsidR="00334687">
        <w:t>’</w:t>
      </w:r>
      <w:r>
        <w:t>Équipe d</w:t>
      </w:r>
      <w:r w:rsidR="00334687">
        <w:t>’</w:t>
      </w:r>
      <w:r>
        <w:t>experts puis des membres</w:t>
      </w:r>
      <w:r w:rsidR="00334687">
        <w:t xml:space="preserve"> du CWS</w:t>
      </w:r>
      <w:r>
        <w:t xml:space="preserve"> (voir le </w:t>
      </w:r>
      <w:r w:rsidR="00334687">
        <w:t>document</w:t>
      </w:r>
      <w:r w:rsidR="00744A8E">
        <w:t> </w:t>
      </w:r>
      <w:r w:rsidR="00334687">
        <w:t>CW</w:t>
      </w:r>
      <w:r>
        <w:t>S/11/21).</w:t>
      </w:r>
    </w:p>
    <w:p w14:paraId="2C0C9BDF" w14:textId="6079196C" w:rsidR="00E75AA0" w:rsidRPr="00CD535C" w:rsidRDefault="00E75AA0" w:rsidP="00334687">
      <w:pPr>
        <w:pStyle w:val="ONUMFS"/>
        <w:tabs>
          <w:tab w:val="clear" w:pos="567"/>
        </w:tabs>
        <w:spacing w:before="220"/>
        <w:rPr>
          <w:rFonts w:eastAsia="Arial"/>
          <w:szCs w:val="22"/>
        </w:rPr>
      </w:pPr>
      <w:r>
        <w:lastRenderedPageBreak/>
        <w:t>En outre, l</w:t>
      </w:r>
      <w:r w:rsidR="00334687">
        <w:t>’</w:t>
      </w:r>
      <w:r>
        <w:t>Équipe d</w:t>
      </w:r>
      <w:r w:rsidR="00334687">
        <w:t>’</w:t>
      </w:r>
      <w:r>
        <w:t>experts est convenue de regrouper les 40</w:t>
      </w:r>
      <w:r w:rsidR="00334687">
        <w:t> </w:t>
      </w:r>
      <w:r>
        <w:t>recommandations à la lumière du mandat</w:t>
      </w:r>
      <w:r w:rsidR="00334687">
        <w:t xml:space="preserve"> du CWS</w:t>
      </w:r>
      <w:r>
        <w:t xml:space="preserve">, adopté </w:t>
      </w:r>
      <w:r w:rsidR="00334687">
        <w:t>en 2022</w:t>
      </w:r>
      <w:r>
        <w:t>, et des résultats de l</w:t>
      </w:r>
      <w:r w:rsidR="00334687">
        <w:t>’</w:t>
      </w:r>
      <w:r>
        <w:t>enquê</w:t>
      </w:r>
      <w:r w:rsidR="008F7977">
        <w:t>te.  Po</w:t>
      </w:r>
      <w:r>
        <w:t>ur améliorer les 40</w:t>
      </w:r>
      <w:r w:rsidR="00334687">
        <w:t> </w:t>
      </w:r>
      <w:r>
        <w:t>recommandations initiales, l</w:t>
      </w:r>
      <w:r w:rsidR="00334687">
        <w:t>’</w:t>
      </w:r>
      <w:r>
        <w:t>Équipe d</w:t>
      </w:r>
      <w:r w:rsidR="00334687">
        <w:t>’</w:t>
      </w:r>
      <w:r>
        <w:t>experts est également convenue de ce qui suit</w:t>
      </w:r>
      <w:r w:rsidR="00334687">
        <w:t> :</w:t>
      </w:r>
    </w:p>
    <w:p w14:paraId="21D9B311" w14:textId="77777777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ajouter de nouvelles recommandations;</w:t>
      </w:r>
    </w:p>
    <w:p w14:paraId="62044864" w14:textId="1C79BC6C" w:rsidR="00E75AA0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certaines recommandations n</w:t>
      </w:r>
      <w:r w:rsidR="00334687">
        <w:t>’</w:t>
      </w:r>
      <w:r>
        <w:t>étaient plus valables;</w:t>
      </w:r>
    </w:p>
    <w:p w14:paraId="595A1AF0" w14:textId="77777777" w:rsidR="00E75AA0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étendre certaines recommandations;</w:t>
      </w:r>
    </w:p>
    <w:p w14:paraId="70C857A1" w14:textId="77777777" w:rsidR="00E75AA0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rendre certaines recommandations plus explicites ou plus claires;</w:t>
      </w:r>
    </w:p>
    <w:p w14:paraId="11A4B23A" w14:textId="77777777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considérer que certaines recommandations, telles que les recommandations</w:t>
      </w:r>
      <w:r w:rsidR="00334687">
        <w:t> </w:t>
      </w:r>
      <w:r>
        <w:t>R17, R23, R32 et R33, sont achevées ou ont été mises en œuvre;  et</w:t>
      </w:r>
    </w:p>
    <w:p w14:paraId="576A1860" w14:textId="37B764D9" w:rsidR="00E75AA0" w:rsidRPr="000B71BB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réduire le nombre de recommandations, de sorte que les offices de propriété intellectuelle puissent se concentrer sur leur mise en œuvre dans un délai donné.</w:t>
      </w:r>
    </w:p>
    <w:p w14:paraId="5CBB5693" w14:textId="5E2A49EF" w:rsidR="00334687" w:rsidRDefault="00E75AA0" w:rsidP="00334687">
      <w:pPr>
        <w:pStyle w:val="ONUMFS"/>
        <w:spacing w:before="220"/>
      </w:pPr>
      <w:r>
        <w:t>En vue de son examen à la onz</w:t>
      </w:r>
      <w:r w:rsidR="00334687">
        <w:t>ième session du CWS</w:t>
      </w:r>
      <w:r>
        <w:t>, l</w:t>
      </w:r>
      <w:r w:rsidR="00334687">
        <w:t>’</w:t>
      </w:r>
      <w:r>
        <w:t>Équipe d</w:t>
      </w:r>
      <w:r w:rsidR="00334687">
        <w:t>’</w:t>
      </w:r>
      <w:r>
        <w:t>experts chargée de la stratégie en matière de TIC a établi et présenté une nouvelle série de 10</w:t>
      </w:r>
      <w:r w:rsidR="00334687">
        <w:t> </w:t>
      </w:r>
      <w:r>
        <w:t>recommandations concernant l</w:t>
      </w:r>
      <w:r w:rsidR="00334687">
        <w:t>’</w:t>
      </w:r>
      <w:r>
        <w:t>administration</w:t>
      </w:r>
      <w:r w:rsidR="00334687">
        <w:t xml:space="preserve"> des TIC</w:t>
      </w:r>
      <w:r>
        <w:t xml:space="preserve"> et de la propriété intellectuelle, assorties des actions correspondantes (voir l</w:t>
      </w:r>
      <w:r w:rsidR="00334687">
        <w:t>’</w:t>
      </w:r>
      <w:r>
        <w:t xml:space="preserve">annexe du </w:t>
      </w:r>
      <w:r w:rsidR="00334687">
        <w:t>document</w:t>
      </w:r>
      <w:r w:rsidR="00744A8E">
        <w:t> </w:t>
      </w:r>
      <w:r w:rsidR="00334687">
        <w:t>CW</w:t>
      </w:r>
      <w:r>
        <w:t>S/11/18).</w:t>
      </w:r>
    </w:p>
    <w:p w14:paraId="60389CC7" w14:textId="52DAC1EC" w:rsidR="00E75AA0" w:rsidRPr="00CD4D57" w:rsidRDefault="00E75AA0" w:rsidP="00334687">
      <w:pPr>
        <w:pStyle w:val="ONUMFS"/>
        <w:spacing w:before="220"/>
        <w:rPr>
          <w:rFonts w:eastAsia="Arial"/>
          <w:szCs w:val="22"/>
        </w:rPr>
      </w:pPr>
      <w:r>
        <w:t>À sa onz</w:t>
      </w:r>
      <w:r w:rsidR="00334687">
        <w:t>ième session</w:t>
      </w:r>
      <w:r>
        <w:t>,</w:t>
      </w:r>
      <w:r w:rsidR="00334687">
        <w:t xml:space="preserve"> le CWS</w:t>
      </w:r>
      <w:r>
        <w:t xml:space="preserve"> a prié le Secrétariat de diffuser une circulaire invitant ses membres à formuler des observations sur les 10</w:t>
      </w:r>
      <w:r w:rsidR="00334687">
        <w:t> </w:t>
      </w:r>
      <w:r>
        <w:t>nouvelles recommandations proposé</w:t>
      </w:r>
      <w:r w:rsidR="008F7977">
        <w:t>es.  Le</w:t>
      </w:r>
      <w:r w:rsidR="00334687">
        <w:t> CWS</w:t>
      </w:r>
      <w:r>
        <w:t xml:space="preserve"> a également demandé à l</w:t>
      </w:r>
      <w:r w:rsidR="00334687">
        <w:t>’</w:t>
      </w:r>
      <w:r>
        <w:t>Équipe d</w:t>
      </w:r>
      <w:r w:rsidR="00334687">
        <w:t>’</w:t>
      </w:r>
      <w:r>
        <w:t>experts chargée de la stratégie en matière de TIC de présenter les résultats des réponses à cette circulaire à sa douz</w:t>
      </w:r>
      <w:r w:rsidR="00334687">
        <w:t>ième session</w:t>
      </w:r>
      <w:r>
        <w:t xml:space="preserve"> (voir les paragraphes</w:t>
      </w:r>
      <w:r w:rsidR="00334687">
        <w:t> </w:t>
      </w:r>
      <w:r>
        <w:t xml:space="preserve">158 et 159 du </w:t>
      </w:r>
      <w:r w:rsidR="00334687">
        <w:t>document</w:t>
      </w:r>
      <w:r w:rsidR="00744A8E">
        <w:t> </w:t>
      </w:r>
      <w:r w:rsidR="00334687">
        <w:t>CW</w:t>
      </w:r>
      <w:r>
        <w:t>S/11/28).</w:t>
      </w:r>
    </w:p>
    <w:p w14:paraId="6F6B34C6" w14:textId="77777777" w:rsidR="00334687" w:rsidRDefault="00334687" w:rsidP="00334687">
      <w:pPr>
        <w:pStyle w:val="Heading2"/>
      </w:pPr>
      <w:r>
        <w:t>Proposition de révision des recommandations</w:t>
      </w:r>
    </w:p>
    <w:p w14:paraId="3A400A65" w14:textId="3CD4D0AB" w:rsidR="00334687" w:rsidRDefault="00E75AA0" w:rsidP="00334687">
      <w:pPr>
        <w:pStyle w:val="ONUMFS"/>
      </w:pPr>
      <w:r>
        <w:t>En réponse à la circulaire C.CWS</w:t>
      </w:r>
      <w:r w:rsidR="00334687">
        <w:t> </w:t>
      </w:r>
      <w:r>
        <w:t>180, les États membres ci</w:t>
      </w:r>
      <w:r w:rsidR="0065686C">
        <w:noBreakHyphen/>
      </w:r>
      <w:r>
        <w:t>après ont répondu</w:t>
      </w:r>
      <w:r w:rsidR="00334687">
        <w:t> :</w:t>
      </w:r>
      <w:r>
        <w:t xml:space="preserve"> Allemagne, Australie, Lituanie, Mexique, Mozambique, Nigéria et Norvège.</w:t>
      </w:r>
    </w:p>
    <w:p w14:paraId="13AE6C7B" w14:textId="45D283BC" w:rsidR="00334687" w:rsidRDefault="00E75AA0" w:rsidP="00334687">
      <w:pPr>
        <w:pStyle w:val="ONUMFS"/>
        <w:spacing w:before="220"/>
      </w:pPr>
      <w:r>
        <w:t>Compte tenu des observations détaillées reçues en réponse à la circulaire ainsi que des observations formulées lors de la onz</w:t>
      </w:r>
      <w:r w:rsidR="00334687">
        <w:t>ième session du CWS</w:t>
      </w:r>
      <w:r>
        <w:t>, l</w:t>
      </w:r>
      <w:r w:rsidR="00334687">
        <w:t>’</w:t>
      </w:r>
      <w:r>
        <w:t>Équipe d</w:t>
      </w:r>
      <w:r w:rsidR="00334687">
        <w:t>’</w:t>
      </w:r>
      <w:r>
        <w:t>experts a élaboré une proposition finale relative à une série de recommandations concernant l</w:t>
      </w:r>
      <w:r w:rsidR="00334687">
        <w:t>’</w:t>
      </w:r>
      <w:r>
        <w:t>administration</w:t>
      </w:r>
      <w:r w:rsidR="00334687">
        <w:t xml:space="preserve"> des TIC</w:t>
      </w:r>
      <w:r>
        <w:t xml:space="preserve"> et de la propriété intellectuelle, qui est reproduite en annexe du présent document, en vue de son examen et de son adoption.</w:t>
      </w:r>
    </w:p>
    <w:p w14:paraId="21DC4E42" w14:textId="2BF4709D" w:rsidR="00E75AA0" w:rsidRPr="000B71BB" w:rsidRDefault="00E75AA0" w:rsidP="00334687">
      <w:pPr>
        <w:pStyle w:val="ONUMFS"/>
        <w:spacing w:before="220"/>
        <w:rPr>
          <w:rFonts w:eastAsia="Arial"/>
          <w:szCs w:val="22"/>
        </w:rPr>
      </w:pPr>
      <w:r>
        <w:t>Le résumé des modifications apportées aux 10</w:t>
      </w:r>
      <w:r w:rsidR="00334687">
        <w:t> </w:t>
      </w:r>
      <w:r>
        <w:t>projets de recommandations depuis la dernière session comprend les éléments suivants</w:t>
      </w:r>
      <w:r w:rsidR="00334687">
        <w:t> :</w:t>
      </w:r>
    </w:p>
    <w:p w14:paraId="1BB2F4A6" w14:textId="2718CE52" w:rsidR="00E75AA0" w:rsidRPr="000B71BB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réorganisation des recommandations dans un souci d</w:t>
      </w:r>
      <w:r w:rsidR="00334687">
        <w:t>’</w:t>
      </w:r>
      <w:r>
        <w:t>efficacité;</w:t>
      </w:r>
    </w:p>
    <w:p w14:paraId="3B604066" w14:textId="77777777" w:rsidR="00E75AA0" w:rsidRPr="000B71BB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  <w:rPr>
          <w:rFonts w:eastAsia="Times New Roman"/>
          <w:szCs w:val="22"/>
        </w:rPr>
      </w:pPr>
      <w:r>
        <w:t>suppression des doublons entre recommandations et actions recommandées;</w:t>
      </w:r>
    </w:p>
    <w:p w14:paraId="62B295D7" w14:textId="617BB901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modifications mineures d</w:t>
      </w:r>
      <w:r w:rsidR="00334687">
        <w:t>’</w:t>
      </w:r>
      <w:r>
        <w:t>ordre rédactionnel pour plus de clarté et de cohérence;</w:t>
      </w:r>
    </w:p>
    <w:p w14:paraId="2E9E64F2" w14:textId="79E639F7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modification de l</w:t>
      </w:r>
      <w:r w:rsidR="00334687">
        <w:t>’</w:t>
      </w:r>
      <w:r>
        <w:t>action correspondant à la recommandation n° 1 afin d</w:t>
      </w:r>
      <w:r w:rsidR="00334687">
        <w:t>’</w:t>
      </w:r>
      <w:r>
        <w:t>examiner les procédures relatives aux différents droits de propriété intellectuelle et, dans la mesure du possible, de les harmoniser;</w:t>
      </w:r>
    </w:p>
    <w:p w14:paraId="6BB0D418" w14:textId="565322F3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modification de la recommandation n° 2 afin d</w:t>
      </w:r>
      <w:r w:rsidR="00334687">
        <w:t>’</w:t>
      </w:r>
      <w:r>
        <w:t>étendre le champ d</w:t>
      </w:r>
      <w:r w:rsidR="00334687">
        <w:t>’</w:t>
      </w:r>
      <w:r>
        <w:t>application de l</w:t>
      </w:r>
      <w:r w:rsidR="00334687">
        <w:t>’</w:t>
      </w:r>
      <w:r>
        <w:t>espace de discussion mis à disposition, de manière à y inclure les questions présentant un intérêt commun dans le domaine</w:t>
      </w:r>
      <w:r w:rsidR="00334687">
        <w:t xml:space="preserve"> des TIC</w:t>
      </w:r>
      <w:r>
        <w:t>;  et</w:t>
      </w:r>
    </w:p>
    <w:p w14:paraId="2B89ADD9" w14:textId="2D739828" w:rsidR="00334687" w:rsidRDefault="00E75AA0" w:rsidP="0033468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1134" w:hanging="567"/>
      </w:pPr>
      <w:r>
        <w:t>modifications visant à approfondir la recommandation n° 10 et à la rendre plus détaillée, afin de faire la distinction entre chaîne de blocs et intelligence artificielle en tant que disciplines différentes, avec des possibilités d</w:t>
      </w:r>
      <w:r w:rsidR="00334687">
        <w:t>’</w:t>
      </w:r>
      <w:r>
        <w:t>utilisation différentes et un champ d</w:t>
      </w:r>
      <w:r w:rsidR="00334687">
        <w:t>’</w:t>
      </w:r>
      <w:r>
        <w:t>application différent.</w:t>
      </w:r>
    </w:p>
    <w:p w14:paraId="3646878D" w14:textId="5381E5F2" w:rsidR="00E75AA0" w:rsidRPr="000B71BB" w:rsidRDefault="00E75AA0" w:rsidP="00334687">
      <w:pPr>
        <w:pStyle w:val="ONUMFS"/>
        <w:spacing w:before="220"/>
        <w:rPr>
          <w:rFonts w:eastAsia="Arial"/>
          <w:szCs w:val="22"/>
        </w:rPr>
      </w:pPr>
      <w:r>
        <w:t>L</w:t>
      </w:r>
      <w:r w:rsidR="00334687">
        <w:t>’</w:t>
      </w:r>
      <w:r>
        <w:t>Équipe d</w:t>
      </w:r>
      <w:r w:rsidR="00334687">
        <w:t>’</w:t>
      </w:r>
      <w:r>
        <w:t>experts propose que ces recommandations soient examinées dans la perspective de leur mise en œuvre par les offices de propriété intellectuel</w:t>
      </w:r>
      <w:r w:rsidR="008F7977">
        <w:t xml:space="preserve">le.  À </w:t>
      </w:r>
      <w:r>
        <w:t>cet égard, il est proposé de rendre compte de ces recommandations à l</w:t>
      </w:r>
      <w:r w:rsidR="00334687">
        <w:t>’</w:t>
      </w:r>
      <w:r>
        <w:t>Assemblée générale de l</w:t>
      </w:r>
      <w:r w:rsidR="00334687">
        <w:t>’</w:t>
      </w:r>
      <w:r>
        <w:t xml:space="preserve">OMPI </w:t>
      </w:r>
      <w:r w:rsidR="00334687">
        <w:lastRenderedPageBreak/>
        <w:t>de 2025</w:t>
      </w:r>
      <w:r>
        <w:t>, une fois qu</w:t>
      </w:r>
      <w:r w:rsidR="00334687">
        <w:t>’</w:t>
      </w:r>
      <w:r>
        <w:t>elles auront été adoptées par</w:t>
      </w:r>
      <w:r w:rsidR="00334687">
        <w:t xml:space="preserve"> le </w:t>
      </w:r>
      <w:r w:rsidR="008F7977">
        <w:t>CWS.  En</w:t>
      </w:r>
      <w:r>
        <w:t xml:space="preserve"> outre, il est également proposé d</w:t>
      </w:r>
      <w:r w:rsidR="00334687">
        <w:t>’</w:t>
      </w:r>
      <w:r>
        <w:t>encourager les offices de propriété intellectuelle à mettre en œuvre la série de recommandations et à faire part de leur stratégie ou de leur expérience en la matière.</w:t>
      </w:r>
    </w:p>
    <w:p w14:paraId="4ACB0C48" w14:textId="15E1B7B8" w:rsidR="00E75AA0" w:rsidRPr="00334687" w:rsidRDefault="00E75AA0" w:rsidP="00334687">
      <w:pPr>
        <w:pStyle w:val="ONUMFS"/>
        <w:ind w:left="5533"/>
        <w:rPr>
          <w:rFonts w:eastAsiaTheme="minorEastAsia" w:cstheme="minorBidi"/>
          <w:i/>
          <w:szCs w:val="22"/>
        </w:rPr>
      </w:pPr>
      <w:r w:rsidRPr="00334687">
        <w:rPr>
          <w:i/>
        </w:rPr>
        <w:t>Le CWS est invité</w:t>
      </w:r>
    </w:p>
    <w:p w14:paraId="1A1A792E" w14:textId="0CF50261" w:rsidR="00334687" w:rsidRDefault="00E75AA0" w:rsidP="00744A8E">
      <w:pPr>
        <w:pStyle w:val="ONUME"/>
        <w:numPr>
          <w:ilvl w:val="0"/>
          <w:numId w:val="0"/>
        </w:numPr>
        <w:tabs>
          <w:tab w:val="num" w:pos="1134"/>
        </w:tabs>
        <w:ind w:left="5533" w:firstLine="704"/>
        <w:rPr>
          <w:i/>
        </w:rPr>
      </w:pPr>
      <w:r>
        <w:rPr>
          <w:i/>
        </w:rPr>
        <w:t>a</w:t>
      </w:r>
      <w:r w:rsidRPr="00744A8E">
        <w:rPr>
          <w:i/>
          <w:szCs w:val="22"/>
          <w:lang w:val="fr-FR"/>
        </w:rPr>
        <w:t>)</w:t>
      </w:r>
      <w:r w:rsidRPr="00744A8E">
        <w:rPr>
          <w:i/>
          <w:szCs w:val="22"/>
          <w:lang w:val="fr-FR"/>
        </w:rPr>
        <w:tab/>
        <w:t>à prendre note du contenu du présent document et de son annexe;</w:t>
      </w:r>
    </w:p>
    <w:p w14:paraId="2E279659" w14:textId="0611EE14" w:rsidR="00334687" w:rsidRDefault="00E75AA0" w:rsidP="00744A8E">
      <w:pPr>
        <w:pStyle w:val="ONUME"/>
        <w:numPr>
          <w:ilvl w:val="0"/>
          <w:numId w:val="0"/>
        </w:numPr>
        <w:tabs>
          <w:tab w:val="num" w:pos="1134"/>
        </w:tabs>
        <w:ind w:left="5533" w:firstLine="704"/>
        <w:rPr>
          <w:i/>
        </w:rPr>
      </w:pPr>
      <w:r>
        <w:rPr>
          <w:i/>
        </w:rPr>
        <w:t>b)</w:t>
      </w:r>
      <w:r w:rsidR="00744A8E">
        <w:rPr>
          <w:i/>
        </w:rPr>
        <w:tab/>
      </w:r>
      <w:r>
        <w:rPr>
          <w:i/>
        </w:rPr>
        <w:t>à examiner et adopter la série de recommandations, qui est reproduite dans l</w:t>
      </w:r>
      <w:r w:rsidR="00334687">
        <w:rPr>
          <w:i/>
        </w:rPr>
        <w:t>’</w:t>
      </w:r>
      <w:r>
        <w:rPr>
          <w:i/>
        </w:rPr>
        <w:t>annexe du présent document;</w:t>
      </w:r>
    </w:p>
    <w:p w14:paraId="355BF8BF" w14:textId="4C45E1B5" w:rsidR="00334687" w:rsidRDefault="00E75AA0" w:rsidP="00744A8E">
      <w:pPr>
        <w:pStyle w:val="ONUME"/>
        <w:numPr>
          <w:ilvl w:val="0"/>
          <w:numId w:val="0"/>
        </w:numPr>
        <w:tabs>
          <w:tab w:val="num" w:pos="1134"/>
        </w:tabs>
        <w:ind w:left="5533" w:firstLine="704"/>
        <w:rPr>
          <w:i/>
        </w:rPr>
      </w:pPr>
      <w:r>
        <w:rPr>
          <w:i/>
        </w:rPr>
        <w:t>c)</w:t>
      </w:r>
      <w:r>
        <w:rPr>
          <w:i/>
        </w:rPr>
        <w:tab/>
        <w:t>à accepter de rendre compte de la série de recommandations à l</w:t>
      </w:r>
      <w:r w:rsidR="00334687">
        <w:rPr>
          <w:i/>
        </w:rPr>
        <w:t>’</w:t>
      </w:r>
      <w:r>
        <w:rPr>
          <w:i/>
        </w:rPr>
        <w:t>Assemblée générale de l</w:t>
      </w:r>
      <w:r w:rsidR="00334687">
        <w:rPr>
          <w:i/>
        </w:rPr>
        <w:t>’</w:t>
      </w:r>
      <w:r>
        <w:rPr>
          <w:i/>
        </w:rPr>
        <w:t xml:space="preserve">OMPI </w:t>
      </w:r>
      <w:r w:rsidR="00334687">
        <w:rPr>
          <w:i/>
        </w:rPr>
        <w:t>de 2025</w:t>
      </w:r>
      <w:r>
        <w:rPr>
          <w:i/>
        </w:rPr>
        <w:t>, ainsi qu</w:t>
      </w:r>
      <w:r w:rsidR="00334687">
        <w:rPr>
          <w:i/>
        </w:rPr>
        <w:t>’</w:t>
      </w:r>
      <w:r>
        <w:rPr>
          <w:i/>
        </w:rPr>
        <w:t>il est proposé au paragraphe 10;  et</w:t>
      </w:r>
    </w:p>
    <w:p w14:paraId="736D3B1F" w14:textId="56523B5C" w:rsidR="00334687" w:rsidRDefault="00E75AA0" w:rsidP="00744A8E">
      <w:pPr>
        <w:pStyle w:val="ONUME"/>
        <w:numPr>
          <w:ilvl w:val="0"/>
          <w:numId w:val="0"/>
        </w:numPr>
        <w:tabs>
          <w:tab w:val="num" w:pos="1134"/>
        </w:tabs>
        <w:ind w:left="5533" w:firstLine="704"/>
        <w:rPr>
          <w:i/>
        </w:rPr>
      </w:pPr>
      <w:r>
        <w:rPr>
          <w:i/>
        </w:rPr>
        <w:t>d)</w:t>
      </w:r>
      <w:r w:rsidR="00744A8E">
        <w:rPr>
          <w:i/>
        </w:rPr>
        <w:tab/>
      </w:r>
      <w:r>
        <w:rPr>
          <w:i/>
        </w:rPr>
        <w:t>à encourager ses membres à mettre en œuvre la série de recommandations, et à prier ses membres de faire part de leur stratégie ou de leur expérience en la matière à la prochaine session</w:t>
      </w:r>
      <w:r w:rsidR="00334687">
        <w:rPr>
          <w:i/>
        </w:rPr>
        <w:t xml:space="preserve"> du CWS</w:t>
      </w:r>
      <w:r>
        <w:rPr>
          <w:i/>
        </w:rPr>
        <w:t>, ainsi qu</w:t>
      </w:r>
      <w:r w:rsidR="00334687">
        <w:rPr>
          <w:i/>
        </w:rPr>
        <w:t>’</w:t>
      </w:r>
      <w:r>
        <w:rPr>
          <w:i/>
        </w:rPr>
        <w:t>il est indiqué au paragraphe</w:t>
      </w:r>
      <w:r w:rsidR="00334687">
        <w:rPr>
          <w:i/>
        </w:rPr>
        <w:t> </w:t>
      </w:r>
      <w:r>
        <w:rPr>
          <w:i/>
        </w:rPr>
        <w:t>10.</w:t>
      </w:r>
    </w:p>
    <w:p w14:paraId="544AD9E0" w14:textId="2BE0E004" w:rsidR="000F5E56" w:rsidRPr="00334687" w:rsidRDefault="00E75AA0" w:rsidP="00334687">
      <w:pPr>
        <w:pStyle w:val="Endofdocument-Annex"/>
        <w:spacing w:before="720"/>
        <w:rPr>
          <w:szCs w:val="22"/>
        </w:rPr>
      </w:pPr>
      <w:r>
        <w:t>[L</w:t>
      </w:r>
      <w:r w:rsidR="00334687">
        <w:t>’</w:t>
      </w:r>
      <w:r>
        <w:t>annexe suit]</w:t>
      </w:r>
    </w:p>
    <w:sectPr w:rsidR="000F5E56" w:rsidRPr="00334687" w:rsidSect="00E75AA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3668" w14:textId="77777777" w:rsidR="00E75AA0" w:rsidRDefault="00E75AA0">
      <w:r>
        <w:separator/>
      </w:r>
    </w:p>
  </w:endnote>
  <w:endnote w:type="continuationSeparator" w:id="0">
    <w:p w14:paraId="23D587D2" w14:textId="77777777" w:rsidR="00E75AA0" w:rsidRPr="009D30E6" w:rsidRDefault="00E75AA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1C844B3" w14:textId="77777777" w:rsidR="00E75AA0" w:rsidRPr="009D30E6" w:rsidRDefault="00E75AA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BDB306E" w14:textId="77777777" w:rsidR="00E75AA0" w:rsidRPr="009D30E6" w:rsidRDefault="00E75AA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5D6C0" w14:textId="77777777" w:rsidR="00E75AA0" w:rsidRDefault="00E75AA0">
      <w:r>
        <w:separator/>
      </w:r>
    </w:p>
  </w:footnote>
  <w:footnote w:type="continuationSeparator" w:id="0">
    <w:p w14:paraId="23DAC56A" w14:textId="77777777" w:rsidR="00E75AA0" w:rsidRDefault="00E75AA0" w:rsidP="007461F1">
      <w:r>
        <w:separator/>
      </w:r>
    </w:p>
    <w:p w14:paraId="1AD43EBD" w14:textId="77777777" w:rsidR="00E75AA0" w:rsidRPr="009D30E6" w:rsidRDefault="00E75AA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16645414" w14:textId="77777777" w:rsidR="00E75AA0" w:rsidRPr="009D30E6" w:rsidRDefault="00E75AA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5B58" w14:textId="77777777" w:rsidR="00F16975" w:rsidRDefault="00E75AA0" w:rsidP="00477D6B">
    <w:pPr>
      <w:jc w:val="right"/>
    </w:pPr>
    <w:bookmarkStart w:id="5" w:name="Code2"/>
    <w:bookmarkEnd w:id="5"/>
    <w:r>
      <w:t>CWS/12/22</w:t>
    </w:r>
  </w:p>
  <w:p w14:paraId="27A6CB2F" w14:textId="6095E782" w:rsidR="004F4E31" w:rsidRDefault="00F16975" w:rsidP="00334687">
    <w:pPr>
      <w:spacing w:after="480"/>
      <w:jc w:val="right"/>
    </w:pPr>
    <w:r>
      <w:t>page</w:t>
    </w:r>
    <w:r w:rsidR="00334687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242CEEB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8806F0"/>
    <w:multiLevelType w:val="hybridMultilevel"/>
    <w:tmpl w:val="A95CC4EC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8192">
    <w:abstractNumId w:val="2"/>
  </w:num>
  <w:num w:numId="2" w16cid:durableId="1870607316">
    <w:abstractNumId w:val="4"/>
  </w:num>
  <w:num w:numId="3" w16cid:durableId="844322595">
    <w:abstractNumId w:val="0"/>
  </w:num>
  <w:num w:numId="4" w16cid:durableId="1456631763">
    <w:abstractNumId w:val="5"/>
  </w:num>
  <w:num w:numId="5" w16cid:durableId="628778745">
    <w:abstractNumId w:val="1"/>
  </w:num>
  <w:num w:numId="6" w16cid:durableId="670451745">
    <w:abstractNumId w:val="3"/>
  </w:num>
  <w:num w:numId="7" w16cid:durableId="647436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0"/>
    <w:rsid w:val="00011B7D"/>
    <w:rsid w:val="00075432"/>
    <w:rsid w:val="000F5E56"/>
    <w:rsid w:val="001352EC"/>
    <w:rsid w:val="001362EE"/>
    <w:rsid w:val="001832A6"/>
    <w:rsid w:val="00195C6E"/>
    <w:rsid w:val="00197881"/>
    <w:rsid w:val="001B266A"/>
    <w:rsid w:val="001D3D56"/>
    <w:rsid w:val="0022485F"/>
    <w:rsid w:val="00240654"/>
    <w:rsid w:val="002634C4"/>
    <w:rsid w:val="002D4918"/>
    <w:rsid w:val="002E4D1A"/>
    <w:rsid w:val="002F16BC"/>
    <w:rsid w:val="002F4E68"/>
    <w:rsid w:val="00315FCA"/>
    <w:rsid w:val="00334687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A0C99"/>
    <w:rsid w:val="005E6516"/>
    <w:rsid w:val="00605827"/>
    <w:rsid w:val="0065686C"/>
    <w:rsid w:val="00676936"/>
    <w:rsid w:val="006B0DB5"/>
    <w:rsid w:val="006E4243"/>
    <w:rsid w:val="00744A8E"/>
    <w:rsid w:val="007461F1"/>
    <w:rsid w:val="007D6961"/>
    <w:rsid w:val="007F07CB"/>
    <w:rsid w:val="00810CEF"/>
    <w:rsid w:val="0081208D"/>
    <w:rsid w:val="008236DE"/>
    <w:rsid w:val="00842A13"/>
    <w:rsid w:val="008B2CC1"/>
    <w:rsid w:val="008E7930"/>
    <w:rsid w:val="008F7977"/>
    <w:rsid w:val="0090731E"/>
    <w:rsid w:val="00936BAF"/>
    <w:rsid w:val="00966A22"/>
    <w:rsid w:val="00974CD6"/>
    <w:rsid w:val="009D30E6"/>
    <w:rsid w:val="009E3F6F"/>
    <w:rsid w:val="009F499F"/>
    <w:rsid w:val="00A02BD3"/>
    <w:rsid w:val="00A21349"/>
    <w:rsid w:val="00AA1F20"/>
    <w:rsid w:val="00AC0AE4"/>
    <w:rsid w:val="00AD61DB"/>
    <w:rsid w:val="00B87BCF"/>
    <w:rsid w:val="00BA62D4"/>
    <w:rsid w:val="00C153FD"/>
    <w:rsid w:val="00C40E15"/>
    <w:rsid w:val="00C664C8"/>
    <w:rsid w:val="00C76A79"/>
    <w:rsid w:val="00CA15F5"/>
    <w:rsid w:val="00CF0460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5AA0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C89FA"/>
  <w15:docId w15:val="{6F897F79-A645-4162-B8E7-C9874F11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uiPriority w:val="9"/>
    <w:rsid w:val="00E75AA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basedOn w:val="DefaultParagraphFont"/>
    <w:link w:val="ONUME"/>
    <w:rsid w:val="00E75AA0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E75AA0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8F79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8E07-E80D-46A3-BF1B-7A6B9B50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CWS_12 (F).dotm</Template>
  <TotalTime>17</TotalTime>
  <Pages>3</Pages>
  <Words>962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</vt:lpstr>
    </vt:vector>
  </TitlesOfParts>
  <Company>WIPO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CWS/12/22</dc:title>
  <dc:creator>WIPO</dc:creator>
  <cp:keywords/>
  <cp:lastModifiedBy>BLANCHET Gaspard</cp:lastModifiedBy>
  <cp:revision>7</cp:revision>
  <cp:lastPrinted>2011-05-19T12:37:00Z</cp:lastPrinted>
  <dcterms:created xsi:type="dcterms:W3CDTF">2024-07-22T13:13:00Z</dcterms:created>
  <dcterms:modified xsi:type="dcterms:W3CDTF">2024-07-25T09:39:00Z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2024-07-22T13:18:26Z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cce1fd57-bae4-407b-b782-18ece2266873</vt:lpwstr>
  </property>
  <property fmtid="{D5CDD505-2E9C-101B-9397-08002B2CF9AE}" pid="14" name="MSIP_Label_20773ee6-353b-4fb9-a59d-0b94c8c67bea_ContentBits">
    <vt:lpwstr>0</vt:lpwstr>
  </property>
</Properties>
</file>