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1B83" w14:textId="77777777" w:rsidR="00AC34CB" w:rsidRPr="00571245" w:rsidRDefault="00AC34CB" w:rsidP="00AC34CB">
      <w:pPr>
        <w:pStyle w:val="Heading1"/>
        <w:spacing w:before="480" w:after="360"/>
        <w:jc w:val="center"/>
        <w:rPr>
          <w:caps w:val="0"/>
        </w:rPr>
      </w:pPr>
      <w:r w:rsidRPr="00571245">
        <w:t>Norme ST.91</w:t>
      </w:r>
    </w:p>
    <w:p w14:paraId="36A157EB" w14:textId="77777777" w:rsidR="00AC34CB" w:rsidRPr="00571245" w:rsidRDefault="00AC34CB" w:rsidP="00AC34CB">
      <w:pPr>
        <w:widowControl w:val="0"/>
        <w:kinsoku w:val="0"/>
        <w:spacing w:after="340"/>
        <w:ind w:right="11"/>
        <w:jc w:val="center"/>
        <w:rPr>
          <w:rFonts w:eastAsia="Batang"/>
          <w:caps/>
          <w:sz w:val="17"/>
          <w:szCs w:val="17"/>
        </w:rPr>
      </w:pPr>
      <w:r w:rsidRPr="00571245">
        <w:rPr>
          <w:caps/>
          <w:sz w:val="17"/>
        </w:rPr>
        <w:t>Recommandations relatives aux modèles et images tridimensionnels (3D) numériques</w:t>
      </w:r>
    </w:p>
    <w:p w14:paraId="66B6986D" w14:textId="77777777" w:rsidR="00AC34CB" w:rsidRPr="00730456" w:rsidRDefault="00AC34CB" w:rsidP="00AC34CB">
      <w:pPr>
        <w:widowControl w:val="0"/>
        <w:kinsoku w:val="0"/>
        <w:spacing w:after="340"/>
        <w:jc w:val="center"/>
        <w:rPr>
          <w:szCs w:val="22"/>
        </w:rPr>
      </w:pPr>
      <w:r w:rsidRPr="00730456">
        <w:rPr>
          <w:i/>
          <w:szCs w:val="22"/>
        </w:rPr>
        <w:t>Proposition soumise à l</w:t>
      </w:r>
      <w:r>
        <w:rPr>
          <w:i/>
          <w:szCs w:val="22"/>
        </w:rPr>
        <w:t>’</w:t>
      </w:r>
      <w:r w:rsidRPr="00730456">
        <w:rPr>
          <w:i/>
          <w:szCs w:val="22"/>
        </w:rPr>
        <w:t>approbation du Comité des normes de l</w:t>
      </w:r>
      <w:r>
        <w:rPr>
          <w:i/>
          <w:szCs w:val="22"/>
        </w:rPr>
        <w:t>’</w:t>
      </w:r>
      <w:r w:rsidRPr="00730456">
        <w:rPr>
          <w:i/>
          <w:szCs w:val="22"/>
        </w:rPr>
        <w:t>OMPI (CWS)</w:t>
      </w:r>
      <w:r>
        <w:rPr>
          <w:i/>
          <w:szCs w:val="22"/>
        </w:rPr>
        <w:br/>
      </w:r>
      <w:r w:rsidRPr="00730456">
        <w:rPr>
          <w:i/>
          <w:szCs w:val="22"/>
        </w:rPr>
        <w:t>à sa douz</w:t>
      </w:r>
      <w:r>
        <w:rPr>
          <w:i/>
          <w:szCs w:val="22"/>
        </w:rPr>
        <w:t>ième session</w:t>
      </w:r>
    </w:p>
    <w:p w14:paraId="0602876F" w14:textId="77777777" w:rsidR="00AC34CB" w:rsidRPr="00571245" w:rsidRDefault="00AC34CB" w:rsidP="00AC34CB">
      <w:pPr>
        <w:pStyle w:val="Heading2"/>
        <w:rPr>
          <w:szCs w:val="22"/>
        </w:rPr>
      </w:pPr>
      <w:r w:rsidRPr="00571245">
        <w:rPr>
          <w:szCs w:val="22"/>
        </w:rPr>
        <w:t>Introduction</w:t>
      </w:r>
    </w:p>
    <w:p w14:paraId="2A126E24" w14:textId="77777777" w:rsidR="00AC34CB" w:rsidRPr="00730456" w:rsidRDefault="00AC34CB" w:rsidP="00AC34CB">
      <w:pPr>
        <w:pStyle w:val="ONUME"/>
        <w:numPr>
          <w:ilvl w:val="0"/>
          <w:numId w:val="0"/>
        </w:numPr>
        <w:ind w:right="288"/>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La présente norme fournit des recommandations aux offices de propriété intellectuelle et autres parties intéressées qui gèrent, stockent, traitent, échangent ou diffusent des données de propriété intellectuelle à l</w:t>
      </w:r>
      <w:r>
        <w:rPr>
          <w:szCs w:val="22"/>
        </w:rPr>
        <w:t>’</w:t>
      </w:r>
      <w:r w:rsidRPr="00730456">
        <w:rPr>
          <w:szCs w:val="22"/>
        </w:rPr>
        <w:t>aide de modèles et images tridimensionnels (3D) numériques.</w:t>
      </w:r>
    </w:p>
    <w:p w14:paraId="20181320" w14:textId="77777777" w:rsidR="00AC34CB" w:rsidRPr="00730456"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Elle répond aux objectifs suivants</w:t>
      </w:r>
      <w:r>
        <w:rPr>
          <w:szCs w:val="22"/>
        </w:rPr>
        <w:t> :</w:t>
      </w:r>
    </w:p>
    <w:p w14:paraId="56A2875E" w14:textId="77777777" w:rsidR="00AC34CB" w:rsidRPr="00730456" w:rsidRDefault="00AC34CB" w:rsidP="00AC34CB">
      <w:pPr>
        <w:pStyle w:val="ListParagraph"/>
        <w:numPr>
          <w:ilvl w:val="0"/>
          <w:numId w:val="10"/>
        </w:numPr>
        <w:spacing w:after="200"/>
        <w:ind w:left="1134" w:hanging="567"/>
        <w:contextualSpacing w:val="0"/>
        <w:jc w:val="both"/>
        <w:rPr>
          <w:szCs w:val="22"/>
        </w:rPr>
      </w:pPr>
      <w:proofErr w:type="gramStart"/>
      <w:r w:rsidRPr="00730456">
        <w:rPr>
          <w:szCs w:val="22"/>
        </w:rPr>
        <w:t>déterminer</w:t>
      </w:r>
      <w:proofErr w:type="gramEnd"/>
      <w:r w:rsidRPr="00730456">
        <w:rPr>
          <w:szCs w:val="22"/>
        </w:rPr>
        <w:t xml:space="preserve"> les formats disponibles, compatibles et interopérables avec les différents logiciels utilisés par les déposants de manière à simplifier à ceux</w:t>
      </w:r>
      <w:r>
        <w:rPr>
          <w:szCs w:val="22"/>
        </w:rPr>
        <w:t>-</w:t>
      </w:r>
      <w:r w:rsidRPr="00730456">
        <w:rPr>
          <w:szCs w:val="22"/>
        </w:rPr>
        <w:t>ci le travail de préparation des pièces à joindre à leurs demandes;</w:t>
      </w:r>
    </w:p>
    <w:p w14:paraId="34300BB3" w14:textId="77777777" w:rsidR="00AC34CB" w:rsidRPr="00730456" w:rsidRDefault="00AC34CB" w:rsidP="00AC34CB">
      <w:pPr>
        <w:pStyle w:val="ListParagraph"/>
        <w:numPr>
          <w:ilvl w:val="0"/>
          <w:numId w:val="10"/>
        </w:numPr>
        <w:spacing w:after="200"/>
        <w:ind w:left="1134" w:hanging="567"/>
        <w:contextualSpacing w:val="0"/>
        <w:jc w:val="both"/>
        <w:rPr>
          <w:rFonts w:eastAsia="SimSun"/>
          <w:szCs w:val="22"/>
        </w:rPr>
      </w:pPr>
      <w:proofErr w:type="gramStart"/>
      <w:r w:rsidRPr="00730456">
        <w:rPr>
          <w:szCs w:val="22"/>
        </w:rPr>
        <w:t>réduire</w:t>
      </w:r>
      <w:proofErr w:type="gramEnd"/>
      <w:r w:rsidRPr="00730456">
        <w:rPr>
          <w:szCs w:val="22"/>
        </w:rPr>
        <w:t xml:space="preserve"> le temps nécessaire au traitement des demandes de propriété intellectuelle par les offices de propriété intellectuelle;</w:t>
      </w:r>
    </w:p>
    <w:p w14:paraId="323D90BE" w14:textId="77777777" w:rsidR="00AC34CB" w:rsidRPr="00730456" w:rsidRDefault="00AC34CB" w:rsidP="00AC34CB">
      <w:pPr>
        <w:pStyle w:val="ListParagraph"/>
        <w:numPr>
          <w:ilvl w:val="0"/>
          <w:numId w:val="10"/>
        </w:numPr>
        <w:spacing w:after="200"/>
        <w:ind w:left="1134" w:hanging="567"/>
        <w:contextualSpacing w:val="0"/>
        <w:jc w:val="both"/>
        <w:rPr>
          <w:rFonts w:eastAsia="SimSun"/>
          <w:szCs w:val="22"/>
        </w:rPr>
      </w:pPr>
      <w:proofErr w:type="gramStart"/>
      <w:r w:rsidRPr="00730456">
        <w:rPr>
          <w:szCs w:val="22"/>
        </w:rPr>
        <w:t>faciliter</w:t>
      </w:r>
      <w:proofErr w:type="gramEnd"/>
      <w:r w:rsidRPr="00730456">
        <w:rPr>
          <w:szCs w:val="22"/>
        </w:rPr>
        <w:t xml:space="preserve"> le dépôt des demandes de propriété intellectuelle auprès des différents offices grâce à l</w:t>
      </w:r>
      <w:r>
        <w:rPr>
          <w:szCs w:val="22"/>
        </w:rPr>
        <w:t>’</w:t>
      </w:r>
      <w:r w:rsidRPr="00730456">
        <w:rPr>
          <w:szCs w:val="22"/>
        </w:rPr>
        <w:t>adoption par ceux</w:t>
      </w:r>
      <w:r>
        <w:rPr>
          <w:szCs w:val="22"/>
        </w:rPr>
        <w:t>-</w:t>
      </w:r>
      <w:r w:rsidRPr="00730456">
        <w:rPr>
          <w:szCs w:val="22"/>
        </w:rPr>
        <w:t>ci des formats recommandés;</w:t>
      </w:r>
    </w:p>
    <w:p w14:paraId="7EE6A422" w14:textId="77777777" w:rsidR="00AC34CB" w:rsidRPr="00730456" w:rsidRDefault="00AC34CB" w:rsidP="00AC34CB">
      <w:pPr>
        <w:pStyle w:val="ListParagraph"/>
        <w:numPr>
          <w:ilvl w:val="0"/>
          <w:numId w:val="10"/>
        </w:numPr>
        <w:spacing w:after="200"/>
        <w:ind w:left="1134" w:hanging="567"/>
        <w:contextualSpacing w:val="0"/>
        <w:jc w:val="both"/>
        <w:rPr>
          <w:rFonts w:eastAsia="SimSun"/>
          <w:szCs w:val="22"/>
        </w:rPr>
      </w:pPr>
      <w:proofErr w:type="gramStart"/>
      <w:r w:rsidRPr="00730456">
        <w:rPr>
          <w:szCs w:val="22"/>
        </w:rPr>
        <w:t>harmoniser</w:t>
      </w:r>
      <w:proofErr w:type="gramEnd"/>
      <w:r w:rsidRPr="00730456">
        <w:rPr>
          <w:szCs w:val="22"/>
        </w:rPr>
        <w:t xml:space="preserve"> les prescriptions relatives à l</w:t>
      </w:r>
      <w:r>
        <w:rPr>
          <w:szCs w:val="22"/>
        </w:rPr>
        <w:t>’</w:t>
      </w:r>
      <w:r w:rsidRPr="00730456">
        <w:rPr>
          <w:szCs w:val="22"/>
        </w:rPr>
        <w:t>échange de données sur les objets de propriété intellectuelle et les représentations visuelles en 3D entre les offices de propriété intellectuelle et autres organisations; et</w:t>
      </w:r>
    </w:p>
    <w:p w14:paraId="7133A7C1" w14:textId="77777777" w:rsidR="00AC34CB" w:rsidRPr="00730456" w:rsidRDefault="00AC34CB" w:rsidP="00AC34CB">
      <w:pPr>
        <w:pStyle w:val="ListParagraph"/>
        <w:numPr>
          <w:ilvl w:val="0"/>
          <w:numId w:val="10"/>
        </w:numPr>
        <w:spacing w:after="200"/>
        <w:ind w:left="1134" w:hanging="567"/>
        <w:contextualSpacing w:val="0"/>
        <w:jc w:val="both"/>
        <w:rPr>
          <w:szCs w:val="22"/>
        </w:rPr>
      </w:pPr>
      <w:proofErr w:type="gramStart"/>
      <w:r w:rsidRPr="00730456">
        <w:rPr>
          <w:szCs w:val="22"/>
        </w:rPr>
        <w:t>établir</w:t>
      </w:r>
      <w:proofErr w:type="gramEnd"/>
      <w:r w:rsidRPr="00730456">
        <w:rPr>
          <w:szCs w:val="22"/>
        </w:rPr>
        <w:t xml:space="preserve"> une série de prescriptions pour la publication des informations relatives aux objets de propriété intellectuelle et les représentations visuelles en 3D.</w:t>
      </w:r>
    </w:p>
    <w:p w14:paraId="65B79D9C" w14:textId="77777777" w:rsidR="00AC34CB" w:rsidRPr="00571245" w:rsidRDefault="00AC34CB" w:rsidP="00AC34CB">
      <w:pPr>
        <w:spacing w:before="240" w:after="60"/>
        <w:rPr>
          <w:szCs w:val="22"/>
        </w:rPr>
      </w:pPr>
      <w:r w:rsidRPr="00571245">
        <w:rPr>
          <w:szCs w:val="22"/>
        </w:rPr>
        <w:t>DÉFINITIONS</w:t>
      </w:r>
    </w:p>
    <w:p w14:paraId="5026454F" w14:textId="77777777" w:rsidR="00AC34CB" w:rsidRPr="00730456"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Aux fins de la présente norme, et sauf disposition contraire, les termes et expressions ci</w:t>
      </w:r>
      <w:r>
        <w:rPr>
          <w:szCs w:val="22"/>
        </w:rPr>
        <w:t>-</w:t>
      </w:r>
      <w:r w:rsidRPr="00730456">
        <w:rPr>
          <w:szCs w:val="22"/>
        </w:rPr>
        <w:t>après sont définis comme suit</w:t>
      </w:r>
      <w:r>
        <w:rPr>
          <w:szCs w:val="22"/>
        </w:rPr>
        <w:t> :</w:t>
      </w:r>
    </w:p>
    <w:p w14:paraId="673DC728"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Modèle 3D – Fichier électronique créé par un logiciel spécialisé pour représenter mathématiquement la surface de la représentation visuelle d</w:t>
      </w:r>
      <w:r>
        <w:rPr>
          <w:szCs w:val="22"/>
        </w:rPr>
        <w:t>’</w:t>
      </w:r>
      <w:r w:rsidRPr="00730456">
        <w:rPr>
          <w:szCs w:val="22"/>
        </w:rPr>
        <w:t>un objet en trois</w:t>
      </w:r>
      <w:r>
        <w:rPr>
          <w:szCs w:val="22"/>
        </w:rPr>
        <w:t> </w:t>
      </w:r>
      <w:proofErr w:type="gramStart"/>
      <w:r w:rsidRPr="00730456">
        <w:rPr>
          <w:szCs w:val="22"/>
        </w:rPr>
        <w:t>dimensions;</w:t>
      </w:r>
      <w:proofErr w:type="gramEnd"/>
    </w:p>
    <w:p w14:paraId="480E331B"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Images 3D – Images numériques représentant des objets en trois</w:t>
      </w:r>
      <w:r>
        <w:rPr>
          <w:szCs w:val="22"/>
        </w:rPr>
        <w:t> </w:t>
      </w:r>
      <w:r w:rsidRPr="00730456">
        <w:rPr>
          <w:szCs w:val="22"/>
        </w:rPr>
        <w:t xml:space="preserve">dimensions telles que les photos 3D et la </w:t>
      </w:r>
      <w:proofErr w:type="gramStart"/>
      <w:r w:rsidRPr="00730456">
        <w:rPr>
          <w:szCs w:val="22"/>
        </w:rPr>
        <w:t>stéréoscopie;</w:t>
      </w:r>
      <w:proofErr w:type="gramEnd"/>
    </w:p>
    <w:p w14:paraId="63CB6A06"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 xml:space="preserve">CAO – Conception assistée par </w:t>
      </w:r>
      <w:proofErr w:type="gramStart"/>
      <w:r w:rsidRPr="00730456">
        <w:rPr>
          <w:szCs w:val="22"/>
        </w:rPr>
        <w:t>ordinateur;</w:t>
      </w:r>
      <w:proofErr w:type="gramEnd"/>
    </w:p>
    <w:p w14:paraId="0DAF5282"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PDF 3D – Document PDF contenant des modèles 3</w:t>
      </w:r>
      <w:proofErr w:type="gramStart"/>
      <w:r w:rsidRPr="00730456">
        <w:rPr>
          <w:szCs w:val="22"/>
        </w:rPr>
        <w:t>D;</w:t>
      </w:r>
      <w:proofErr w:type="gramEnd"/>
    </w:p>
    <w:p w14:paraId="19FCEF0A"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 xml:space="preserve">IGES – Initial Graphics Exchange </w:t>
      </w:r>
      <w:proofErr w:type="spellStart"/>
      <w:proofErr w:type="gramStart"/>
      <w:r w:rsidRPr="00730456">
        <w:rPr>
          <w:szCs w:val="22"/>
        </w:rPr>
        <w:t>Specification</w:t>
      </w:r>
      <w:proofErr w:type="spellEnd"/>
      <w:r w:rsidRPr="00730456">
        <w:rPr>
          <w:szCs w:val="22"/>
        </w:rPr>
        <w:t>;</w:t>
      </w:r>
      <w:proofErr w:type="gramEnd"/>
    </w:p>
    <w:p w14:paraId="176B13C0"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OBJ – Format de fichier ouvert contenant la description des données géométriques d</w:t>
      </w:r>
      <w:r>
        <w:rPr>
          <w:szCs w:val="22"/>
        </w:rPr>
        <w:t>’</w:t>
      </w:r>
      <w:r w:rsidRPr="00730456">
        <w:rPr>
          <w:szCs w:val="22"/>
        </w:rPr>
        <w:t>un modèle 3D utilisé en CAO et en impression 3</w:t>
      </w:r>
      <w:proofErr w:type="gramStart"/>
      <w:r w:rsidRPr="00730456">
        <w:rPr>
          <w:szCs w:val="22"/>
        </w:rPr>
        <w:t>D;</w:t>
      </w:r>
      <w:proofErr w:type="gramEnd"/>
    </w:p>
    <w:p w14:paraId="01E15A4F"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 xml:space="preserve">MOL/CDX – Format de fichier chimique contenant des informations textuelles sur les molécules et les réactions </w:t>
      </w:r>
      <w:proofErr w:type="gramStart"/>
      <w:r w:rsidRPr="00730456">
        <w:rPr>
          <w:szCs w:val="22"/>
        </w:rPr>
        <w:t>chimiques;</w:t>
      </w:r>
      <w:proofErr w:type="gramEnd"/>
    </w:p>
    <w:p w14:paraId="3D524CF6"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lastRenderedPageBreak/>
        <w:t xml:space="preserve">PDF – Le Portable Document Format est un format de fichier mis au point par </w:t>
      </w:r>
      <w:proofErr w:type="gramStart"/>
      <w:r w:rsidRPr="00730456">
        <w:rPr>
          <w:szCs w:val="22"/>
        </w:rPr>
        <w:t>Adobe;</w:t>
      </w:r>
      <w:proofErr w:type="gramEnd"/>
    </w:p>
    <w:p w14:paraId="195F3F0E"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Image matricielle – Image constituée d</w:t>
      </w:r>
      <w:r>
        <w:rPr>
          <w:szCs w:val="22"/>
        </w:rPr>
        <w:t>’</w:t>
      </w:r>
      <w:r w:rsidRPr="00730456">
        <w:rPr>
          <w:szCs w:val="22"/>
        </w:rPr>
        <w:t xml:space="preserve">une matrice de points (pixels), désignée sous le nom de “carte de points”.  Les formats de fichier usuels pour les images matricielles sont JPEG, TIFF, PNG et </w:t>
      </w:r>
      <w:proofErr w:type="gramStart"/>
      <w:r w:rsidRPr="00730456">
        <w:rPr>
          <w:szCs w:val="22"/>
        </w:rPr>
        <w:t>BMP;</w:t>
      </w:r>
      <w:proofErr w:type="gramEnd"/>
    </w:p>
    <w:p w14:paraId="7602C3B7"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 xml:space="preserve">STL (Standard Tessellation </w:t>
      </w:r>
      <w:proofErr w:type="spellStart"/>
      <w:r w:rsidRPr="00730456">
        <w:rPr>
          <w:szCs w:val="22"/>
        </w:rPr>
        <w:t>Language</w:t>
      </w:r>
      <w:proofErr w:type="spellEnd"/>
      <w:r w:rsidRPr="00730456">
        <w:rPr>
          <w:szCs w:val="22"/>
        </w:rPr>
        <w:t xml:space="preserve">) – Format de fichier utilisé dans les logiciels CAO de stéréolithographie, créé par 3D </w:t>
      </w:r>
      <w:proofErr w:type="spellStart"/>
      <w:proofErr w:type="gramStart"/>
      <w:r w:rsidRPr="00730456">
        <w:rPr>
          <w:szCs w:val="22"/>
        </w:rPr>
        <w:t>Systems</w:t>
      </w:r>
      <w:proofErr w:type="spellEnd"/>
      <w:r w:rsidRPr="00730456">
        <w:rPr>
          <w:szCs w:val="22"/>
        </w:rPr>
        <w:t>;</w:t>
      </w:r>
      <w:proofErr w:type="gramEnd"/>
    </w:p>
    <w:p w14:paraId="631B3632"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STEP – Norme pour l</w:t>
      </w:r>
      <w:r>
        <w:rPr>
          <w:szCs w:val="22"/>
        </w:rPr>
        <w:t>’</w:t>
      </w:r>
      <w:r w:rsidRPr="00730456">
        <w:rPr>
          <w:szCs w:val="22"/>
        </w:rPr>
        <w:t>échange de données sur les modèles de produits – norme ouverte élaborée par l</w:t>
      </w:r>
      <w:r>
        <w:rPr>
          <w:szCs w:val="22"/>
        </w:rPr>
        <w:t>’</w:t>
      </w:r>
      <w:r w:rsidRPr="00730456">
        <w:rPr>
          <w:szCs w:val="22"/>
        </w:rPr>
        <w:t>ISO portant sur la représentation d</w:t>
      </w:r>
      <w:r>
        <w:rPr>
          <w:szCs w:val="22"/>
        </w:rPr>
        <w:t>’</w:t>
      </w:r>
      <w:r w:rsidRPr="00730456">
        <w:rPr>
          <w:szCs w:val="22"/>
        </w:rPr>
        <w:t>objets 3D en conception assistée par ordinateur (CAO) et de l</w:t>
      </w:r>
      <w:r>
        <w:rPr>
          <w:szCs w:val="22"/>
        </w:rPr>
        <w:t>’</w:t>
      </w:r>
      <w:r w:rsidRPr="00730456">
        <w:rPr>
          <w:szCs w:val="22"/>
        </w:rPr>
        <w:t xml:space="preserve">information </w:t>
      </w:r>
      <w:proofErr w:type="gramStart"/>
      <w:r w:rsidRPr="00730456">
        <w:rPr>
          <w:szCs w:val="22"/>
        </w:rPr>
        <w:t>associée;</w:t>
      </w:r>
      <w:proofErr w:type="gramEnd"/>
    </w:p>
    <w:p w14:paraId="25FAF99A"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U3D – Universal</w:t>
      </w:r>
      <w:r>
        <w:rPr>
          <w:szCs w:val="22"/>
        </w:rPr>
        <w:t> </w:t>
      </w:r>
      <w:r w:rsidRPr="00730456">
        <w:rPr>
          <w:szCs w:val="22"/>
        </w:rPr>
        <w:t>3D (U3D) est un format de fichier compressé pour les données graphiques informatisées en 3</w:t>
      </w:r>
      <w:proofErr w:type="gramStart"/>
      <w:r w:rsidRPr="00730456">
        <w:rPr>
          <w:szCs w:val="22"/>
        </w:rPr>
        <w:t>D;</w:t>
      </w:r>
      <w:proofErr w:type="gramEnd"/>
    </w:p>
    <w:p w14:paraId="28464FD4"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zCs w:val="22"/>
        </w:rPr>
      </w:pPr>
      <w:r w:rsidRPr="00730456">
        <w:rPr>
          <w:szCs w:val="22"/>
        </w:rPr>
        <w:t>Image vectorielle – Fichier d</w:t>
      </w:r>
      <w:r>
        <w:rPr>
          <w:szCs w:val="22"/>
        </w:rPr>
        <w:t>’</w:t>
      </w:r>
      <w:r w:rsidRPr="00730456">
        <w:rPr>
          <w:szCs w:val="22"/>
        </w:rPr>
        <w:t>image composée de formes constituées de formules et coordonnées mathématiques sur une surface 2D.  Contrairement aux images matricielles, les images vectorielles peuvent être redimensionnées à l</w:t>
      </w:r>
      <w:r>
        <w:rPr>
          <w:szCs w:val="22"/>
        </w:rPr>
        <w:t>’</w:t>
      </w:r>
      <w:r w:rsidRPr="00730456">
        <w:rPr>
          <w:szCs w:val="22"/>
        </w:rPr>
        <w:t xml:space="preserve">infini sans perte de </w:t>
      </w:r>
      <w:proofErr w:type="gramStart"/>
      <w:r w:rsidRPr="00730456">
        <w:rPr>
          <w:szCs w:val="22"/>
        </w:rPr>
        <w:t>qualité;</w:t>
      </w:r>
      <w:proofErr w:type="gramEnd"/>
    </w:p>
    <w:p w14:paraId="2C714B6A" w14:textId="77777777" w:rsidR="00AC34CB" w:rsidRPr="00730456" w:rsidRDefault="00AC34CB" w:rsidP="00AC34CB">
      <w:pPr>
        <w:pStyle w:val="ListParagraph"/>
        <w:numPr>
          <w:ilvl w:val="0"/>
          <w:numId w:val="9"/>
        </w:numPr>
        <w:tabs>
          <w:tab w:val="clear" w:pos="567"/>
        </w:tabs>
        <w:spacing w:after="200"/>
        <w:ind w:left="1134" w:hanging="567"/>
        <w:contextualSpacing w:val="0"/>
        <w:jc w:val="both"/>
        <w:rPr>
          <w:strike/>
          <w:szCs w:val="22"/>
        </w:rPr>
      </w:pPr>
      <w:r w:rsidRPr="00730456">
        <w:rPr>
          <w:strike/>
          <w:szCs w:val="22"/>
        </w:rPr>
        <w:t>X3D – Format ouvert en XML normalisé par l</w:t>
      </w:r>
      <w:r>
        <w:rPr>
          <w:strike/>
          <w:szCs w:val="22"/>
        </w:rPr>
        <w:t>’</w:t>
      </w:r>
      <w:r w:rsidRPr="00730456">
        <w:rPr>
          <w:strike/>
          <w:szCs w:val="22"/>
        </w:rPr>
        <w:t>ISO, ayant succédé au langage de modélisation de la réalité virtuelle (VRML).</w:t>
      </w:r>
    </w:p>
    <w:p w14:paraId="1166DB5B" w14:textId="77777777" w:rsidR="00AC34CB" w:rsidRPr="00730456" w:rsidRDefault="00AC34CB" w:rsidP="00AC34CB">
      <w:pPr>
        <w:spacing w:before="240" w:after="60"/>
        <w:rPr>
          <w:szCs w:val="22"/>
        </w:rPr>
      </w:pPr>
      <w:r w:rsidRPr="00730456">
        <w:rPr>
          <w:szCs w:val="22"/>
        </w:rPr>
        <w:t>RÉFÉRENCES</w:t>
      </w:r>
    </w:p>
    <w:p w14:paraId="31F9EE3A" w14:textId="77777777" w:rsidR="00AC34CB" w:rsidRPr="00730456"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Les normes de l</w:t>
      </w:r>
      <w:r>
        <w:rPr>
          <w:szCs w:val="22"/>
        </w:rPr>
        <w:t>’</w:t>
      </w:r>
      <w:r w:rsidRPr="00730456">
        <w:rPr>
          <w:szCs w:val="22"/>
        </w:rPr>
        <w:t>OMPI et autres documents ci</w:t>
      </w:r>
      <w:r>
        <w:rPr>
          <w:szCs w:val="22"/>
        </w:rPr>
        <w:t>-</w:t>
      </w:r>
      <w:r w:rsidRPr="00730456">
        <w:rPr>
          <w:szCs w:val="22"/>
        </w:rPr>
        <w:t>après sont pertinents aux fins de la présente norme</w:t>
      </w:r>
      <w:r>
        <w:rPr>
          <w:szCs w:val="22"/>
        </w:rPr>
        <w:t> :</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AC34CB" w:rsidRPr="00730456" w14:paraId="25E116CC" w14:textId="77777777" w:rsidTr="007D05EA">
        <w:trPr>
          <w:trHeight w:val="113"/>
        </w:trPr>
        <w:tc>
          <w:tcPr>
            <w:tcW w:w="3510" w:type="dxa"/>
          </w:tcPr>
          <w:p w14:paraId="5C34FB70" w14:textId="77777777" w:rsidR="00AC34CB" w:rsidRPr="00730456" w:rsidRDefault="00AC34CB" w:rsidP="007D05EA">
            <w:pPr>
              <w:autoSpaceDE w:val="0"/>
              <w:autoSpaceDN w:val="0"/>
              <w:adjustRightInd w:val="0"/>
              <w:spacing w:after="200"/>
              <w:ind w:left="1134"/>
              <w:rPr>
                <w:color w:val="000000"/>
                <w:szCs w:val="22"/>
              </w:rPr>
            </w:pPr>
            <w:r w:rsidRPr="00730456">
              <w:rPr>
                <w:szCs w:val="22"/>
              </w:rPr>
              <w:t>Norme</w:t>
            </w:r>
            <w:r>
              <w:rPr>
                <w:szCs w:val="22"/>
              </w:rPr>
              <w:t> </w:t>
            </w:r>
            <w:hyperlink r:id="rId7" w:history="1">
              <w:r w:rsidRPr="00730456">
                <w:rPr>
                  <w:rStyle w:val="Hyperlink"/>
                  <w:szCs w:val="22"/>
                </w:rPr>
                <w:t>ST.9</w:t>
              </w:r>
            </w:hyperlink>
            <w:r w:rsidRPr="00730456">
              <w:rPr>
                <w:szCs w:val="22"/>
              </w:rPr>
              <w:t xml:space="preserve"> de l</w:t>
            </w:r>
            <w:r>
              <w:rPr>
                <w:szCs w:val="22"/>
              </w:rPr>
              <w:t>’</w:t>
            </w:r>
            <w:r w:rsidRPr="00730456">
              <w:rPr>
                <w:szCs w:val="22"/>
              </w:rPr>
              <w:t>OMPI</w:t>
            </w:r>
          </w:p>
        </w:tc>
        <w:tc>
          <w:tcPr>
            <w:tcW w:w="5954" w:type="dxa"/>
          </w:tcPr>
          <w:p w14:paraId="779EE5C1" w14:textId="77777777" w:rsidR="00AC34CB" w:rsidRPr="00730456" w:rsidRDefault="00AC34CB" w:rsidP="007D05EA">
            <w:pPr>
              <w:autoSpaceDE w:val="0"/>
              <w:autoSpaceDN w:val="0"/>
              <w:adjustRightInd w:val="0"/>
              <w:spacing w:after="200"/>
              <w:rPr>
                <w:color w:val="000000"/>
                <w:szCs w:val="22"/>
              </w:rPr>
            </w:pPr>
            <w:r w:rsidRPr="00730456">
              <w:rPr>
                <w:szCs w:val="22"/>
              </w:rPr>
              <w:t>Données bibliographiques figurant sur les brevets ou se rapportant aux brevets ou aux</w:t>
            </w:r>
            <w:r>
              <w:rPr>
                <w:szCs w:val="22"/>
              </w:rPr>
              <w:t> </w:t>
            </w:r>
            <w:r w:rsidRPr="00730456">
              <w:rPr>
                <w:szCs w:val="22"/>
              </w:rPr>
              <w:t>CCP</w:t>
            </w:r>
          </w:p>
        </w:tc>
      </w:tr>
      <w:tr w:rsidR="00AC34CB" w:rsidRPr="00730456" w14:paraId="494DD48B" w14:textId="77777777" w:rsidTr="007D05EA">
        <w:trPr>
          <w:trHeight w:val="113"/>
        </w:trPr>
        <w:tc>
          <w:tcPr>
            <w:tcW w:w="3510" w:type="dxa"/>
          </w:tcPr>
          <w:p w14:paraId="47346959"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8" w:history="1">
              <w:r w:rsidRPr="00730456">
                <w:rPr>
                  <w:rStyle w:val="Hyperlink"/>
                  <w:szCs w:val="22"/>
                </w:rPr>
                <w:t>ST.10</w:t>
              </w:r>
            </w:hyperlink>
            <w:r w:rsidRPr="00730456">
              <w:rPr>
                <w:szCs w:val="22"/>
              </w:rPr>
              <w:t xml:space="preserve"> de l</w:t>
            </w:r>
            <w:r>
              <w:rPr>
                <w:szCs w:val="22"/>
              </w:rPr>
              <w:t>’</w:t>
            </w:r>
            <w:r w:rsidRPr="00730456">
              <w:rPr>
                <w:szCs w:val="22"/>
              </w:rPr>
              <w:t>OMPI</w:t>
            </w:r>
          </w:p>
        </w:tc>
        <w:tc>
          <w:tcPr>
            <w:tcW w:w="5954" w:type="dxa"/>
          </w:tcPr>
          <w:p w14:paraId="40BA61FC" w14:textId="77777777" w:rsidR="00AC34CB" w:rsidRPr="00730456" w:rsidRDefault="00AC34CB" w:rsidP="007D05EA">
            <w:pPr>
              <w:autoSpaceDE w:val="0"/>
              <w:autoSpaceDN w:val="0"/>
              <w:adjustRightInd w:val="0"/>
              <w:spacing w:after="200"/>
              <w:rPr>
                <w:szCs w:val="22"/>
              </w:rPr>
            </w:pPr>
            <w:r w:rsidRPr="00730456">
              <w:rPr>
                <w:szCs w:val="22"/>
              </w:rPr>
              <w:t>Documents de brevet publiés</w:t>
            </w:r>
          </w:p>
        </w:tc>
      </w:tr>
      <w:tr w:rsidR="00AC34CB" w:rsidRPr="00730456" w14:paraId="39A867B8" w14:textId="77777777" w:rsidTr="007D05EA">
        <w:trPr>
          <w:trHeight w:val="113"/>
        </w:trPr>
        <w:tc>
          <w:tcPr>
            <w:tcW w:w="3510" w:type="dxa"/>
          </w:tcPr>
          <w:p w14:paraId="49DFA3B9"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9" w:history="1">
              <w:r w:rsidRPr="00730456">
                <w:rPr>
                  <w:rStyle w:val="Hyperlink"/>
                  <w:szCs w:val="22"/>
                </w:rPr>
                <w:t>ST.60</w:t>
              </w:r>
            </w:hyperlink>
            <w:r w:rsidRPr="00730456">
              <w:rPr>
                <w:szCs w:val="22"/>
              </w:rPr>
              <w:t xml:space="preserve"> de l</w:t>
            </w:r>
            <w:r>
              <w:rPr>
                <w:szCs w:val="22"/>
              </w:rPr>
              <w:t>’</w:t>
            </w:r>
            <w:r w:rsidRPr="00730456">
              <w:rPr>
                <w:szCs w:val="22"/>
              </w:rPr>
              <w:t>OMPI</w:t>
            </w:r>
          </w:p>
        </w:tc>
        <w:tc>
          <w:tcPr>
            <w:tcW w:w="5954" w:type="dxa"/>
          </w:tcPr>
          <w:p w14:paraId="2398D822" w14:textId="77777777" w:rsidR="00AC34CB" w:rsidRPr="00730456" w:rsidRDefault="00AC34CB" w:rsidP="007D05EA">
            <w:pPr>
              <w:autoSpaceDE w:val="0"/>
              <w:autoSpaceDN w:val="0"/>
              <w:adjustRightInd w:val="0"/>
              <w:spacing w:after="200"/>
              <w:rPr>
                <w:szCs w:val="22"/>
              </w:rPr>
            </w:pPr>
            <w:r w:rsidRPr="00730456">
              <w:rPr>
                <w:szCs w:val="22"/>
              </w:rPr>
              <w:t>Données bibliographiques concernant les marques</w:t>
            </w:r>
          </w:p>
        </w:tc>
      </w:tr>
      <w:tr w:rsidR="00AC34CB" w:rsidRPr="00730456" w14:paraId="6EFA3FDD" w14:textId="77777777" w:rsidTr="007D05EA">
        <w:trPr>
          <w:trHeight w:val="239"/>
        </w:trPr>
        <w:tc>
          <w:tcPr>
            <w:tcW w:w="3510" w:type="dxa"/>
          </w:tcPr>
          <w:p w14:paraId="0C9FCFBE"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10" w:history="1">
              <w:r w:rsidRPr="00730456">
                <w:rPr>
                  <w:rStyle w:val="Hyperlink"/>
                  <w:szCs w:val="22"/>
                </w:rPr>
                <w:t>ST.63</w:t>
              </w:r>
            </w:hyperlink>
            <w:r w:rsidRPr="00730456">
              <w:rPr>
                <w:szCs w:val="22"/>
              </w:rPr>
              <w:t xml:space="preserve"> de l</w:t>
            </w:r>
            <w:r>
              <w:rPr>
                <w:szCs w:val="22"/>
              </w:rPr>
              <w:t>’</w:t>
            </w:r>
            <w:r w:rsidRPr="00730456">
              <w:rPr>
                <w:szCs w:val="22"/>
              </w:rPr>
              <w:t>OMPI</w:t>
            </w:r>
          </w:p>
        </w:tc>
        <w:tc>
          <w:tcPr>
            <w:tcW w:w="5954" w:type="dxa"/>
          </w:tcPr>
          <w:p w14:paraId="69F173F4"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Contenu et présentation des bulletins de marques</w:t>
            </w:r>
          </w:p>
        </w:tc>
      </w:tr>
      <w:tr w:rsidR="00AC34CB" w:rsidRPr="00730456" w14:paraId="7D5B31AC" w14:textId="77777777" w:rsidTr="007D05EA">
        <w:trPr>
          <w:trHeight w:val="239"/>
        </w:trPr>
        <w:tc>
          <w:tcPr>
            <w:tcW w:w="3510" w:type="dxa"/>
          </w:tcPr>
          <w:p w14:paraId="1170F487"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11" w:history="1">
              <w:r w:rsidRPr="00730456">
                <w:rPr>
                  <w:rStyle w:val="Hyperlink"/>
                  <w:szCs w:val="22"/>
                </w:rPr>
                <w:t>ST.67</w:t>
              </w:r>
            </w:hyperlink>
            <w:r w:rsidRPr="00730456">
              <w:rPr>
                <w:szCs w:val="22"/>
              </w:rPr>
              <w:t xml:space="preserve"> de l</w:t>
            </w:r>
            <w:r>
              <w:rPr>
                <w:szCs w:val="22"/>
              </w:rPr>
              <w:t>’</w:t>
            </w:r>
            <w:r w:rsidRPr="00730456">
              <w:rPr>
                <w:szCs w:val="22"/>
              </w:rPr>
              <w:t>OMPI</w:t>
            </w:r>
          </w:p>
        </w:tc>
        <w:tc>
          <w:tcPr>
            <w:tcW w:w="5954" w:type="dxa"/>
          </w:tcPr>
          <w:p w14:paraId="3561A09B"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Gestion électronique des éléments figuratifs des marques</w:t>
            </w:r>
          </w:p>
        </w:tc>
      </w:tr>
      <w:tr w:rsidR="00AC34CB" w:rsidRPr="00730456" w14:paraId="60317985" w14:textId="77777777" w:rsidTr="007D05EA">
        <w:trPr>
          <w:trHeight w:val="113"/>
        </w:trPr>
        <w:tc>
          <w:tcPr>
            <w:tcW w:w="3510" w:type="dxa"/>
          </w:tcPr>
          <w:p w14:paraId="2E8D8BBF"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12" w:history="1">
              <w:r w:rsidRPr="00730456">
                <w:rPr>
                  <w:rStyle w:val="Hyperlink"/>
                  <w:szCs w:val="22"/>
                </w:rPr>
                <w:t>ST.80</w:t>
              </w:r>
            </w:hyperlink>
            <w:r w:rsidRPr="00730456">
              <w:rPr>
                <w:szCs w:val="22"/>
              </w:rPr>
              <w:t xml:space="preserve"> de l</w:t>
            </w:r>
            <w:r>
              <w:rPr>
                <w:szCs w:val="22"/>
              </w:rPr>
              <w:t>’</w:t>
            </w:r>
            <w:r w:rsidRPr="00730456">
              <w:rPr>
                <w:szCs w:val="22"/>
              </w:rPr>
              <w:t>OMPI</w:t>
            </w:r>
          </w:p>
        </w:tc>
        <w:tc>
          <w:tcPr>
            <w:tcW w:w="5954" w:type="dxa"/>
          </w:tcPr>
          <w:p w14:paraId="0736E666"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Données bibliographiques relatives aux dessins et modèles industriels</w:t>
            </w:r>
          </w:p>
        </w:tc>
      </w:tr>
      <w:tr w:rsidR="00AC34CB" w:rsidRPr="00730456" w14:paraId="0CCC123B" w14:textId="77777777" w:rsidTr="007D05EA">
        <w:trPr>
          <w:trHeight w:val="113"/>
        </w:trPr>
        <w:tc>
          <w:tcPr>
            <w:tcW w:w="3510" w:type="dxa"/>
          </w:tcPr>
          <w:p w14:paraId="650FD26F"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13" w:history="1">
              <w:r w:rsidRPr="00730456">
                <w:rPr>
                  <w:rStyle w:val="Hyperlink"/>
                  <w:szCs w:val="22"/>
                </w:rPr>
                <w:t>ST.81</w:t>
              </w:r>
            </w:hyperlink>
            <w:r w:rsidRPr="00730456">
              <w:rPr>
                <w:szCs w:val="22"/>
              </w:rPr>
              <w:t xml:space="preserve"> de l</w:t>
            </w:r>
            <w:r>
              <w:rPr>
                <w:szCs w:val="22"/>
              </w:rPr>
              <w:t>’</w:t>
            </w:r>
            <w:r w:rsidRPr="00730456">
              <w:rPr>
                <w:szCs w:val="22"/>
              </w:rPr>
              <w:t>OMPI</w:t>
            </w:r>
          </w:p>
        </w:tc>
        <w:tc>
          <w:tcPr>
            <w:tcW w:w="5954" w:type="dxa"/>
          </w:tcPr>
          <w:p w14:paraId="2B08D47A"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Contenu et présentation des bulletins officiels de dessins et modèles industriels</w:t>
            </w:r>
          </w:p>
        </w:tc>
      </w:tr>
      <w:tr w:rsidR="00AC34CB" w:rsidRPr="00730456" w14:paraId="0679AC78" w14:textId="77777777" w:rsidTr="007D05EA">
        <w:trPr>
          <w:trHeight w:val="113"/>
        </w:trPr>
        <w:tc>
          <w:tcPr>
            <w:tcW w:w="3510" w:type="dxa"/>
          </w:tcPr>
          <w:p w14:paraId="0BE426F8" w14:textId="77777777" w:rsidR="00AC34CB" w:rsidRPr="00730456" w:rsidRDefault="00AC34CB" w:rsidP="007D05EA">
            <w:pPr>
              <w:autoSpaceDE w:val="0"/>
              <w:autoSpaceDN w:val="0"/>
              <w:adjustRightInd w:val="0"/>
              <w:spacing w:after="200"/>
              <w:ind w:left="1134"/>
              <w:rPr>
                <w:szCs w:val="22"/>
              </w:rPr>
            </w:pPr>
            <w:r w:rsidRPr="00730456">
              <w:rPr>
                <w:szCs w:val="22"/>
              </w:rPr>
              <w:t>Norme</w:t>
            </w:r>
            <w:r>
              <w:rPr>
                <w:szCs w:val="22"/>
              </w:rPr>
              <w:t> </w:t>
            </w:r>
            <w:hyperlink r:id="rId14" w:history="1">
              <w:r w:rsidRPr="00730456">
                <w:rPr>
                  <w:rStyle w:val="Hyperlink"/>
                  <w:szCs w:val="22"/>
                </w:rPr>
                <w:t>ST.88</w:t>
              </w:r>
            </w:hyperlink>
            <w:r w:rsidRPr="00730456">
              <w:rPr>
                <w:szCs w:val="22"/>
              </w:rPr>
              <w:t xml:space="preserve"> de l</w:t>
            </w:r>
            <w:r>
              <w:rPr>
                <w:szCs w:val="22"/>
              </w:rPr>
              <w:t>’</w:t>
            </w:r>
            <w:r w:rsidRPr="00730456">
              <w:rPr>
                <w:szCs w:val="22"/>
              </w:rPr>
              <w:t>OMPI</w:t>
            </w:r>
          </w:p>
        </w:tc>
        <w:tc>
          <w:tcPr>
            <w:tcW w:w="5954" w:type="dxa"/>
          </w:tcPr>
          <w:p w14:paraId="4AB7C126"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Représentations sous forme électronique des dessins et modèles industriels</w:t>
            </w:r>
          </w:p>
        </w:tc>
      </w:tr>
      <w:tr w:rsidR="00AC34CB" w:rsidRPr="00730456" w14:paraId="66816929" w14:textId="77777777" w:rsidTr="007D05EA">
        <w:trPr>
          <w:trHeight w:val="113"/>
        </w:trPr>
        <w:tc>
          <w:tcPr>
            <w:tcW w:w="3510" w:type="dxa"/>
          </w:tcPr>
          <w:p w14:paraId="04DA2D06" w14:textId="77777777" w:rsidR="00AC34CB" w:rsidRPr="00730456" w:rsidRDefault="00AC34CB" w:rsidP="007D05EA">
            <w:pPr>
              <w:autoSpaceDE w:val="0"/>
              <w:autoSpaceDN w:val="0"/>
              <w:adjustRightInd w:val="0"/>
              <w:spacing w:after="200"/>
              <w:ind w:left="1134"/>
              <w:rPr>
                <w:szCs w:val="22"/>
              </w:rPr>
            </w:pPr>
            <w:r w:rsidRPr="00730456">
              <w:rPr>
                <w:szCs w:val="22"/>
              </w:rPr>
              <w:t>Norme </w:t>
            </w:r>
            <w:hyperlink r:id="rId15" w:history="1">
              <w:r w:rsidRPr="00730456">
                <w:rPr>
                  <w:rStyle w:val="Hyperlink"/>
                  <w:szCs w:val="22"/>
                </w:rPr>
                <w:t>ST.96</w:t>
              </w:r>
            </w:hyperlink>
            <w:r w:rsidRPr="00730456">
              <w:rPr>
                <w:szCs w:val="22"/>
              </w:rPr>
              <w:t xml:space="preserve"> de l</w:t>
            </w:r>
            <w:r>
              <w:rPr>
                <w:szCs w:val="22"/>
              </w:rPr>
              <w:t>’</w:t>
            </w:r>
            <w:r w:rsidRPr="00730456">
              <w:rPr>
                <w:szCs w:val="22"/>
              </w:rPr>
              <w:t>OMPI</w:t>
            </w:r>
          </w:p>
        </w:tc>
        <w:tc>
          <w:tcPr>
            <w:tcW w:w="5954" w:type="dxa"/>
          </w:tcPr>
          <w:p w14:paraId="40FDDFD9"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Utilisation du</w:t>
            </w:r>
            <w:r>
              <w:rPr>
                <w:rFonts w:ascii="Arial" w:hAnsi="Arial" w:cs="Arial"/>
                <w:sz w:val="22"/>
                <w:szCs w:val="22"/>
              </w:rPr>
              <w:t> </w:t>
            </w:r>
            <w:r w:rsidRPr="00730456">
              <w:rPr>
                <w:rFonts w:ascii="Arial" w:hAnsi="Arial" w:cs="Arial"/>
                <w:sz w:val="22"/>
                <w:szCs w:val="22"/>
              </w:rPr>
              <w:t>XML dans le traitement de l</w:t>
            </w:r>
            <w:r>
              <w:rPr>
                <w:rFonts w:ascii="Arial" w:hAnsi="Arial" w:cs="Arial"/>
                <w:sz w:val="22"/>
                <w:szCs w:val="22"/>
              </w:rPr>
              <w:t>’</w:t>
            </w:r>
            <w:r w:rsidRPr="00730456">
              <w:rPr>
                <w:rFonts w:ascii="Arial" w:hAnsi="Arial" w:cs="Arial"/>
                <w:sz w:val="22"/>
                <w:szCs w:val="22"/>
              </w:rPr>
              <w:t>information en matière de propriété industrielle</w:t>
            </w:r>
          </w:p>
        </w:tc>
      </w:tr>
      <w:tr w:rsidR="00AC34CB" w:rsidRPr="00730456" w14:paraId="4595D83C" w14:textId="77777777" w:rsidTr="007D05EA">
        <w:trPr>
          <w:trHeight w:val="113"/>
        </w:trPr>
        <w:tc>
          <w:tcPr>
            <w:tcW w:w="3510" w:type="dxa"/>
          </w:tcPr>
          <w:p w14:paraId="0DAC483A" w14:textId="77777777" w:rsidR="00AC34CB" w:rsidRPr="00730456" w:rsidRDefault="00AC34CB" w:rsidP="007D05EA">
            <w:pPr>
              <w:autoSpaceDE w:val="0"/>
              <w:autoSpaceDN w:val="0"/>
              <w:adjustRightInd w:val="0"/>
              <w:spacing w:after="200"/>
              <w:ind w:left="1134"/>
              <w:rPr>
                <w:szCs w:val="22"/>
              </w:rPr>
            </w:pPr>
            <w:r w:rsidRPr="00730456">
              <w:rPr>
                <w:szCs w:val="22"/>
              </w:rPr>
              <w:t>Norme ISO</w:t>
            </w:r>
            <w:r>
              <w:rPr>
                <w:szCs w:val="22"/>
              </w:rPr>
              <w:t> </w:t>
            </w:r>
            <w:hyperlink r:id="rId16" w:anchor="iso:std:iso:10303:-1:ed-3:v1:en" w:history="1">
              <w:r w:rsidRPr="00730456">
                <w:rPr>
                  <w:rStyle w:val="Hyperlink"/>
                  <w:szCs w:val="22"/>
                </w:rPr>
                <w:t>10303</w:t>
              </w:r>
            </w:hyperlink>
          </w:p>
        </w:tc>
        <w:tc>
          <w:tcPr>
            <w:tcW w:w="5954" w:type="dxa"/>
          </w:tcPr>
          <w:p w14:paraId="255B95FD" w14:textId="77777777" w:rsidR="00AC34CB" w:rsidRPr="00730456" w:rsidRDefault="00AC34CB" w:rsidP="007D05EA">
            <w:pPr>
              <w:pStyle w:val="ListParagraph1"/>
              <w:ind w:left="0"/>
              <w:rPr>
                <w:rFonts w:ascii="Arial" w:hAnsi="Arial" w:cs="Arial"/>
                <w:sz w:val="22"/>
                <w:szCs w:val="22"/>
              </w:rPr>
            </w:pPr>
            <w:r w:rsidRPr="00730456">
              <w:rPr>
                <w:rFonts w:ascii="Arial" w:hAnsi="Arial" w:cs="Arial"/>
                <w:sz w:val="22"/>
                <w:szCs w:val="22"/>
              </w:rPr>
              <w:t>Représentation et échange de données de produits</w:t>
            </w:r>
          </w:p>
        </w:tc>
      </w:tr>
    </w:tbl>
    <w:p w14:paraId="20956106" w14:textId="77777777" w:rsidR="00AC34CB" w:rsidRPr="00730456" w:rsidRDefault="00AC34CB" w:rsidP="00AC34CB">
      <w:pPr>
        <w:keepNext/>
        <w:spacing w:before="240" w:after="60"/>
        <w:rPr>
          <w:szCs w:val="22"/>
        </w:rPr>
      </w:pPr>
      <w:r w:rsidRPr="00730456">
        <w:rPr>
          <w:szCs w:val="22"/>
        </w:rPr>
        <w:lastRenderedPageBreak/>
        <w:t>RECOMMANDATIONS GÉNÉRALES</w:t>
      </w:r>
    </w:p>
    <w:p w14:paraId="1DB7D3E3" w14:textId="77777777" w:rsidR="00AC34CB" w:rsidRPr="00730456"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Une demande de titre de propriété intellectuelle peut contenir une représentation visuelle en 3D d</w:t>
      </w:r>
      <w:r>
        <w:rPr>
          <w:szCs w:val="22"/>
        </w:rPr>
        <w:t>’</w:t>
      </w:r>
      <w:r w:rsidRPr="00730456">
        <w:rPr>
          <w:szCs w:val="22"/>
        </w:rPr>
        <w:t>un objet sous forme de modèle ou d</w:t>
      </w:r>
      <w:r>
        <w:rPr>
          <w:szCs w:val="22"/>
        </w:rPr>
        <w:t>’</w:t>
      </w:r>
      <w:r w:rsidRPr="00730456">
        <w:rPr>
          <w:szCs w:val="22"/>
        </w:rPr>
        <w:t>image 3D numérique conformément aux prescriptions de l</w:t>
      </w:r>
      <w:r>
        <w:rPr>
          <w:szCs w:val="22"/>
        </w:rPr>
        <w:t>’</w:t>
      </w:r>
      <w:r w:rsidRPr="00730456">
        <w:rPr>
          <w:szCs w:val="22"/>
        </w:rPr>
        <w:t>office de propriété intellectuelle auquel la demande est adressée</w:t>
      </w:r>
      <w:r>
        <w:rPr>
          <w:szCs w:val="22"/>
        </w:rPr>
        <w:t xml:space="preserve">.  </w:t>
      </w:r>
      <w:r w:rsidRPr="00730456">
        <w:rPr>
          <w:szCs w:val="22"/>
        </w:rPr>
        <w:t>Les déposants peuvent être encouragés à fournir une représentation visuelle en 3D de l</w:t>
      </w:r>
      <w:r>
        <w:rPr>
          <w:szCs w:val="22"/>
        </w:rPr>
        <w:t>’</w:t>
      </w:r>
      <w:r w:rsidRPr="00730456">
        <w:rPr>
          <w:szCs w:val="22"/>
        </w:rPr>
        <w:t>objet en complément de la demande ou comme représentation visuelle principale de l</w:t>
      </w:r>
      <w:r>
        <w:rPr>
          <w:szCs w:val="22"/>
        </w:rPr>
        <w:t>’</w:t>
      </w:r>
      <w:r w:rsidRPr="00730456">
        <w:rPr>
          <w:szCs w:val="22"/>
        </w:rPr>
        <w:t>objet, si cela est précisé dans les prescriptions de l</w:t>
      </w:r>
      <w:r>
        <w:rPr>
          <w:szCs w:val="22"/>
        </w:rPr>
        <w:t>’</w:t>
      </w:r>
      <w:r w:rsidRPr="00730456">
        <w:rPr>
          <w:szCs w:val="22"/>
        </w:rPr>
        <w:t>office auquel la demande est adressée.</w:t>
      </w:r>
    </w:p>
    <w:p w14:paraId="3048617D" w14:textId="77777777" w:rsidR="00AC34CB"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Les formats et autres caractéristiques des fichiers d</w:t>
      </w:r>
      <w:r>
        <w:rPr>
          <w:szCs w:val="22"/>
        </w:rPr>
        <w:t>’</w:t>
      </w:r>
      <w:r w:rsidRPr="00730456">
        <w:rPr>
          <w:szCs w:val="22"/>
        </w:rPr>
        <w:t>image (comme le volume du fichier) acceptés par chaque office de propriété intellectuelle seront établis conformément aux recommandations de la présente norme</w:t>
      </w:r>
      <w:r>
        <w:rPr>
          <w:szCs w:val="22"/>
        </w:rPr>
        <w:t xml:space="preserve">.  </w:t>
      </w:r>
      <w:r w:rsidRPr="00730456">
        <w:rPr>
          <w:szCs w:val="22"/>
          <w:u w:val="single"/>
        </w:rPr>
        <w:t>Ces formats ont été sélectionnés conformément aux critères figurant dans l</w:t>
      </w:r>
      <w:r>
        <w:rPr>
          <w:szCs w:val="22"/>
          <w:u w:val="single"/>
        </w:rPr>
        <w:t>’</w:t>
      </w:r>
      <w:r w:rsidRPr="00730456">
        <w:rPr>
          <w:szCs w:val="22"/>
          <w:u w:val="single"/>
        </w:rPr>
        <w:t>annexe.</w:t>
      </w:r>
    </w:p>
    <w:p w14:paraId="63D0D0D3" w14:textId="77777777" w:rsidR="00AC34CB" w:rsidRPr="00730456"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Si un office a déjà déterminé les formats d</w:t>
      </w:r>
      <w:r>
        <w:rPr>
          <w:szCs w:val="22"/>
        </w:rPr>
        <w:t>’</w:t>
      </w:r>
      <w:r w:rsidRPr="00730456">
        <w:rPr>
          <w:szCs w:val="22"/>
        </w:rPr>
        <w:t>image et autres caractéristiques qu</w:t>
      </w:r>
      <w:r>
        <w:rPr>
          <w:szCs w:val="22"/>
        </w:rPr>
        <w:t>’</w:t>
      </w:r>
      <w:r w:rsidRPr="00730456">
        <w:rPr>
          <w:szCs w:val="22"/>
        </w:rPr>
        <w:t>il souhaite privilégier, il est recommandé que cet office annonce dans ses publications officielles à intervalle régulier, ou sur ses sites</w:t>
      </w:r>
      <w:r>
        <w:rPr>
          <w:szCs w:val="22"/>
        </w:rPr>
        <w:t> </w:t>
      </w:r>
      <w:r w:rsidRPr="00730456">
        <w:rPr>
          <w:szCs w:val="22"/>
        </w:rPr>
        <w:t>Web, les formats et les tailles d</w:t>
      </w:r>
      <w:r>
        <w:rPr>
          <w:szCs w:val="22"/>
        </w:rPr>
        <w:t>’</w:t>
      </w:r>
      <w:r w:rsidRPr="00730456">
        <w:rPr>
          <w:szCs w:val="22"/>
        </w:rPr>
        <w:t>image et autres caractéristiques acceptés pour le dépôt des demandes.</w:t>
      </w:r>
    </w:p>
    <w:p w14:paraId="5CE81561" w14:textId="77777777" w:rsidR="00AC34CB" w:rsidRPr="00730456" w:rsidRDefault="00AC34CB" w:rsidP="00AC34CB">
      <w:pPr>
        <w:spacing w:before="240" w:after="60"/>
        <w:rPr>
          <w:szCs w:val="22"/>
        </w:rPr>
      </w:pPr>
      <w:r w:rsidRPr="00730456">
        <w:rPr>
          <w:szCs w:val="22"/>
        </w:rPr>
        <w:t>RECOMMANDATIONS CONCERNANT LE FORMAT DES MODÈLES ET IMAGES 3D ET LE VOLUME DES FICHIERS</w:t>
      </w:r>
    </w:p>
    <w:p w14:paraId="4E890533" w14:textId="77777777" w:rsidR="00AC34CB" w:rsidRPr="00730456" w:rsidRDefault="00AC34CB" w:rsidP="00AC34CB">
      <w:pPr>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Les recommandations ci</w:t>
      </w:r>
      <w:r>
        <w:rPr>
          <w:szCs w:val="22"/>
        </w:rPr>
        <w:t>-</w:t>
      </w:r>
      <w:r w:rsidRPr="00730456">
        <w:rPr>
          <w:szCs w:val="22"/>
        </w:rPr>
        <w:t>après concernent les pièces à fournir dans les demandes concernant les types de droits de propriété intellectuelle indiqués.</w:t>
      </w:r>
    </w:p>
    <w:p w14:paraId="799962FF" w14:textId="77777777" w:rsidR="00AC34CB" w:rsidRDefault="00AC34CB" w:rsidP="00AC34CB">
      <w:pPr>
        <w:pStyle w:val="Heading3"/>
        <w:rPr>
          <w:szCs w:val="22"/>
        </w:rPr>
      </w:pPr>
      <w:r w:rsidRPr="00730456">
        <w:rPr>
          <w:szCs w:val="22"/>
        </w:rPr>
        <w:t>Brevet d</w:t>
      </w:r>
      <w:r>
        <w:rPr>
          <w:szCs w:val="22"/>
        </w:rPr>
        <w:t>’</w:t>
      </w:r>
      <w:r w:rsidRPr="00730456">
        <w:rPr>
          <w:szCs w:val="22"/>
        </w:rPr>
        <w:t>invention ou modèle d</w:t>
      </w:r>
      <w:r>
        <w:rPr>
          <w:szCs w:val="22"/>
        </w:rPr>
        <w:t>’</w:t>
      </w:r>
      <w:r w:rsidRPr="00730456">
        <w:rPr>
          <w:szCs w:val="22"/>
        </w:rPr>
        <w:t>utilité</w:t>
      </w:r>
    </w:p>
    <w:bookmarkStart w:id="0" w:name="_Hlk37619335"/>
    <w:p w14:paraId="0C77B8F1" w14:textId="77777777" w:rsidR="00AC34CB" w:rsidRPr="00730456" w:rsidRDefault="00AC34CB" w:rsidP="00AC34CB">
      <w:pPr>
        <w:pStyle w:val="ONUME"/>
        <w:numPr>
          <w:ilvl w:val="0"/>
          <w:numId w:val="0"/>
        </w:numPr>
        <w:ind w:right="283"/>
        <w:rPr>
          <w:szCs w:val="22"/>
        </w:rPr>
      </w:pPr>
      <w:r w:rsidRPr="00730456">
        <w:rPr>
          <w:szCs w:val="22"/>
        </w:rPr>
        <w:fldChar w:fldCharType="begin"/>
      </w:r>
      <w:r w:rsidRPr="00730456">
        <w:rPr>
          <w:szCs w:val="22"/>
        </w:rPr>
        <w:instrText xml:space="preserve"> AUTONUM  </w:instrText>
      </w:r>
      <w:r w:rsidRPr="00730456">
        <w:rPr>
          <w:szCs w:val="22"/>
        </w:rPr>
        <w:fldChar w:fldCharType="end"/>
      </w:r>
      <w:r w:rsidRPr="00730456">
        <w:rPr>
          <w:szCs w:val="22"/>
        </w:rPr>
        <w:tab/>
        <w:t>La représentation visuelle d</w:t>
      </w:r>
      <w:r>
        <w:rPr>
          <w:szCs w:val="22"/>
        </w:rPr>
        <w:t>’</w:t>
      </w:r>
      <w:r w:rsidRPr="00730456">
        <w:rPr>
          <w:szCs w:val="22"/>
        </w:rPr>
        <w:t>une invention ou d</w:t>
      </w:r>
      <w:r>
        <w:rPr>
          <w:szCs w:val="22"/>
        </w:rPr>
        <w:t>’</w:t>
      </w:r>
      <w:r w:rsidRPr="00730456">
        <w:rPr>
          <w:szCs w:val="22"/>
        </w:rPr>
        <w:t>un modèle d</w:t>
      </w:r>
      <w:r>
        <w:rPr>
          <w:szCs w:val="22"/>
        </w:rPr>
        <w:t>’</w:t>
      </w:r>
      <w:r w:rsidRPr="00730456">
        <w:rPr>
          <w:szCs w:val="22"/>
        </w:rPr>
        <w:t>utilité sera de préférence au moins dans l</w:t>
      </w:r>
      <w:r>
        <w:rPr>
          <w:szCs w:val="22"/>
        </w:rPr>
        <w:t>’</w:t>
      </w:r>
      <w:r w:rsidRPr="00730456">
        <w:rPr>
          <w:szCs w:val="22"/>
        </w:rPr>
        <w:t>un des formats suivants</w:t>
      </w:r>
      <w:r>
        <w:rPr>
          <w:szCs w:val="22"/>
        </w:rPr>
        <w:t> :</w:t>
      </w:r>
      <w:r w:rsidRPr="00730456">
        <w:rPr>
          <w:szCs w:val="22"/>
        </w:rPr>
        <w:t xml:space="preserve"> STEP, IGES, U3D, OBJ ou </w:t>
      </w:r>
      <w:bookmarkEnd w:id="0"/>
      <w:r w:rsidRPr="00730456">
        <w:rPr>
          <w:szCs w:val="22"/>
        </w:rPr>
        <w:t>STL</w:t>
      </w:r>
      <w:r>
        <w:rPr>
          <w:szCs w:val="22"/>
        </w:rPr>
        <w:t xml:space="preserve">.  </w:t>
      </w:r>
      <w:r w:rsidRPr="00730456">
        <w:rPr>
          <w:szCs w:val="22"/>
        </w:rPr>
        <w:t>Le volume des fichiers ne dépassera pas 50 Mo.  Au besoin, sur demande du déposant, l</w:t>
      </w:r>
      <w:r>
        <w:rPr>
          <w:szCs w:val="22"/>
        </w:rPr>
        <w:t>’</w:t>
      </w:r>
      <w:r w:rsidRPr="00730456">
        <w:rPr>
          <w:szCs w:val="22"/>
        </w:rPr>
        <w:t>office auquel la demande est adressée pourra accepter des fichiers d</w:t>
      </w:r>
      <w:r>
        <w:rPr>
          <w:szCs w:val="22"/>
        </w:rPr>
        <w:t>’</w:t>
      </w:r>
      <w:r w:rsidRPr="00730456">
        <w:rPr>
          <w:szCs w:val="22"/>
        </w:rPr>
        <w:t>un volume supérieur.</w:t>
      </w:r>
    </w:p>
    <w:p w14:paraId="67FEA308" w14:textId="77777777" w:rsidR="00AC34CB" w:rsidRPr="00730456" w:rsidRDefault="00AC34CB" w:rsidP="00AC34CB">
      <w:pPr>
        <w:pStyle w:val="ListParagraph1"/>
        <w:ind w:left="0"/>
        <w:rPr>
          <w:rFonts w:ascii="Arial" w:hAnsi="Arial" w:cs="Arial"/>
          <w:sz w:val="22"/>
          <w:szCs w:val="22"/>
        </w:rPr>
      </w:pPr>
      <w:r w:rsidRPr="00730456">
        <w:rPr>
          <w:rFonts w:ascii="Arial" w:hAnsi="Arial" w:cs="Arial"/>
          <w:sz w:val="22"/>
          <w:szCs w:val="22"/>
        </w:rPr>
        <w:fldChar w:fldCharType="begin"/>
      </w:r>
      <w:r w:rsidRPr="00730456">
        <w:rPr>
          <w:rFonts w:ascii="Arial" w:hAnsi="Arial" w:cs="Arial"/>
          <w:sz w:val="22"/>
          <w:szCs w:val="22"/>
        </w:rPr>
        <w:instrText xml:space="preserve"> AUTONUM  </w:instrText>
      </w:r>
      <w:r w:rsidRPr="00730456">
        <w:rPr>
          <w:rFonts w:ascii="Arial" w:hAnsi="Arial" w:cs="Arial"/>
          <w:sz w:val="22"/>
          <w:szCs w:val="22"/>
        </w:rPr>
        <w:fldChar w:fldCharType="end"/>
      </w:r>
      <w:r w:rsidRPr="00730456">
        <w:rPr>
          <w:rFonts w:ascii="Arial" w:hAnsi="Arial" w:cs="Arial"/>
          <w:sz w:val="22"/>
          <w:szCs w:val="22"/>
        </w:rPr>
        <w:tab/>
        <w:t>Pour les structures chimiques qui sont incluses dans des demandes de brevet, la représentation visuelle en 3D sera de préférence au format CDX ou MOL</w:t>
      </w:r>
      <w:r>
        <w:rPr>
          <w:rFonts w:ascii="Arial" w:hAnsi="Arial" w:cs="Arial"/>
          <w:sz w:val="22"/>
          <w:szCs w:val="22"/>
        </w:rPr>
        <w:t xml:space="preserve">.  </w:t>
      </w:r>
      <w:r w:rsidRPr="00730456">
        <w:rPr>
          <w:rFonts w:ascii="Arial" w:hAnsi="Arial" w:cs="Arial"/>
          <w:sz w:val="22"/>
          <w:szCs w:val="22"/>
        </w:rPr>
        <w:t>Le volume des fichiers ne dépassera pas 50 Mo.</w:t>
      </w:r>
    </w:p>
    <w:p w14:paraId="2EC14D90" w14:textId="77777777" w:rsidR="00AC34CB" w:rsidRDefault="00AC34CB" w:rsidP="00AC34CB">
      <w:pPr>
        <w:pStyle w:val="Heading3"/>
        <w:rPr>
          <w:szCs w:val="22"/>
        </w:rPr>
      </w:pPr>
      <w:r w:rsidRPr="00730456">
        <w:rPr>
          <w:szCs w:val="22"/>
        </w:rPr>
        <w:t>Dessin ou modèle industriel</w:t>
      </w:r>
    </w:p>
    <w:p w14:paraId="48C9571E" w14:textId="77777777" w:rsidR="00AC34CB" w:rsidRPr="00730456" w:rsidRDefault="00AC34CB" w:rsidP="00AC34CB">
      <w:pPr>
        <w:pStyle w:val="ListParagraph1"/>
        <w:ind w:left="0"/>
        <w:rPr>
          <w:rFonts w:ascii="Arial" w:hAnsi="Arial" w:cs="Arial"/>
          <w:sz w:val="22"/>
          <w:szCs w:val="22"/>
        </w:rPr>
      </w:pPr>
      <w:r w:rsidRPr="00730456">
        <w:rPr>
          <w:rFonts w:ascii="Arial" w:hAnsi="Arial" w:cs="Arial"/>
          <w:sz w:val="22"/>
          <w:szCs w:val="22"/>
        </w:rPr>
        <w:fldChar w:fldCharType="begin"/>
      </w:r>
      <w:r w:rsidRPr="00730456">
        <w:rPr>
          <w:rFonts w:ascii="Arial" w:hAnsi="Arial" w:cs="Arial"/>
          <w:sz w:val="22"/>
          <w:szCs w:val="22"/>
        </w:rPr>
        <w:instrText xml:space="preserve"> AUTONUM  </w:instrText>
      </w:r>
      <w:r w:rsidRPr="00730456">
        <w:rPr>
          <w:rFonts w:ascii="Arial" w:hAnsi="Arial" w:cs="Arial"/>
          <w:sz w:val="22"/>
          <w:szCs w:val="22"/>
        </w:rPr>
        <w:fldChar w:fldCharType="end"/>
      </w:r>
      <w:r w:rsidRPr="00730456">
        <w:rPr>
          <w:rFonts w:ascii="Arial" w:hAnsi="Arial" w:cs="Arial"/>
          <w:sz w:val="22"/>
          <w:szCs w:val="22"/>
        </w:rPr>
        <w:tab/>
        <w:t>La représentation visuelle d</w:t>
      </w:r>
      <w:r>
        <w:rPr>
          <w:rFonts w:ascii="Arial" w:hAnsi="Arial" w:cs="Arial"/>
          <w:sz w:val="22"/>
          <w:szCs w:val="22"/>
        </w:rPr>
        <w:t>’</w:t>
      </w:r>
      <w:r w:rsidRPr="00730456">
        <w:rPr>
          <w:rFonts w:ascii="Arial" w:hAnsi="Arial" w:cs="Arial"/>
          <w:sz w:val="22"/>
          <w:szCs w:val="22"/>
        </w:rPr>
        <w:t>un dessin ou modèle industriel sera de préférence au moins dans l</w:t>
      </w:r>
      <w:r>
        <w:rPr>
          <w:rFonts w:ascii="Arial" w:hAnsi="Arial" w:cs="Arial"/>
          <w:sz w:val="22"/>
          <w:szCs w:val="22"/>
        </w:rPr>
        <w:t>’</w:t>
      </w:r>
      <w:r w:rsidRPr="00730456">
        <w:rPr>
          <w:rFonts w:ascii="Arial" w:hAnsi="Arial" w:cs="Arial"/>
          <w:sz w:val="22"/>
          <w:szCs w:val="22"/>
        </w:rPr>
        <w:t>un des formats suivants</w:t>
      </w:r>
      <w:r>
        <w:rPr>
          <w:rFonts w:ascii="Arial" w:hAnsi="Arial" w:cs="Arial"/>
          <w:sz w:val="22"/>
          <w:szCs w:val="22"/>
        </w:rPr>
        <w:t> :</w:t>
      </w:r>
      <w:r w:rsidRPr="00730456">
        <w:rPr>
          <w:rFonts w:ascii="Arial" w:hAnsi="Arial" w:cs="Arial"/>
          <w:sz w:val="22"/>
          <w:szCs w:val="22"/>
        </w:rPr>
        <w:t xml:space="preserve"> STEP, IGES, U3D, OBJ ou STL</w:t>
      </w:r>
      <w:r>
        <w:rPr>
          <w:rFonts w:ascii="Arial" w:hAnsi="Arial" w:cs="Arial"/>
          <w:sz w:val="22"/>
          <w:szCs w:val="22"/>
        </w:rPr>
        <w:t xml:space="preserve">.  </w:t>
      </w:r>
      <w:r w:rsidRPr="00730456">
        <w:rPr>
          <w:rFonts w:ascii="Arial" w:hAnsi="Arial" w:cs="Arial"/>
          <w:sz w:val="22"/>
          <w:szCs w:val="22"/>
        </w:rPr>
        <w:t>Le volume des fichiers ne dépassera pas 50 Mo.  Au besoin, sur demande du déposant, l</w:t>
      </w:r>
      <w:r>
        <w:rPr>
          <w:rFonts w:ascii="Arial" w:hAnsi="Arial" w:cs="Arial"/>
          <w:sz w:val="22"/>
          <w:szCs w:val="22"/>
        </w:rPr>
        <w:t>’</w:t>
      </w:r>
      <w:r w:rsidRPr="00730456">
        <w:rPr>
          <w:rFonts w:ascii="Arial" w:hAnsi="Arial" w:cs="Arial"/>
          <w:sz w:val="22"/>
          <w:szCs w:val="22"/>
        </w:rPr>
        <w:t>office auquel la demande est adressée pourra accepter des fichiers d</w:t>
      </w:r>
      <w:r>
        <w:rPr>
          <w:rFonts w:ascii="Arial" w:hAnsi="Arial" w:cs="Arial"/>
          <w:sz w:val="22"/>
          <w:szCs w:val="22"/>
        </w:rPr>
        <w:t>’</w:t>
      </w:r>
      <w:r w:rsidRPr="00730456">
        <w:rPr>
          <w:rFonts w:ascii="Arial" w:hAnsi="Arial" w:cs="Arial"/>
          <w:sz w:val="22"/>
          <w:szCs w:val="22"/>
        </w:rPr>
        <w:t>un volume supérieur.</w:t>
      </w:r>
    </w:p>
    <w:p w14:paraId="6F1FF083" w14:textId="77777777" w:rsidR="00AC34CB" w:rsidRDefault="00AC34CB" w:rsidP="00AC34CB">
      <w:pPr>
        <w:pStyle w:val="Heading3"/>
        <w:rPr>
          <w:szCs w:val="22"/>
        </w:rPr>
      </w:pPr>
      <w:r w:rsidRPr="00730456">
        <w:rPr>
          <w:szCs w:val="22"/>
        </w:rPr>
        <w:t>Marque</w:t>
      </w:r>
    </w:p>
    <w:p w14:paraId="375AD0E5" w14:textId="77777777" w:rsidR="00AC34CB" w:rsidRPr="00730456" w:rsidRDefault="00AC34CB" w:rsidP="00AC34CB">
      <w:pPr>
        <w:pStyle w:val="ListParagraph1"/>
        <w:spacing w:after="220"/>
        <w:ind w:left="0"/>
        <w:rPr>
          <w:rFonts w:ascii="Arial" w:hAnsi="Arial" w:cs="Arial"/>
          <w:sz w:val="22"/>
          <w:szCs w:val="22"/>
        </w:rPr>
      </w:pPr>
      <w:r w:rsidRPr="00730456">
        <w:rPr>
          <w:rFonts w:ascii="Arial" w:hAnsi="Arial" w:cs="Arial"/>
          <w:sz w:val="22"/>
          <w:szCs w:val="22"/>
        </w:rPr>
        <w:fldChar w:fldCharType="begin"/>
      </w:r>
      <w:r w:rsidRPr="00730456">
        <w:rPr>
          <w:rFonts w:ascii="Arial" w:hAnsi="Arial" w:cs="Arial"/>
          <w:sz w:val="22"/>
          <w:szCs w:val="22"/>
        </w:rPr>
        <w:instrText xml:space="preserve"> AUTONUM  </w:instrText>
      </w:r>
      <w:r w:rsidRPr="00730456">
        <w:rPr>
          <w:rFonts w:ascii="Arial" w:hAnsi="Arial" w:cs="Arial"/>
          <w:sz w:val="22"/>
          <w:szCs w:val="22"/>
        </w:rPr>
        <w:fldChar w:fldCharType="end"/>
      </w:r>
      <w:r w:rsidRPr="00730456">
        <w:rPr>
          <w:rFonts w:ascii="Arial" w:hAnsi="Arial" w:cs="Arial"/>
          <w:sz w:val="22"/>
          <w:szCs w:val="22"/>
        </w:rPr>
        <w:tab/>
        <w:t>La représentation visuelle d</w:t>
      </w:r>
      <w:r>
        <w:rPr>
          <w:rFonts w:ascii="Arial" w:hAnsi="Arial" w:cs="Arial"/>
          <w:sz w:val="22"/>
          <w:szCs w:val="22"/>
        </w:rPr>
        <w:t>’</w:t>
      </w:r>
      <w:r w:rsidRPr="00730456">
        <w:rPr>
          <w:rFonts w:ascii="Arial" w:hAnsi="Arial" w:cs="Arial"/>
          <w:sz w:val="22"/>
          <w:szCs w:val="22"/>
        </w:rPr>
        <w:t>une marque sera de préférence au moins dans l</w:t>
      </w:r>
      <w:r>
        <w:rPr>
          <w:rFonts w:ascii="Arial" w:hAnsi="Arial" w:cs="Arial"/>
          <w:sz w:val="22"/>
          <w:szCs w:val="22"/>
        </w:rPr>
        <w:t>’</w:t>
      </w:r>
      <w:r w:rsidRPr="00730456">
        <w:rPr>
          <w:rFonts w:ascii="Arial" w:hAnsi="Arial" w:cs="Arial"/>
          <w:sz w:val="22"/>
          <w:szCs w:val="22"/>
        </w:rPr>
        <w:t>un des formats suivants</w:t>
      </w:r>
      <w:r>
        <w:rPr>
          <w:rFonts w:ascii="Arial" w:hAnsi="Arial" w:cs="Arial"/>
          <w:sz w:val="22"/>
          <w:szCs w:val="22"/>
        </w:rPr>
        <w:t> :</w:t>
      </w:r>
      <w:r w:rsidRPr="00730456">
        <w:rPr>
          <w:rFonts w:ascii="Arial" w:hAnsi="Arial" w:cs="Arial"/>
          <w:sz w:val="22"/>
          <w:szCs w:val="22"/>
        </w:rPr>
        <w:t xml:space="preserve"> STEP, IGES, U3D, OBJ ou STL</w:t>
      </w:r>
      <w:r>
        <w:rPr>
          <w:rFonts w:ascii="Arial" w:hAnsi="Arial" w:cs="Arial"/>
          <w:sz w:val="22"/>
          <w:szCs w:val="22"/>
        </w:rPr>
        <w:t xml:space="preserve">.  </w:t>
      </w:r>
      <w:r w:rsidRPr="00730456">
        <w:rPr>
          <w:rFonts w:ascii="Arial" w:hAnsi="Arial" w:cs="Arial"/>
          <w:sz w:val="22"/>
          <w:szCs w:val="22"/>
        </w:rPr>
        <w:t>Le volume des fichiers ne dépassera pas 50 Mo.  Au besoin, sur demande du déposant, l</w:t>
      </w:r>
      <w:r>
        <w:rPr>
          <w:rFonts w:ascii="Arial" w:hAnsi="Arial" w:cs="Arial"/>
          <w:sz w:val="22"/>
          <w:szCs w:val="22"/>
        </w:rPr>
        <w:t>’</w:t>
      </w:r>
      <w:r w:rsidRPr="00730456">
        <w:rPr>
          <w:rFonts w:ascii="Arial" w:hAnsi="Arial" w:cs="Arial"/>
          <w:sz w:val="22"/>
          <w:szCs w:val="22"/>
        </w:rPr>
        <w:t>office auquel la demande est adressée pourra accepter des fichiers d</w:t>
      </w:r>
      <w:r>
        <w:rPr>
          <w:rFonts w:ascii="Arial" w:hAnsi="Arial" w:cs="Arial"/>
          <w:sz w:val="22"/>
          <w:szCs w:val="22"/>
        </w:rPr>
        <w:t>’</w:t>
      </w:r>
      <w:r w:rsidRPr="00730456">
        <w:rPr>
          <w:rFonts w:ascii="Arial" w:hAnsi="Arial" w:cs="Arial"/>
          <w:sz w:val="22"/>
          <w:szCs w:val="22"/>
        </w:rPr>
        <w:t>un volume supérieur.</w:t>
      </w:r>
    </w:p>
    <w:p w14:paraId="320CAC0C" w14:textId="77777777" w:rsidR="00AC34CB" w:rsidRPr="00730456" w:rsidRDefault="00AC34CB" w:rsidP="00AC34CB">
      <w:pPr>
        <w:pStyle w:val="ListParagraph1"/>
        <w:spacing w:after="220"/>
        <w:ind w:left="0"/>
        <w:rPr>
          <w:rFonts w:ascii="Arial" w:hAnsi="Arial" w:cs="Arial"/>
          <w:sz w:val="22"/>
          <w:szCs w:val="22"/>
          <w:u w:val="single"/>
        </w:rPr>
      </w:pPr>
      <w:r w:rsidRPr="00730456">
        <w:rPr>
          <w:rFonts w:ascii="Arial" w:hAnsi="Arial" w:cs="Arial"/>
          <w:sz w:val="22"/>
          <w:szCs w:val="22"/>
          <w:u w:val="single"/>
        </w:rPr>
        <w:t>[…]</w:t>
      </w:r>
    </w:p>
    <w:p w14:paraId="2B310D72" w14:textId="77777777" w:rsidR="00AC34CB" w:rsidRPr="00730456" w:rsidRDefault="00AC34CB" w:rsidP="00AC34CB">
      <w:pPr>
        <w:spacing w:before="720"/>
        <w:ind w:left="5533"/>
        <w:rPr>
          <w:szCs w:val="22"/>
          <w:u w:val="single"/>
        </w:rPr>
      </w:pPr>
      <w:bookmarkStart w:id="1" w:name="_Toc530474319"/>
      <w:bookmarkStart w:id="2" w:name="_Toc53737731"/>
      <w:bookmarkStart w:id="3" w:name="_Toc90370580"/>
      <w:bookmarkStart w:id="4" w:name="_Toc144206002"/>
      <w:bookmarkStart w:id="5" w:name="Annex1"/>
      <w:r w:rsidRPr="00730456">
        <w:rPr>
          <w:szCs w:val="22"/>
          <w:u w:val="single"/>
        </w:rPr>
        <w:t>[L</w:t>
      </w:r>
      <w:r>
        <w:rPr>
          <w:szCs w:val="22"/>
          <w:u w:val="single"/>
        </w:rPr>
        <w:t>’</w:t>
      </w:r>
      <w:r w:rsidRPr="00730456">
        <w:rPr>
          <w:szCs w:val="22"/>
          <w:u w:val="single"/>
        </w:rPr>
        <w:t>annexe de la norme</w:t>
      </w:r>
      <w:r>
        <w:rPr>
          <w:szCs w:val="22"/>
          <w:u w:val="single"/>
        </w:rPr>
        <w:t> </w:t>
      </w:r>
      <w:r w:rsidRPr="00730456">
        <w:rPr>
          <w:szCs w:val="22"/>
          <w:u w:val="single"/>
        </w:rPr>
        <w:t>ST.91 suit]</w:t>
      </w:r>
    </w:p>
    <w:p w14:paraId="13DD9407" w14:textId="77777777" w:rsidR="00AC34CB" w:rsidRPr="00730456" w:rsidRDefault="00AC34CB" w:rsidP="00AC34CB">
      <w:pPr>
        <w:pStyle w:val="Heading2"/>
        <w:spacing w:after="240"/>
        <w:jc w:val="center"/>
        <w:rPr>
          <w:b/>
          <w:i/>
          <w:szCs w:val="22"/>
          <w:u w:val="single"/>
        </w:rPr>
      </w:pPr>
      <w:r w:rsidRPr="00730456">
        <w:rPr>
          <w:b/>
          <w:szCs w:val="22"/>
          <w:u w:val="single"/>
        </w:rPr>
        <w:lastRenderedPageBreak/>
        <w:t>Annexe</w:t>
      </w:r>
      <w:bookmarkEnd w:id="1"/>
      <w:bookmarkEnd w:id="2"/>
      <w:bookmarkEnd w:id="3"/>
      <w:bookmarkEnd w:id="4"/>
      <w:bookmarkEnd w:id="5"/>
    </w:p>
    <w:p w14:paraId="36847A34" w14:textId="77777777" w:rsidR="00AC34CB" w:rsidRPr="00730456" w:rsidRDefault="00AC34CB" w:rsidP="00AC34CB">
      <w:pPr>
        <w:keepNext/>
        <w:spacing w:after="340"/>
        <w:ind w:right="11"/>
        <w:jc w:val="center"/>
        <w:rPr>
          <w:rFonts w:eastAsia="Batang"/>
          <w:szCs w:val="22"/>
          <w:u w:val="single"/>
        </w:rPr>
      </w:pPr>
      <w:r w:rsidRPr="00730456">
        <w:rPr>
          <w:szCs w:val="22"/>
          <w:u w:val="single"/>
        </w:rPr>
        <w:t>CRITÈRES DE SÉLECTION DES FORMATS 3D</w:t>
      </w:r>
    </w:p>
    <w:p w14:paraId="1350F66F" w14:textId="77777777" w:rsidR="00AC34CB" w:rsidRPr="00730456" w:rsidRDefault="00AC34CB" w:rsidP="00AC34CB">
      <w:pPr>
        <w:spacing w:after="340"/>
        <w:ind w:right="11"/>
        <w:jc w:val="center"/>
        <w:rPr>
          <w:rFonts w:eastAsia="Batang"/>
          <w:i/>
          <w:iCs/>
          <w:szCs w:val="22"/>
          <w:u w:val="single"/>
        </w:rPr>
      </w:pPr>
      <w:r w:rsidRPr="00730456">
        <w:rPr>
          <w:i/>
          <w:szCs w:val="22"/>
          <w:u w:val="single"/>
        </w:rPr>
        <w:t>Proposition soumise à l</w:t>
      </w:r>
      <w:r>
        <w:rPr>
          <w:i/>
          <w:szCs w:val="22"/>
          <w:u w:val="single"/>
        </w:rPr>
        <w:t>’</w:t>
      </w:r>
      <w:r w:rsidRPr="00730456">
        <w:rPr>
          <w:i/>
          <w:szCs w:val="22"/>
          <w:u w:val="single"/>
        </w:rPr>
        <w:t>approbation du Comité des normes de l</w:t>
      </w:r>
      <w:r>
        <w:rPr>
          <w:i/>
          <w:szCs w:val="22"/>
          <w:u w:val="single"/>
        </w:rPr>
        <w:t>’</w:t>
      </w:r>
      <w:r w:rsidRPr="00730456">
        <w:rPr>
          <w:i/>
          <w:szCs w:val="22"/>
          <w:u w:val="single"/>
        </w:rPr>
        <w:t>OMPI (CWS) à sa douz</w:t>
      </w:r>
      <w:r>
        <w:rPr>
          <w:i/>
          <w:szCs w:val="22"/>
          <w:u w:val="single"/>
        </w:rPr>
        <w:t>ième session</w:t>
      </w:r>
    </w:p>
    <w:p w14:paraId="240AB620" w14:textId="77777777" w:rsidR="00AC34CB" w:rsidRPr="00730456" w:rsidRDefault="00AC34CB" w:rsidP="00AC34CB">
      <w:pPr>
        <w:spacing w:after="340"/>
        <w:ind w:right="11"/>
        <w:jc w:val="both"/>
        <w:rPr>
          <w:rFonts w:eastAsia="Batang"/>
          <w:szCs w:val="22"/>
          <w:u w:val="single"/>
        </w:rPr>
      </w:pPr>
      <w:r w:rsidRPr="00730456">
        <w:rPr>
          <w:szCs w:val="22"/>
          <w:u w:val="single"/>
        </w:rPr>
        <w:t>Les formats de fichiers décrits dans la présente norme ont été sélectionnés après évaluation des éventuels formats susceptibles d</w:t>
      </w:r>
      <w:r>
        <w:rPr>
          <w:szCs w:val="22"/>
          <w:u w:val="single"/>
        </w:rPr>
        <w:t>’</w:t>
      </w:r>
      <w:r w:rsidRPr="00730456">
        <w:rPr>
          <w:szCs w:val="22"/>
          <w:u w:val="single"/>
        </w:rPr>
        <w:t>être recommandés conformément aux cinq</w:t>
      </w:r>
      <w:r>
        <w:rPr>
          <w:szCs w:val="22"/>
          <w:u w:val="single"/>
        </w:rPr>
        <w:t> </w:t>
      </w:r>
      <w:r w:rsidRPr="00730456">
        <w:rPr>
          <w:szCs w:val="22"/>
          <w:u w:val="single"/>
        </w:rPr>
        <w:t>critères fondamentaux énoncés ci</w:t>
      </w:r>
      <w:r>
        <w:rPr>
          <w:szCs w:val="22"/>
          <w:u w:val="single"/>
        </w:rPr>
        <w:t>-</w:t>
      </w:r>
      <w:r w:rsidRPr="00730456">
        <w:rPr>
          <w:szCs w:val="22"/>
          <w:u w:val="single"/>
        </w:rPr>
        <w:t>dessous, tous les critères étant considérés comme égaux.</w:t>
      </w:r>
    </w:p>
    <w:p w14:paraId="49F9AD23" w14:textId="77777777" w:rsidR="00AC34CB" w:rsidRPr="00730456" w:rsidRDefault="00AC34CB" w:rsidP="00AC34CB">
      <w:pPr>
        <w:ind w:right="11"/>
        <w:jc w:val="both"/>
        <w:rPr>
          <w:rFonts w:eastAsia="Batang"/>
          <w:b/>
          <w:bCs/>
          <w:szCs w:val="22"/>
          <w:u w:val="single"/>
        </w:rPr>
      </w:pPr>
      <w:r w:rsidRPr="00730456">
        <w:rPr>
          <w:b/>
          <w:szCs w:val="22"/>
          <w:u w:val="single"/>
        </w:rPr>
        <w:t>1. Adoption à grande échelle</w:t>
      </w:r>
    </w:p>
    <w:p w14:paraId="0A73E472" w14:textId="77777777" w:rsidR="00AC34CB" w:rsidRDefault="00AC34CB" w:rsidP="00AC34CB">
      <w:pPr>
        <w:spacing w:after="240"/>
        <w:ind w:right="11"/>
        <w:jc w:val="both"/>
        <w:rPr>
          <w:szCs w:val="22"/>
          <w:u w:val="single"/>
        </w:rPr>
      </w:pPr>
      <w:r w:rsidRPr="00730456">
        <w:rPr>
          <w:szCs w:val="22"/>
          <w:u w:val="single"/>
        </w:rPr>
        <w:t>Objectif</w:t>
      </w:r>
      <w:r>
        <w:rPr>
          <w:szCs w:val="22"/>
          <w:u w:val="single"/>
        </w:rPr>
        <w:t> :</w:t>
      </w:r>
      <w:r w:rsidRPr="00730456">
        <w:rPr>
          <w:szCs w:val="22"/>
          <w:u w:val="single"/>
        </w:rPr>
        <w:t xml:space="preserve"> Ce critère permet de sélectionner des formats largement utilisés par les déposants.</w:t>
      </w:r>
    </w:p>
    <w:p w14:paraId="1B0F9CE4" w14:textId="77777777" w:rsidR="00AC34CB" w:rsidRDefault="00AC34CB" w:rsidP="00AC34CB">
      <w:pPr>
        <w:spacing w:after="340"/>
        <w:ind w:right="11"/>
        <w:jc w:val="both"/>
        <w:rPr>
          <w:szCs w:val="22"/>
          <w:u w:val="single"/>
        </w:rPr>
      </w:pPr>
      <w:r w:rsidRPr="00730456">
        <w:rPr>
          <w:szCs w:val="22"/>
          <w:u w:val="single"/>
        </w:rPr>
        <w:t>Solution</w:t>
      </w:r>
      <w:r>
        <w:rPr>
          <w:szCs w:val="22"/>
          <w:u w:val="single"/>
        </w:rPr>
        <w:t> :</w:t>
      </w:r>
      <w:r w:rsidRPr="00730456">
        <w:rPr>
          <w:szCs w:val="22"/>
          <w:u w:val="single"/>
        </w:rPr>
        <w:t xml:space="preserve"> Afin de définir les formats 3D largement adoptés, une enquête</w:t>
      </w:r>
      <w:r w:rsidRPr="00730456">
        <w:rPr>
          <w:rStyle w:val="FootnoteReference"/>
          <w:rFonts w:eastAsia="Batang"/>
          <w:szCs w:val="22"/>
          <w:u w:val="single"/>
          <w:lang w:eastAsia="en-US"/>
        </w:rPr>
        <w:footnoteReference w:id="2"/>
      </w:r>
      <w:r w:rsidRPr="00730456">
        <w:rPr>
          <w:szCs w:val="22"/>
          <w:u w:val="single"/>
        </w:rPr>
        <w:t xml:space="preserve"> a été menée auprès des offices de propriété industrielle et des secteurs concernés, dans laquelle les participants ont indiqué les formats actuellement utilisés pour traiter les représentations visuelles des objets aux fins de la protection au moyen de la propriété intellectuelle.</w:t>
      </w:r>
    </w:p>
    <w:p w14:paraId="4102A880" w14:textId="77777777" w:rsidR="00AC34CB" w:rsidRPr="00730456" w:rsidRDefault="00AC34CB" w:rsidP="00AC34CB">
      <w:pPr>
        <w:ind w:right="11"/>
        <w:jc w:val="both"/>
        <w:rPr>
          <w:rFonts w:eastAsia="Batang"/>
          <w:b/>
          <w:bCs/>
          <w:szCs w:val="22"/>
          <w:u w:val="single"/>
        </w:rPr>
      </w:pPr>
      <w:r w:rsidRPr="00730456">
        <w:rPr>
          <w:b/>
          <w:szCs w:val="22"/>
          <w:u w:val="single"/>
        </w:rPr>
        <w:t>2. Ouverture/accessibilité/normalisation</w:t>
      </w:r>
    </w:p>
    <w:p w14:paraId="1E070FE4" w14:textId="77777777" w:rsidR="00AC34CB" w:rsidRDefault="00AC34CB" w:rsidP="00AC34CB">
      <w:pPr>
        <w:spacing w:after="240"/>
        <w:ind w:right="11"/>
        <w:jc w:val="both"/>
        <w:rPr>
          <w:szCs w:val="22"/>
          <w:u w:val="single"/>
        </w:rPr>
      </w:pPr>
      <w:r w:rsidRPr="00730456">
        <w:rPr>
          <w:szCs w:val="22"/>
          <w:u w:val="single"/>
        </w:rPr>
        <w:t>Objectif</w:t>
      </w:r>
      <w:r>
        <w:rPr>
          <w:szCs w:val="22"/>
          <w:u w:val="single"/>
        </w:rPr>
        <w:t> :</w:t>
      </w:r>
      <w:r w:rsidRPr="00730456">
        <w:rPr>
          <w:szCs w:val="22"/>
          <w:u w:val="single"/>
        </w:rPr>
        <w:t xml:space="preserve"> Ce critère garantit la possibilité de reproduire le format sur le long terme</w:t>
      </w:r>
      <w:r>
        <w:rPr>
          <w:szCs w:val="22"/>
          <w:u w:val="single"/>
        </w:rPr>
        <w:t xml:space="preserve">.  </w:t>
      </w:r>
      <w:r w:rsidRPr="00730456">
        <w:rPr>
          <w:szCs w:val="22"/>
          <w:u w:val="single"/>
        </w:rPr>
        <w:t>Par exemple, certains formats non normalisés nécessitent le recours à certains logiciels et ne sont pas destinés à une utilisation sur le long terme.</w:t>
      </w:r>
    </w:p>
    <w:p w14:paraId="0FF96C0E" w14:textId="77777777" w:rsidR="00AC34CB" w:rsidRPr="00730456" w:rsidRDefault="00AC34CB" w:rsidP="00AC34CB">
      <w:pPr>
        <w:spacing w:after="340"/>
        <w:ind w:right="11"/>
        <w:jc w:val="both"/>
        <w:rPr>
          <w:rFonts w:eastAsia="Batang"/>
          <w:szCs w:val="22"/>
          <w:u w:val="single"/>
        </w:rPr>
      </w:pPr>
      <w:r w:rsidRPr="00730456">
        <w:rPr>
          <w:szCs w:val="22"/>
          <w:u w:val="single"/>
        </w:rPr>
        <w:t>Solution</w:t>
      </w:r>
      <w:r>
        <w:rPr>
          <w:szCs w:val="22"/>
          <w:u w:val="single"/>
        </w:rPr>
        <w:t> :</w:t>
      </w:r>
      <w:r w:rsidRPr="00730456">
        <w:rPr>
          <w:szCs w:val="22"/>
          <w:u w:val="single"/>
        </w:rPr>
        <w:t xml:space="preserve"> La préférence pour les formats ouverts au détriment des formats privés s</w:t>
      </w:r>
      <w:r>
        <w:rPr>
          <w:szCs w:val="22"/>
          <w:u w:val="single"/>
        </w:rPr>
        <w:t>’</w:t>
      </w:r>
      <w:r w:rsidRPr="00730456">
        <w:rPr>
          <w:szCs w:val="22"/>
          <w:u w:val="single"/>
        </w:rPr>
        <w:t>explique par cet objectif d</w:t>
      </w:r>
      <w:r>
        <w:rPr>
          <w:szCs w:val="22"/>
          <w:u w:val="single"/>
        </w:rPr>
        <w:t>’</w:t>
      </w:r>
      <w:r w:rsidRPr="00730456">
        <w:rPr>
          <w:szCs w:val="22"/>
          <w:u w:val="single"/>
        </w:rPr>
        <w:t>utilisation à long terme et par la nécessité de veiller à ce que ces formats soient accessibles à un large éventail d</w:t>
      </w:r>
      <w:r>
        <w:rPr>
          <w:szCs w:val="22"/>
          <w:u w:val="single"/>
        </w:rPr>
        <w:t>’</w:t>
      </w:r>
      <w:r w:rsidRPr="00730456">
        <w:rPr>
          <w:szCs w:val="22"/>
          <w:u w:val="single"/>
        </w:rPr>
        <w:t>utilisateurs</w:t>
      </w:r>
      <w:r>
        <w:rPr>
          <w:szCs w:val="22"/>
          <w:u w:val="single"/>
        </w:rPr>
        <w:t xml:space="preserve">.  </w:t>
      </w:r>
      <w:r w:rsidRPr="00730456">
        <w:rPr>
          <w:szCs w:val="22"/>
          <w:u w:val="single"/>
        </w:rPr>
        <w:t>La normalisation est un avantage et va de pair avec les capacités de stockage à long terme associées aux formats, même si, dans certains cas, les formats normalisés peuvent être protégés par des brevets.</w:t>
      </w:r>
    </w:p>
    <w:p w14:paraId="6EB320D6" w14:textId="77777777" w:rsidR="00AC34CB" w:rsidRPr="00730456" w:rsidRDefault="00AC34CB" w:rsidP="00AC34CB">
      <w:pPr>
        <w:ind w:right="11"/>
        <w:jc w:val="both"/>
        <w:rPr>
          <w:rFonts w:eastAsia="Batang"/>
          <w:b/>
          <w:bCs/>
          <w:szCs w:val="22"/>
          <w:u w:val="single"/>
        </w:rPr>
      </w:pPr>
      <w:r w:rsidRPr="00730456">
        <w:rPr>
          <w:b/>
          <w:szCs w:val="22"/>
          <w:u w:val="single"/>
        </w:rPr>
        <w:t>3. Exigences particulières/informations stockées</w:t>
      </w:r>
    </w:p>
    <w:p w14:paraId="68FFA415" w14:textId="77777777" w:rsidR="00AC34CB" w:rsidRDefault="00AC34CB" w:rsidP="00AC34CB">
      <w:pPr>
        <w:spacing w:after="240"/>
        <w:ind w:right="11"/>
        <w:jc w:val="both"/>
        <w:rPr>
          <w:szCs w:val="22"/>
          <w:u w:val="single"/>
        </w:rPr>
      </w:pPr>
      <w:r w:rsidRPr="00730456">
        <w:rPr>
          <w:szCs w:val="22"/>
          <w:u w:val="single"/>
        </w:rPr>
        <w:t>Objectif</w:t>
      </w:r>
      <w:r>
        <w:rPr>
          <w:szCs w:val="22"/>
          <w:u w:val="single"/>
        </w:rPr>
        <w:t> :</w:t>
      </w:r>
      <w:r w:rsidRPr="00730456">
        <w:rPr>
          <w:szCs w:val="22"/>
          <w:u w:val="single"/>
        </w:rPr>
        <w:t xml:space="preserve"> Ce critère garantit la possibilité de stocker les éléments obligatoires d</w:t>
      </w:r>
      <w:r>
        <w:rPr>
          <w:szCs w:val="22"/>
          <w:u w:val="single"/>
        </w:rPr>
        <w:t>’</w:t>
      </w:r>
      <w:r w:rsidRPr="00730456">
        <w:rPr>
          <w:szCs w:val="22"/>
          <w:u w:val="single"/>
        </w:rPr>
        <w:t>un droit de propriété intellectuelle.</w:t>
      </w:r>
    </w:p>
    <w:p w14:paraId="32469AAA" w14:textId="77777777" w:rsidR="00AC34CB" w:rsidRPr="00730456" w:rsidRDefault="00AC34CB" w:rsidP="00AC34CB">
      <w:pPr>
        <w:spacing w:after="340"/>
        <w:ind w:right="11"/>
        <w:jc w:val="both"/>
        <w:rPr>
          <w:rFonts w:eastAsia="Batang"/>
          <w:szCs w:val="22"/>
          <w:u w:val="single"/>
        </w:rPr>
      </w:pPr>
      <w:r w:rsidRPr="00730456">
        <w:rPr>
          <w:szCs w:val="22"/>
          <w:u w:val="single"/>
        </w:rPr>
        <w:t>Solution</w:t>
      </w:r>
      <w:r>
        <w:rPr>
          <w:szCs w:val="22"/>
          <w:u w:val="single"/>
        </w:rPr>
        <w:t> :</w:t>
      </w:r>
      <w:r w:rsidRPr="00730456">
        <w:rPr>
          <w:szCs w:val="22"/>
          <w:u w:val="single"/>
        </w:rPr>
        <w:t xml:space="preserve"> Différents formats 3D ont été analysés afin d</w:t>
      </w:r>
      <w:r>
        <w:rPr>
          <w:szCs w:val="22"/>
          <w:u w:val="single"/>
        </w:rPr>
        <w:t>’</w:t>
      </w:r>
      <w:r w:rsidRPr="00730456">
        <w:rPr>
          <w:szCs w:val="22"/>
          <w:u w:val="single"/>
        </w:rPr>
        <w:t xml:space="preserve">évaluer leur capacité de stocker des informations concernant un droit de propriété intellectuelle, </w:t>
      </w:r>
      <w:r>
        <w:rPr>
          <w:szCs w:val="22"/>
          <w:u w:val="single"/>
        </w:rPr>
        <w:t>y compris</w:t>
      </w:r>
      <w:r w:rsidRPr="00730456">
        <w:rPr>
          <w:szCs w:val="22"/>
          <w:u w:val="single"/>
        </w:rPr>
        <w:t xml:space="preserve"> la surface de l</w:t>
      </w:r>
      <w:r>
        <w:rPr>
          <w:szCs w:val="22"/>
          <w:u w:val="single"/>
        </w:rPr>
        <w:t>’</w:t>
      </w:r>
      <w:r w:rsidRPr="00730456">
        <w:rPr>
          <w:szCs w:val="22"/>
          <w:u w:val="single"/>
        </w:rPr>
        <w:t>objet 3D, les textures ou la possibilité de contenir plusieurs parties distinctes susceptibles d</w:t>
      </w:r>
      <w:r>
        <w:rPr>
          <w:szCs w:val="22"/>
          <w:u w:val="single"/>
        </w:rPr>
        <w:t>’</w:t>
      </w:r>
      <w:r w:rsidRPr="00730456">
        <w:rPr>
          <w:szCs w:val="22"/>
          <w:u w:val="single"/>
        </w:rPr>
        <w:t>être examinées séparément au cours de la procédure d</w:t>
      </w:r>
      <w:r>
        <w:rPr>
          <w:szCs w:val="22"/>
          <w:u w:val="single"/>
        </w:rPr>
        <w:t>’</w:t>
      </w:r>
      <w:r w:rsidRPr="00730456">
        <w:rPr>
          <w:szCs w:val="22"/>
          <w:u w:val="single"/>
        </w:rPr>
        <w:t>examen, entre autres</w:t>
      </w:r>
      <w:r>
        <w:rPr>
          <w:szCs w:val="22"/>
          <w:u w:val="single"/>
        </w:rPr>
        <w:t xml:space="preserve">.  </w:t>
      </w:r>
      <w:r w:rsidRPr="00730456">
        <w:rPr>
          <w:szCs w:val="22"/>
          <w:u w:val="single"/>
        </w:rPr>
        <w:t>Certaines informations présentant un intérêt pour la protection au titre de la propriété intellectuelle, telles que les formules chimiques et les séquences génétiques, ont été examinées séparément, car la visualisation en 3D de ces objets peut être utile à la fois à des fins d</w:t>
      </w:r>
      <w:r>
        <w:rPr>
          <w:szCs w:val="22"/>
          <w:u w:val="single"/>
        </w:rPr>
        <w:t>’</w:t>
      </w:r>
      <w:r w:rsidRPr="00730456">
        <w:rPr>
          <w:szCs w:val="22"/>
          <w:u w:val="single"/>
        </w:rPr>
        <w:t>examen et pour la publication de ces données, mais ces objets peuvent différer des modèles 3D créés à l</w:t>
      </w:r>
      <w:r>
        <w:rPr>
          <w:szCs w:val="22"/>
          <w:u w:val="single"/>
        </w:rPr>
        <w:t>’</w:t>
      </w:r>
      <w:r w:rsidRPr="00730456">
        <w:rPr>
          <w:szCs w:val="22"/>
          <w:u w:val="single"/>
        </w:rPr>
        <w:t>aide de systèmes de CAO ou d</w:t>
      </w:r>
      <w:r>
        <w:rPr>
          <w:szCs w:val="22"/>
          <w:u w:val="single"/>
        </w:rPr>
        <w:t>’</w:t>
      </w:r>
      <w:r w:rsidRPr="00730456">
        <w:rPr>
          <w:szCs w:val="22"/>
          <w:u w:val="single"/>
        </w:rPr>
        <w:t>éditeurs graphiques.</w:t>
      </w:r>
    </w:p>
    <w:p w14:paraId="59A827D9" w14:textId="77777777" w:rsidR="00AC34CB" w:rsidRPr="00730456" w:rsidRDefault="00AC34CB" w:rsidP="00AC34CB">
      <w:pPr>
        <w:ind w:right="11"/>
        <w:jc w:val="both"/>
        <w:rPr>
          <w:rFonts w:eastAsia="Batang"/>
          <w:b/>
          <w:bCs/>
          <w:szCs w:val="22"/>
          <w:u w:val="single"/>
        </w:rPr>
      </w:pPr>
      <w:r w:rsidRPr="00730456">
        <w:rPr>
          <w:b/>
          <w:szCs w:val="22"/>
          <w:u w:val="single"/>
        </w:rPr>
        <w:t>4. Accessibilité des plateformes et des logiciels</w:t>
      </w:r>
    </w:p>
    <w:p w14:paraId="230DA399" w14:textId="77777777" w:rsidR="00AC34CB" w:rsidRPr="00730456" w:rsidRDefault="00AC34CB" w:rsidP="00AC34CB">
      <w:pPr>
        <w:spacing w:after="240"/>
        <w:ind w:right="11"/>
        <w:jc w:val="both"/>
        <w:rPr>
          <w:rFonts w:eastAsia="Batang"/>
          <w:szCs w:val="22"/>
          <w:u w:val="single"/>
        </w:rPr>
      </w:pPr>
      <w:r w:rsidRPr="00730456">
        <w:rPr>
          <w:szCs w:val="22"/>
          <w:u w:val="single"/>
        </w:rPr>
        <w:t>Objectif</w:t>
      </w:r>
      <w:r>
        <w:rPr>
          <w:szCs w:val="22"/>
          <w:u w:val="single"/>
        </w:rPr>
        <w:t> :</w:t>
      </w:r>
      <w:r w:rsidRPr="00730456">
        <w:rPr>
          <w:szCs w:val="22"/>
          <w:u w:val="single"/>
        </w:rPr>
        <w:t xml:space="preserve"> Ce critère garantit que le déposant sera en mesure de présenter une représentation visuelle dans l</w:t>
      </w:r>
      <w:r>
        <w:rPr>
          <w:szCs w:val="22"/>
          <w:u w:val="single"/>
        </w:rPr>
        <w:t>’</w:t>
      </w:r>
      <w:r w:rsidRPr="00730456">
        <w:rPr>
          <w:szCs w:val="22"/>
          <w:u w:val="single"/>
        </w:rPr>
        <w:t>un des formats recommandés et que ces données publiées pourront être consultées par le grand public.</w:t>
      </w:r>
    </w:p>
    <w:p w14:paraId="5D49F068" w14:textId="77777777" w:rsidR="00AC34CB" w:rsidRPr="00730456" w:rsidRDefault="00AC34CB" w:rsidP="00AC34CB">
      <w:pPr>
        <w:spacing w:after="340"/>
        <w:jc w:val="both"/>
        <w:rPr>
          <w:rFonts w:eastAsia="Batang"/>
          <w:szCs w:val="22"/>
          <w:u w:val="single"/>
        </w:rPr>
      </w:pPr>
      <w:r w:rsidRPr="00730456">
        <w:rPr>
          <w:szCs w:val="22"/>
          <w:u w:val="single"/>
        </w:rPr>
        <w:lastRenderedPageBreak/>
        <w:t>Solution</w:t>
      </w:r>
      <w:r>
        <w:rPr>
          <w:szCs w:val="22"/>
          <w:u w:val="single"/>
        </w:rPr>
        <w:t> :</w:t>
      </w:r>
      <w:r w:rsidRPr="00730456">
        <w:rPr>
          <w:szCs w:val="22"/>
          <w:u w:val="single"/>
        </w:rPr>
        <w:t xml:space="preserve"> La possibilité d</w:t>
      </w:r>
      <w:r>
        <w:rPr>
          <w:szCs w:val="22"/>
          <w:u w:val="single"/>
        </w:rPr>
        <w:t>’</w:t>
      </w:r>
      <w:r w:rsidRPr="00730456">
        <w:rPr>
          <w:szCs w:val="22"/>
          <w:u w:val="single"/>
        </w:rPr>
        <w:t>ouvrir et de sauvegarder ces formats dans des logiciels largement répandus, qui sont utilisés pour créer une représentation visuelle des objets aux fins de la protection au moyen de la propriété intellectuelle (CAO, éditeurs graphiques), ainsi que la disponibilité de divers logiciels pour le traitement et l</w:t>
      </w:r>
      <w:r>
        <w:rPr>
          <w:szCs w:val="22"/>
          <w:u w:val="single"/>
        </w:rPr>
        <w:t>’</w:t>
      </w:r>
      <w:r w:rsidRPr="00730456">
        <w:rPr>
          <w:szCs w:val="22"/>
          <w:u w:val="single"/>
        </w:rPr>
        <w:t>affichage de ces formats, ont également été analysés.</w:t>
      </w:r>
    </w:p>
    <w:p w14:paraId="7898BF16" w14:textId="77777777" w:rsidR="00AC34CB" w:rsidRPr="00730456" w:rsidRDefault="00AC34CB" w:rsidP="00AC34CB">
      <w:pPr>
        <w:jc w:val="both"/>
        <w:rPr>
          <w:rFonts w:eastAsia="Batang"/>
          <w:b/>
          <w:bCs/>
          <w:szCs w:val="22"/>
          <w:u w:val="single"/>
        </w:rPr>
      </w:pPr>
      <w:r w:rsidRPr="00730456">
        <w:rPr>
          <w:b/>
          <w:szCs w:val="22"/>
          <w:u w:val="single"/>
        </w:rPr>
        <w:t>5. Taille du fichier</w:t>
      </w:r>
    </w:p>
    <w:p w14:paraId="16E7B21F" w14:textId="77777777" w:rsidR="00AC34CB" w:rsidRPr="00730456" w:rsidRDefault="00AC34CB" w:rsidP="00AC34CB">
      <w:pPr>
        <w:spacing w:after="240"/>
        <w:jc w:val="both"/>
        <w:rPr>
          <w:rFonts w:eastAsia="Batang"/>
          <w:szCs w:val="22"/>
          <w:u w:val="single"/>
        </w:rPr>
      </w:pPr>
      <w:r w:rsidRPr="00730456">
        <w:rPr>
          <w:szCs w:val="22"/>
          <w:u w:val="single"/>
        </w:rPr>
        <w:t>Objectif</w:t>
      </w:r>
      <w:r>
        <w:rPr>
          <w:szCs w:val="22"/>
          <w:u w:val="single"/>
        </w:rPr>
        <w:t> :</w:t>
      </w:r>
      <w:r w:rsidRPr="00730456">
        <w:rPr>
          <w:szCs w:val="22"/>
          <w:u w:val="single"/>
        </w:rPr>
        <w:t xml:space="preserve"> Ce critère garantit la performance des systèmes de traitement, de stockage et de publication des données.</w:t>
      </w:r>
    </w:p>
    <w:p w14:paraId="51A8FDF1" w14:textId="77777777" w:rsidR="00AC34CB" w:rsidRDefault="00AC34CB" w:rsidP="00AC34CB">
      <w:pPr>
        <w:spacing w:after="340"/>
        <w:jc w:val="both"/>
        <w:rPr>
          <w:rFonts w:eastAsia="Batang"/>
          <w:szCs w:val="22"/>
          <w:u w:val="single"/>
        </w:rPr>
      </w:pPr>
      <w:r w:rsidRPr="00730456">
        <w:rPr>
          <w:szCs w:val="22"/>
          <w:u w:val="single"/>
        </w:rPr>
        <w:t>Solution</w:t>
      </w:r>
      <w:r>
        <w:rPr>
          <w:szCs w:val="22"/>
          <w:u w:val="single"/>
        </w:rPr>
        <w:t> :</w:t>
      </w:r>
      <w:r w:rsidRPr="00730456">
        <w:rPr>
          <w:szCs w:val="22"/>
          <w:u w:val="single"/>
        </w:rPr>
        <w:t xml:space="preserve"> Les restrictions relatives à la taille des fichiers pour le stockage, le traitement et la publication de ces objets ont été prises en considération</w:t>
      </w:r>
      <w:r>
        <w:rPr>
          <w:szCs w:val="22"/>
          <w:u w:val="single"/>
        </w:rPr>
        <w:t xml:space="preserve">.  </w:t>
      </w:r>
      <w:r w:rsidRPr="00730456">
        <w:rPr>
          <w:szCs w:val="22"/>
          <w:u w:val="single"/>
        </w:rPr>
        <w:t>Pour certains des objectifs mentionnés, les formats qui stockent les informations nécessaires dans des fichiers plus petits ont été privilégiés.</w:t>
      </w:r>
    </w:p>
    <w:p w14:paraId="5B22E69C" w14:textId="77777777" w:rsidR="00AC34CB" w:rsidRDefault="00AC34CB" w:rsidP="00AC34CB">
      <w:pPr>
        <w:spacing w:before="720" w:after="240"/>
        <w:ind w:left="5533" w:right="11"/>
        <w:rPr>
          <w:rFonts w:eastAsia="Batang"/>
          <w:szCs w:val="22"/>
          <w:u w:val="single"/>
        </w:rPr>
      </w:pPr>
      <w:r w:rsidRPr="00730456">
        <w:rPr>
          <w:szCs w:val="22"/>
        </w:rPr>
        <w:t>[Fin de l</w:t>
      </w:r>
      <w:r>
        <w:rPr>
          <w:szCs w:val="22"/>
        </w:rPr>
        <w:t>’</w:t>
      </w:r>
      <w:r w:rsidRPr="00730456">
        <w:rPr>
          <w:szCs w:val="22"/>
          <w:u w:val="single"/>
        </w:rPr>
        <w:t>annexe relative à la norme</w:t>
      </w:r>
      <w:r>
        <w:rPr>
          <w:szCs w:val="22"/>
          <w:u w:val="single"/>
        </w:rPr>
        <w:t> </w:t>
      </w:r>
      <w:r w:rsidRPr="00730456">
        <w:rPr>
          <w:szCs w:val="22"/>
          <w:u w:val="single"/>
        </w:rPr>
        <w:t>ST.91 et de</w:t>
      </w:r>
      <w:r w:rsidRPr="00730456">
        <w:rPr>
          <w:szCs w:val="22"/>
        </w:rPr>
        <w:t xml:space="preserve"> la norme]</w:t>
      </w:r>
    </w:p>
    <w:p w14:paraId="0E99CCC5" w14:textId="586C6879" w:rsidR="000F5E56" w:rsidRPr="00AC34CB" w:rsidRDefault="00AC34CB" w:rsidP="00AC34CB">
      <w:pPr>
        <w:spacing w:before="240"/>
        <w:ind w:left="5533"/>
        <w:jc w:val="both"/>
        <w:rPr>
          <w:rFonts w:eastAsia="Batang"/>
          <w:szCs w:val="22"/>
          <w:u w:val="single"/>
        </w:rPr>
      </w:pPr>
      <w:r w:rsidRPr="00730456">
        <w:rPr>
          <w:szCs w:val="22"/>
        </w:rPr>
        <w:t>[Fin de l</w:t>
      </w:r>
      <w:r>
        <w:rPr>
          <w:szCs w:val="22"/>
        </w:rPr>
        <w:t>’</w:t>
      </w:r>
      <w:r w:rsidRPr="00730456">
        <w:rPr>
          <w:szCs w:val="22"/>
        </w:rPr>
        <w:t>annexe et du document]</w:t>
      </w:r>
    </w:p>
    <w:sectPr w:rsidR="000F5E56" w:rsidRPr="00AC34CB" w:rsidSect="00AC34C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EA27" w14:textId="77777777" w:rsidR="00AC34CB" w:rsidRDefault="00AC34CB">
      <w:r>
        <w:separator/>
      </w:r>
    </w:p>
  </w:endnote>
  <w:endnote w:type="continuationSeparator" w:id="0">
    <w:p w14:paraId="5FFDE0FA" w14:textId="77777777" w:rsidR="00AC34CB" w:rsidRPr="009D30E6" w:rsidRDefault="00AC34CB" w:rsidP="00D45252">
      <w:pPr>
        <w:rPr>
          <w:sz w:val="17"/>
          <w:szCs w:val="17"/>
        </w:rPr>
      </w:pPr>
      <w:r w:rsidRPr="009D30E6">
        <w:rPr>
          <w:sz w:val="17"/>
          <w:szCs w:val="17"/>
        </w:rPr>
        <w:separator/>
      </w:r>
    </w:p>
    <w:p w14:paraId="29ACD2C1" w14:textId="77777777" w:rsidR="00AC34CB" w:rsidRPr="009D30E6" w:rsidRDefault="00AC34CB" w:rsidP="00D45252">
      <w:pPr>
        <w:spacing w:after="60"/>
        <w:rPr>
          <w:sz w:val="17"/>
          <w:szCs w:val="17"/>
        </w:rPr>
      </w:pPr>
      <w:r w:rsidRPr="009D30E6">
        <w:rPr>
          <w:sz w:val="17"/>
          <w:szCs w:val="17"/>
        </w:rPr>
        <w:t>[Suite de la note de la page précédente]</w:t>
      </w:r>
    </w:p>
  </w:endnote>
  <w:endnote w:type="continuationNotice" w:id="1">
    <w:p w14:paraId="27153AD2" w14:textId="77777777" w:rsidR="00AC34CB" w:rsidRPr="009D30E6" w:rsidRDefault="00AC34C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DE06" w14:textId="41EC0399" w:rsidR="00AA1F20" w:rsidRDefault="00AA1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CD2E" w14:textId="5223C93D" w:rsidR="00AA1F20" w:rsidRDefault="00AA1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0092" w14:textId="126F47D7" w:rsidR="00AA1F20" w:rsidRDefault="00AA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EADD" w14:textId="77777777" w:rsidR="00AC34CB" w:rsidRDefault="00AC34CB">
      <w:r>
        <w:separator/>
      </w:r>
    </w:p>
  </w:footnote>
  <w:footnote w:type="continuationSeparator" w:id="0">
    <w:p w14:paraId="0343B5C4" w14:textId="77777777" w:rsidR="00AC34CB" w:rsidRDefault="00AC34CB" w:rsidP="007461F1">
      <w:r>
        <w:separator/>
      </w:r>
    </w:p>
    <w:p w14:paraId="57A0E177" w14:textId="77777777" w:rsidR="00AC34CB" w:rsidRPr="009D30E6" w:rsidRDefault="00AC34CB" w:rsidP="007461F1">
      <w:pPr>
        <w:spacing w:after="60"/>
        <w:rPr>
          <w:sz w:val="17"/>
          <w:szCs w:val="17"/>
        </w:rPr>
      </w:pPr>
      <w:r w:rsidRPr="009D30E6">
        <w:rPr>
          <w:sz w:val="17"/>
          <w:szCs w:val="17"/>
        </w:rPr>
        <w:t>[Suite de la note de la page précédente]</w:t>
      </w:r>
    </w:p>
  </w:footnote>
  <w:footnote w:type="continuationNotice" w:id="1">
    <w:p w14:paraId="76D0695F" w14:textId="77777777" w:rsidR="00AC34CB" w:rsidRPr="009D30E6" w:rsidRDefault="00AC34CB" w:rsidP="007461F1">
      <w:pPr>
        <w:spacing w:before="60"/>
        <w:jc w:val="right"/>
        <w:rPr>
          <w:sz w:val="17"/>
          <w:szCs w:val="17"/>
        </w:rPr>
      </w:pPr>
      <w:r w:rsidRPr="009D30E6">
        <w:rPr>
          <w:sz w:val="17"/>
          <w:szCs w:val="17"/>
        </w:rPr>
        <w:t>[Suite de la note page suivante]</w:t>
      </w:r>
    </w:p>
  </w:footnote>
  <w:footnote w:id="2">
    <w:p w14:paraId="4350E451" w14:textId="77777777" w:rsidR="00AC34CB" w:rsidRPr="00730456" w:rsidRDefault="00AC34CB" w:rsidP="00AC34CB">
      <w:pPr>
        <w:spacing w:after="340"/>
        <w:rPr>
          <w:rFonts w:eastAsia="Batang"/>
          <w:sz w:val="18"/>
          <w:szCs w:val="18"/>
          <w:u w:val="single"/>
        </w:rPr>
      </w:pPr>
      <w:r w:rsidRPr="00730456">
        <w:rPr>
          <w:rStyle w:val="FootnoteReference"/>
          <w:sz w:val="18"/>
          <w:szCs w:val="18"/>
          <w:u w:val="single"/>
        </w:rPr>
        <w:footnoteRef/>
      </w:r>
      <w:r w:rsidRPr="00730456">
        <w:rPr>
          <w:sz w:val="18"/>
          <w:szCs w:val="18"/>
          <w:u w:val="single"/>
        </w:rPr>
        <w:t xml:space="preserve"> </w:t>
      </w:r>
      <w:r>
        <w:rPr>
          <w:sz w:val="18"/>
          <w:szCs w:val="18"/>
          <w:u w:val="single"/>
        </w:rPr>
        <w:tab/>
      </w:r>
      <w:r w:rsidRPr="00730456">
        <w:rPr>
          <w:sz w:val="18"/>
          <w:szCs w:val="18"/>
          <w:u w:val="single"/>
        </w:rPr>
        <w:t>Voir https://www.wipo.int/export/sites/www/standards/fr/pdf/surveys/3dmodels/analysis.pdf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AC7" w14:textId="77777777" w:rsidR="00C44EC5" w:rsidRDefault="00C44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62FC" w14:textId="77777777" w:rsidR="00AC34CB" w:rsidRPr="008656FC" w:rsidRDefault="00AC34CB" w:rsidP="00AC34CB">
    <w:pPr>
      <w:pStyle w:val="Header"/>
      <w:jc w:val="right"/>
      <w:rPr>
        <w:szCs w:val="22"/>
      </w:rPr>
    </w:pPr>
    <w:r>
      <w:t>CWS/12/20</w:t>
    </w:r>
  </w:p>
  <w:p w14:paraId="3A87FE37" w14:textId="7958024C" w:rsidR="004F4E31" w:rsidRPr="00AC34CB" w:rsidRDefault="00AC34CB" w:rsidP="00AC34CB">
    <w:pPr>
      <w:pStyle w:val="Header"/>
      <w:spacing w:after="480"/>
      <w:jc w:val="right"/>
      <w:rPr>
        <w:szCs w:val="22"/>
      </w:rPr>
    </w:pPr>
    <w:r>
      <w:t>Annexe, page </w:t>
    </w:r>
    <w:r>
      <w:fldChar w:fldCharType="begin"/>
    </w:r>
    <w:r>
      <w:instrText xml:space="preserve"> PAGE  \* Arabic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7F4D" w14:textId="77777777" w:rsidR="00C44EC5" w:rsidRDefault="00C44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DAC5E02"/>
    <w:lvl w:ilvl="0">
      <w:start w:val="1"/>
      <w:numFmt w:val="decimal"/>
      <w:lvlText w:val="%1."/>
      <w:lvlJc w:val="left"/>
      <w:pPr>
        <w:tabs>
          <w:tab w:val="num" w:pos="1440"/>
        </w:tabs>
        <w:ind w:left="1440" w:hanging="360"/>
      </w:p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993B4C"/>
    <w:multiLevelType w:val="multilevel"/>
    <w:tmpl w:val="1C1825A0"/>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C52E59"/>
    <w:multiLevelType w:val="multilevel"/>
    <w:tmpl w:val="BCCC8D86"/>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num w:numId="1" w16cid:durableId="1398548192">
    <w:abstractNumId w:val="4"/>
  </w:num>
  <w:num w:numId="2" w16cid:durableId="1870607316">
    <w:abstractNumId w:val="7"/>
  </w:num>
  <w:num w:numId="3" w16cid:durableId="844322595">
    <w:abstractNumId w:val="1"/>
  </w:num>
  <w:num w:numId="4" w16cid:durableId="1456631763">
    <w:abstractNumId w:val="8"/>
  </w:num>
  <w:num w:numId="5" w16cid:durableId="628778745">
    <w:abstractNumId w:val="3"/>
  </w:num>
  <w:num w:numId="6" w16cid:durableId="670451745">
    <w:abstractNumId w:val="5"/>
  </w:num>
  <w:num w:numId="7" w16cid:durableId="472797755">
    <w:abstractNumId w:val="2"/>
  </w:num>
  <w:num w:numId="8" w16cid:durableId="1996255613">
    <w:abstractNumId w:val="0"/>
  </w:num>
  <w:num w:numId="9" w16cid:durableId="391469903">
    <w:abstractNumId w:val="6"/>
  </w:num>
  <w:num w:numId="10" w16cid:durableId="1012996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CB"/>
    <w:rsid w:val="00011B7D"/>
    <w:rsid w:val="00075432"/>
    <w:rsid w:val="000F5E56"/>
    <w:rsid w:val="001352EC"/>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74CD6"/>
    <w:rsid w:val="009D30E6"/>
    <w:rsid w:val="009E3F6F"/>
    <w:rsid w:val="009F499F"/>
    <w:rsid w:val="00A02BD3"/>
    <w:rsid w:val="00AA1F20"/>
    <w:rsid w:val="00AC0AE4"/>
    <w:rsid w:val="00AC34CB"/>
    <w:rsid w:val="00AD61DB"/>
    <w:rsid w:val="00B87BCF"/>
    <w:rsid w:val="00BA62D4"/>
    <w:rsid w:val="00C153FD"/>
    <w:rsid w:val="00C40E15"/>
    <w:rsid w:val="00C44EC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1E132"/>
  <w15:docId w15:val="{8816C1D1-5E87-41A5-81A1-1D1FEB0C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istParagraph1">
    <w:name w:val="List Paragraph1"/>
    <w:rsid w:val="00AC34CB"/>
    <w:pPr>
      <w:ind w:left="720"/>
    </w:pPr>
    <w:rPr>
      <w:lang w:val="fr-FR" w:eastAsia="ru-RU"/>
    </w:rPr>
  </w:style>
  <w:style w:type="character" w:customStyle="1" w:styleId="Heading3Char">
    <w:name w:val="Heading 3 Char"/>
    <w:basedOn w:val="DefaultParagraphFont"/>
    <w:link w:val="Heading3"/>
    <w:uiPriority w:val="9"/>
    <w:rsid w:val="00AC34CB"/>
    <w:rPr>
      <w:rFonts w:ascii="Arial" w:eastAsia="SimSun" w:hAnsi="Arial" w:cs="Arial"/>
      <w:bCs/>
      <w:sz w:val="22"/>
      <w:szCs w:val="26"/>
      <w:u w:val="single"/>
      <w:lang w:eastAsia="zh-CN"/>
    </w:rPr>
  </w:style>
  <w:style w:type="character" w:customStyle="1" w:styleId="Heading1Char">
    <w:name w:val="Heading 1 Char"/>
    <w:basedOn w:val="DefaultParagraphFont"/>
    <w:link w:val="Heading1"/>
    <w:uiPriority w:val="9"/>
    <w:rsid w:val="00AC34C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AC34CB"/>
    <w:rPr>
      <w:rFonts w:ascii="Arial" w:eastAsia="SimSun" w:hAnsi="Arial" w:cs="Arial"/>
      <w:bCs/>
      <w:iCs/>
      <w:caps/>
      <w:sz w:val="22"/>
      <w:szCs w:val="28"/>
      <w:lang w:eastAsia="zh-CN"/>
    </w:rPr>
  </w:style>
  <w:style w:type="character" w:customStyle="1" w:styleId="ONUMEChar">
    <w:name w:val="ONUM E Char"/>
    <w:link w:val="ONUME"/>
    <w:rsid w:val="00AC34CB"/>
    <w:rPr>
      <w:rFonts w:ascii="Arial" w:eastAsia="SimSun" w:hAnsi="Arial" w:cs="Arial"/>
      <w:sz w:val="22"/>
      <w:lang w:eastAsia="zh-CN"/>
    </w:rPr>
  </w:style>
  <w:style w:type="paragraph" w:styleId="ListParagraph">
    <w:name w:val="List Paragraph"/>
    <w:basedOn w:val="Normal"/>
    <w:uiPriority w:val="34"/>
    <w:qFormat/>
    <w:rsid w:val="00AC34CB"/>
    <w:pPr>
      <w:ind w:left="720"/>
      <w:contextualSpacing/>
    </w:pPr>
    <w:rPr>
      <w:rFonts w:eastAsia="Times New Roman"/>
      <w:lang w:val="fr-FR" w:eastAsia="en-US"/>
    </w:rPr>
  </w:style>
  <w:style w:type="character" w:styleId="Hyperlink">
    <w:name w:val="Hyperlink"/>
    <w:basedOn w:val="DefaultParagraphFont"/>
    <w:uiPriority w:val="99"/>
    <w:unhideWhenUsed/>
    <w:rsid w:val="00AC34CB"/>
    <w:rPr>
      <w:color w:val="0000FF"/>
      <w:u w:val="single"/>
    </w:rPr>
  </w:style>
  <w:style w:type="character" w:styleId="FootnoteReference">
    <w:name w:val="footnote reference"/>
    <w:basedOn w:val="DefaultParagraphFont"/>
    <w:uiPriority w:val="99"/>
    <w:semiHidden/>
    <w:unhideWhenUsed/>
    <w:rsid w:val="00AC34CB"/>
    <w:rPr>
      <w:vertAlign w:val="superscript"/>
    </w:rPr>
  </w:style>
  <w:style w:type="character" w:customStyle="1" w:styleId="HeaderChar">
    <w:name w:val="Header Char"/>
    <w:basedOn w:val="DefaultParagraphFont"/>
    <w:link w:val="Header"/>
    <w:uiPriority w:val="99"/>
    <w:rsid w:val="00AC34C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10-00.pdf" TargetMode="External"/><Relationship Id="rId13" Type="http://schemas.openxmlformats.org/officeDocument/2006/relationships/hyperlink" Target="https://www.wipo.int/export/sites/www/standards/en/pdf/03-81-01.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wipo.int/export/sites/www/standards/en/pdf/03-09-01.pdf" TargetMode="External"/><Relationship Id="rId12" Type="http://schemas.openxmlformats.org/officeDocument/2006/relationships/hyperlink" Target="https://www.wipo.int/export/sites/www/standards/en/pdf/03-80-01.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so.org/obp/u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xport/sites/www/standards/en/pdf/03-67-01.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export/sites/www/standards/fr/pdf/03-96-01.pdf" TargetMode="External"/><Relationship Id="rId23" Type="http://schemas.openxmlformats.org/officeDocument/2006/relationships/fontTable" Target="fontTable.xml"/><Relationship Id="rId10" Type="http://schemas.openxmlformats.org/officeDocument/2006/relationships/hyperlink" Target="https://www.wipo.int/export/sites/www/standards/en/pdf/03-63-0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po.int/export/sites/www/standards/en/pdf/03-60-01.pdf" TargetMode="External"/><Relationship Id="rId14" Type="http://schemas.openxmlformats.org/officeDocument/2006/relationships/hyperlink" Target="https://www.wipo.int/export/sites/www/standards/fr/pdf/03-88-01.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7</TotalTime>
  <Pages>5</Pages>
  <Words>1624</Words>
  <Characters>10097</Characters>
  <Application>Microsoft Office Word</Application>
  <DocSecurity>0</DocSecurity>
  <Lines>1262</Lines>
  <Paragraphs>781</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CWS/12/20 Annexe</dc:title>
  <dc:creator>LE GUEN Haude</dc:creator>
  <cp:keywords>FOR OFFICIAL USE ONLY</cp:keywords>
  <cp:lastModifiedBy>LE GUEN Haude</cp:lastModifiedBy>
  <cp:revision>2</cp:revision>
  <cp:lastPrinted>2011-05-19T12:37:00Z</cp:lastPrinted>
  <dcterms:created xsi:type="dcterms:W3CDTF">2024-07-23T14:14:00Z</dcterms:created>
  <dcterms:modified xsi:type="dcterms:W3CDTF">2024-07-23T14:21:00Z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2024-07-23T14:15:15Z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a9eba3c1-4296-4fa6-82a8-f87c7c717ab6</vt:lpwstr>
  </property>
  <property fmtid="{D5CDD505-2E9C-101B-9397-08002B2CF9AE}" pid="14" name="MSIP_Label_20773ee6-353b-4fb9-a59d-0b94c8c67bea_ContentBits">
    <vt:lpwstr>0</vt:lpwstr>
  </property>
</Properties>
</file>