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1FA6" w14:textId="77777777" w:rsidR="008B2CC1" w:rsidRPr="008B2CC1" w:rsidRDefault="00DB0349" w:rsidP="00DB0349">
      <w:pPr>
        <w:spacing w:after="120"/>
        <w:jc w:val="right"/>
      </w:pPr>
      <w:r>
        <w:rPr>
          <w:noProof/>
          <w:lang w:val="en-US" w:eastAsia="en-US"/>
        </w:rPr>
        <w:drawing>
          <wp:inline distT="0" distB="0" distL="0" distR="0" wp14:anchorId="626121B6" wp14:editId="43573F4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05233973" wp14:editId="335F9C2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4BB6E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2C216D8" w14:textId="2502AE8B" w:rsidR="008B2CC1" w:rsidRPr="00DB0349" w:rsidRDefault="00197881" w:rsidP="00DB0349">
      <w:pPr>
        <w:jc w:val="right"/>
        <w:rPr>
          <w:rFonts w:ascii="Arial Black" w:hAnsi="Arial Black"/>
          <w:caps/>
          <w:sz w:val="15"/>
          <w:szCs w:val="15"/>
        </w:rPr>
      </w:pPr>
      <w:r>
        <w:rPr>
          <w:rFonts w:ascii="Arial Black" w:hAnsi="Arial Black"/>
          <w:caps/>
          <w:sz w:val="15"/>
          <w:szCs w:val="15"/>
        </w:rPr>
        <w:t>CWS/1</w:t>
      </w:r>
      <w:r w:rsidR="001352EC">
        <w:rPr>
          <w:rFonts w:ascii="Arial Black" w:hAnsi="Arial Black"/>
          <w:caps/>
          <w:sz w:val="15"/>
          <w:szCs w:val="15"/>
        </w:rPr>
        <w:t>2</w:t>
      </w:r>
      <w:r>
        <w:rPr>
          <w:rFonts w:ascii="Arial Black" w:hAnsi="Arial Black"/>
          <w:caps/>
          <w:sz w:val="15"/>
          <w:szCs w:val="15"/>
        </w:rPr>
        <w:t>/</w:t>
      </w:r>
      <w:bookmarkStart w:id="0" w:name="Code"/>
      <w:bookmarkEnd w:id="0"/>
      <w:r w:rsidR="004C08D0">
        <w:rPr>
          <w:rFonts w:ascii="Arial Black" w:hAnsi="Arial Black"/>
          <w:caps/>
          <w:sz w:val="15"/>
          <w:szCs w:val="15"/>
        </w:rPr>
        <w:t>19</w:t>
      </w:r>
    </w:p>
    <w:p w14:paraId="4AF339C1" w14:textId="6FC400A4"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7261DA">
        <w:rPr>
          <w:rFonts w:ascii="Arial Black" w:hAnsi="Arial Black"/>
          <w:caps/>
          <w:sz w:val="15"/>
          <w:szCs w:val="15"/>
        </w:rPr>
        <w:t> :</w:t>
      </w:r>
      <w:r>
        <w:rPr>
          <w:rFonts w:ascii="Arial Black" w:hAnsi="Arial Black"/>
          <w:caps/>
          <w:sz w:val="15"/>
          <w:szCs w:val="15"/>
        </w:rPr>
        <w:t xml:space="preserve"> </w:t>
      </w:r>
      <w:bookmarkStart w:id="1" w:name="Original"/>
      <w:r w:rsidR="004C08D0">
        <w:rPr>
          <w:rFonts w:ascii="Arial Black" w:hAnsi="Arial Black"/>
          <w:caps/>
          <w:sz w:val="15"/>
          <w:szCs w:val="15"/>
        </w:rPr>
        <w:t>anglais</w:t>
      </w:r>
    </w:p>
    <w:bookmarkEnd w:id="1"/>
    <w:p w14:paraId="6FFB806B" w14:textId="7DBFBD57" w:rsidR="008B2CC1" w:rsidRPr="00197881" w:rsidRDefault="00DB0349" w:rsidP="00DB0349">
      <w:pPr>
        <w:spacing w:after="1200"/>
        <w:jc w:val="right"/>
        <w:rPr>
          <w:rFonts w:ascii="Arial Black" w:hAnsi="Arial Black"/>
          <w:b/>
          <w:caps/>
          <w:sz w:val="28"/>
          <w:szCs w:val="28"/>
        </w:rPr>
      </w:pPr>
      <w:r>
        <w:rPr>
          <w:rFonts w:ascii="Arial Black" w:hAnsi="Arial Black"/>
          <w:caps/>
          <w:sz w:val="15"/>
          <w:szCs w:val="15"/>
        </w:rPr>
        <w:t>date</w:t>
      </w:r>
      <w:r w:rsidR="007261DA">
        <w:rPr>
          <w:rFonts w:ascii="Arial Black" w:hAnsi="Arial Black"/>
          <w:caps/>
          <w:sz w:val="15"/>
          <w:szCs w:val="15"/>
        </w:rPr>
        <w:t> :</w:t>
      </w:r>
      <w:bookmarkStart w:id="2" w:name="Date"/>
      <w:r w:rsidR="004C08D0">
        <w:rPr>
          <w:rFonts w:ascii="Arial Black" w:hAnsi="Arial Black"/>
          <w:caps/>
          <w:sz w:val="15"/>
          <w:szCs w:val="15"/>
        </w:rPr>
        <w:t xml:space="preserve"> 18 </w:t>
      </w:r>
      <w:r w:rsidR="007261DA">
        <w:rPr>
          <w:rFonts w:ascii="Arial Black" w:hAnsi="Arial Black"/>
          <w:caps/>
          <w:sz w:val="15"/>
          <w:szCs w:val="15"/>
        </w:rPr>
        <w:t>juillet 20</w:t>
      </w:r>
      <w:r w:rsidR="004C08D0">
        <w:rPr>
          <w:rFonts w:ascii="Arial Black" w:hAnsi="Arial Black"/>
          <w:caps/>
          <w:sz w:val="15"/>
          <w:szCs w:val="15"/>
        </w:rPr>
        <w:t>24</w:t>
      </w:r>
    </w:p>
    <w:bookmarkEnd w:id="2"/>
    <w:p w14:paraId="1E7A8AE0" w14:textId="1498E86C" w:rsidR="00C40E15" w:rsidRPr="00197881" w:rsidRDefault="00197881" w:rsidP="00DB0349">
      <w:pPr>
        <w:spacing w:after="600"/>
        <w:rPr>
          <w:b/>
          <w:sz w:val="28"/>
          <w:szCs w:val="28"/>
        </w:rPr>
      </w:pPr>
      <w:r w:rsidRPr="00197881">
        <w:rPr>
          <w:b/>
          <w:sz w:val="28"/>
          <w:szCs w:val="28"/>
        </w:rPr>
        <w:t>Comité des normes de l</w:t>
      </w:r>
      <w:r w:rsidR="007261DA">
        <w:rPr>
          <w:b/>
          <w:sz w:val="28"/>
          <w:szCs w:val="28"/>
        </w:rPr>
        <w:t>’</w:t>
      </w:r>
      <w:r w:rsidRPr="00197881">
        <w:rPr>
          <w:b/>
          <w:sz w:val="28"/>
          <w:szCs w:val="28"/>
        </w:rPr>
        <w:t>OMPI (CWS)</w:t>
      </w:r>
    </w:p>
    <w:p w14:paraId="5E2E6C8B" w14:textId="01A24976" w:rsidR="008B2CC1" w:rsidRPr="00197881" w:rsidRDefault="001352EC" w:rsidP="008B2CC1">
      <w:pPr>
        <w:rPr>
          <w:b/>
          <w:sz w:val="28"/>
          <w:szCs w:val="24"/>
        </w:rPr>
      </w:pPr>
      <w:r w:rsidRPr="00197881">
        <w:rPr>
          <w:b/>
          <w:sz w:val="24"/>
        </w:rPr>
        <w:t>D</w:t>
      </w:r>
      <w:r>
        <w:rPr>
          <w:b/>
          <w:sz w:val="24"/>
        </w:rPr>
        <w:t>ouz</w:t>
      </w:r>
      <w:r w:rsidR="007261DA">
        <w:rPr>
          <w:b/>
          <w:sz w:val="24"/>
        </w:rPr>
        <w:t>ième session</w:t>
      </w:r>
    </w:p>
    <w:p w14:paraId="3607010A" w14:textId="4F7FB16F" w:rsidR="008B2CC1" w:rsidRPr="00197881" w:rsidRDefault="00197881" w:rsidP="00DB0349">
      <w:pPr>
        <w:spacing w:after="720"/>
        <w:rPr>
          <w:b/>
          <w:sz w:val="28"/>
          <w:szCs w:val="24"/>
        </w:rPr>
      </w:pPr>
      <w:r w:rsidRPr="00197881">
        <w:rPr>
          <w:b/>
          <w:sz w:val="24"/>
        </w:rPr>
        <w:t>Genève,</w:t>
      </w:r>
      <w:r w:rsidR="001352EC" w:rsidRPr="001352EC">
        <w:rPr>
          <w:b/>
          <w:sz w:val="24"/>
        </w:rPr>
        <w:t xml:space="preserve"> </w:t>
      </w:r>
      <w:r w:rsidR="001352EC">
        <w:rPr>
          <w:b/>
          <w:sz w:val="24"/>
        </w:rPr>
        <w:t xml:space="preserve">16 </w:t>
      </w:r>
      <w:r w:rsidR="001352EC" w:rsidRPr="00197881">
        <w:rPr>
          <w:b/>
          <w:sz w:val="24"/>
        </w:rPr>
        <w:t xml:space="preserve">– </w:t>
      </w:r>
      <w:r w:rsidR="004C08D0">
        <w:rPr>
          <w:b/>
          <w:sz w:val="24"/>
        </w:rPr>
        <w:t>19</w:t>
      </w:r>
      <w:r w:rsidR="008A15C0">
        <w:rPr>
          <w:b/>
          <w:sz w:val="24"/>
        </w:rPr>
        <w:t> </w:t>
      </w:r>
      <w:r w:rsidR="007261DA">
        <w:rPr>
          <w:b/>
          <w:sz w:val="24"/>
        </w:rPr>
        <w:t>septembre </w:t>
      </w:r>
      <w:r w:rsidR="007261DA" w:rsidRPr="00197881">
        <w:rPr>
          <w:b/>
          <w:sz w:val="24"/>
        </w:rPr>
        <w:t>20</w:t>
      </w:r>
      <w:r w:rsidR="001352EC" w:rsidRPr="00197881">
        <w:rPr>
          <w:b/>
          <w:sz w:val="24"/>
        </w:rPr>
        <w:t>2</w:t>
      </w:r>
      <w:r w:rsidR="001352EC">
        <w:rPr>
          <w:b/>
          <w:sz w:val="24"/>
        </w:rPr>
        <w:t>4</w:t>
      </w:r>
    </w:p>
    <w:p w14:paraId="45BFAFBA" w14:textId="65DE95E8" w:rsidR="008B2CC1" w:rsidRPr="00842A13" w:rsidRDefault="004C08D0" w:rsidP="00DB0349">
      <w:pPr>
        <w:spacing w:after="360"/>
        <w:rPr>
          <w:caps/>
          <w:sz w:val="24"/>
        </w:rPr>
      </w:pPr>
      <w:bookmarkStart w:id="3" w:name="TitleOfDoc"/>
      <w:r>
        <w:rPr>
          <w:caps/>
          <w:sz w:val="24"/>
        </w:rPr>
        <w:t>Proposition de révision des normes</w:t>
      </w:r>
      <w:r w:rsidR="008A15C0">
        <w:rPr>
          <w:caps/>
          <w:sz w:val="24"/>
        </w:rPr>
        <w:t> </w:t>
      </w:r>
      <w:r>
        <w:rPr>
          <w:caps/>
          <w:sz w:val="24"/>
        </w:rPr>
        <w:t>ST.27, ST.61 et ST.87 de l</w:t>
      </w:r>
      <w:r w:rsidR="007261DA">
        <w:rPr>
          <w:caps/>
          <w:sz w:val="24"/>
        </w:rPr>
        <w:t>’</w:t>
      </w:r>
      <w:r>
        <w:rPr>
          <w:caps/>
          <w:sz w:val="24"/>
        </w:rPr>
        <w:t>OMPI</w:t>
      </w:r>
    </w:p>
    <w:p w14:paraId="65C55D44" w14:textId="77777777" w:rsidR="00525B63" w:rsidRPr="00C153FD" w:rsidRDefault="004C08D0" w:rsidP="00DB0349">
      <w:pPr>
        <w:spacing w:after="960"/>
        <w:rPr>
          <w:i/>
        </w:rPr>
      </w:pPr>
      <w:bookmarkStart w:id="4" w:name="Prepared"/>
      <w:bookmarkEnd w:id="3"/>
      <w:r>
        <w:rPr>
          <w:i/>
        </w:rPr>
        <w:t>Document établi par le Bureau international</w:t>
      </w:r>
    </w:p>
    <w:bookmarkEnd w:id="4"/>
    <w:p w14:paraId="2836386B" w14:textId="199841EC" w:rsidR="004C08D0" w:rsidRPr="008A15C0" w:rsidRDefault="004C08D0" w:rsidP="008A15C0">
      <w:pPr>
        <w:pStyle w:val="Heading2"/>
      </w:pPr>
      <w:r w:rsidRPr="008A15C0">
        <w:t>R</w:t>
      </w:r>
      <w:r w:rsidR="008A15C0" w:rsidRPr="008A15C0">
        <w:t>ésumé</w:t>
      </w:r>
    </w:p>
    <w:p w14:paraId="27D3FE0B" w14:textId="69D8F40F" w:rsidR="007261DA" w:rsidRDefault="004C08D0" w:rsidP="005B31BD">
      <w:pPr>
        <w:pStyle w:val="ONUMFS"/>
      </w:pPr>
      <w:r>
        <w:t>L</w:t>
      </w:r>
      <w:r w:rsidR="007261DA">
        <w:t>’</w:t>
      </w:r>
      <w:r>
        <w:t>Équipe d</w:t>
      </w:r>
      <w:r w:rsidR="007261DA">
        <w:t>’</w:t>
      </w:r>
      <w:r>
        <w:t>experts chargée de la situation juridique propose de réviser les normes</w:t>
      </w:r>
      <w:r w:rsidR="008A15C0">
        <w:t> </w:t>
      </w:r>
      <w:r>
        <w:t>ST.27, ST.61 et ST.87 de l</w:t>
      </w:r>
      <w:r w:rsidR="007261DA">
        <w:t>’</w:t>
      </w:r>
      <w:r>
        <w:t>OMPI, qui sont liées à des événements relatifs à la situation juridiq</w:t>
      </w:r>
      <w:r w:rsidR="0030591D">
        <w:t>ue</w:t>
      </w:r>
      <w:r w:rsidR="0030591D">
        <w:t xml:space="preserve">.  </w:t>
      </w:r>
      <w:r w:rsidR="0030591D">
        <w:t>La</w:t>
      </w:r>
      <w:r>
        <w:t xml:space="preserve"> révision de la norme</w:t>
      </w:r>
      <w:r w:rsidR="008A15C0">
        <w:t> </w:t>
      </w:r>
      <w:r>
        <w:t>ST.87 de l</w:t>
      </w:r>
      <w:r w:rsidR="007261DA">
        <w:t>’</w:t>
      </w:r>
      <w:r>
        <w:t>OMPI a été proposée par l</w:t>
      </w:r>
      <w:r w:rsidR="007261DA">
        <w:t>’</w:t>
      </w:r>
      <w:r>
        <w:t>équipe d</w:t>
      </w:r>
      <w:r w:rsidR="007261DA">
        <w:t>’</w:t>
      </w:r>
      <w:r>
        <w:t>experts afin d</w:t>
      </w:r>
      <w:r w:rsidR="007261DA">
        <w:t>’</w:t>
      </w:r>
      <w:r>
        <w:t>étoffer les données supplémentaires reproduites à l</w:t>
      </w:r>
      <w:r w:rsidR="007261DA">
        <w:t>’</w:t>
      </w:r>
      <w:r>
        <w:t>annexe</w:t>
      </w:r>
      <w:r w:rsidR="008A15C0">
        <w:t> </w:t>
      </w:r>
      <w:r>
        <w:t>II de la nor</w:t>
      </w:r>
      <w:r w:rsidR="0030591D">
        <w:t>me</w:t>
      </w:r>
      <w:r w:rsidR="0030591D">
        <w:t xml:space="preserve">.  </w:t>
      </w:r>
      <w:r w:rsidR="0030591D">
        <w:t>Le</w:t>
      </w:r>
      <w:r>
        <w:t>s autres révisions proposées visent à faire en sorte que les trois</w:t>
      </w:r>
      <w:r w:rsidR="00FB377C">
        <w:t> </w:t>
      </w:r>
      <w:r>
        <w:t>normes restent alignées.</w:t>
      </w:r>
    </w:p>
    <w:p w14:paraId="1E531E5B" w14:textId="48C77B5A" w:rsidR="004C08D0" w:rsidRPr="008A15C0" w:rsidRDefault="004C08D0" w:rsidP="008A15C0">
      <w:pPr>
        <w:pStyle w:val="Heading2"/>
      </w:pPr>
      <w:r w:rsidRPr="008A15C0">
        <w:t>C</w:t>
      </w:r>
      <w:r w:rsidR="008A15C0" w:rsidRPr="008A15C0">
        <w:t>ontexte</w:t>
      </w:r>
    </w:p>
    <w:p w14:paraId="75C03F27" w14:textId="5B67AF15" w:rsidR="004C08D0" w:rsidRDefault="004C08D0" w:rsidP="005B31BD">
      <w:pPr>
        <w:pStyle w:val="ONUMFS"/>
      </w:pPr>
      <w:r>
        <w:t>L</w:t>
      </w:r>
      <w:r w:rsidR="007261DA">
        <w:t>’</w:t>
      </w:r>
      <w:r>
        <w:t>Équipe d</w:t>
      </w:r>
      <w:r w:rsidR="007261DA">
        <w:t>’</w:t>
      </w:r>
      <w:r>
        <w:t>experts chargée de la situation juridique agit dans le cadre de la tâche n°</w:t>
      </w:r>
      <w:r w:rsidR="008A15C0">
        <w:t> </w:t>
      </w:r>
      <w:r>
        <w:t>47, dont la description est la suivante</w:t>
      </w:r>
      <w:r w:rsidR="007261DA">
        <w:t> :</w:t>
      </w:r>
    </w:p>
    <w:p w14:paraId="6B43C0EA" w14:textId="4999A772" w:rsidR="004C08D0" w:rsidRPr="005B31BD" w:rsidRDefault="004C08D0" w:rsidP="005B31BD">
      <w:pPr>
        <w:pStyle w:val="ONUMFS"/>
        <w:numPr>
          <w:ilvl w:val="0"/>
          <w:numId w:val="0"/>
        </w:numPr>
        <w:ind w:left="567"/>
        <w:rPr>
          <w:i/>
          <w:iCs/>
        </w:rPr>
      </w:pPr>
      <w:r w:rsidRPr="005B31BD">
        <w:rPr>
          <w:i/>
          <w:iCs/>
        </w:rPr>
        <w:t>“Procéder aux révisions et mises à jour nécessaires des normes</w:t>
      </w:r>
      <w:r w:rsidR="008A15C0">
        <w:rPr>
          <w:i/>
          <w:iCs/>
        </w:rPr>
        <w:t> </w:t>
      </w:r>
      <w:r w:rsidRPr="005B31BD">
        <w:rPr>
          <w:i/>
          <w:iCs/>
        </w:rPr>
        <w:t>ST.27, ST.87 et ST.61 de l</w:t>
      </w:r>
      <w:r w:rsidR="007261DA">
        <w:rPr>
          <w:i/>
          <w:iCs/>
        </w:rPr>
        <w:t>’</w:t>
      </w:r>
      <w:r w:rsidRPr="005B31BD">
        <w:rPr>
          <w:i/>
          <w:iCs/>
        </w:rPr>
        <w:t>OMPI;  établir des documents d</w:t>
      </w:r>
      <w:r w:rsidR="007261DA">
        <w:rPr>
          <w:i/>
          <w:iCs/>
        </w:rPr>
        <w:t>’</w:t>
      </w:r>
      <w:r w:rsidRPr="005B31BD">
        <w:rPr>
          <w:i/>
          <w:iCs/>
        </w:rPr>
        <w:t>appui pour faciliter l</w:t>
      </w:r>
      <w:r w:rsidR="007261DA">
        <w:rPr>
          <w:i/>
          <w:iCs/>
        </w:rPr>
        <w:t>’</w:t>
      </w:r>
      <w:r w:rsidRPr="005B31BD">
        <w:rPr>
          <w:i/>
          <w:iCs/>
        </w:rPr>
        <w:t>utilisation de ces normes dans la communauté de la propriété intellectuelle;  et soutenir l</w:t>
      </w:r>
      <w:r w:rsidR="007261DA">
        <w:rPr>
          <w:i/>
          <w:iCs/>
        </w:rPr>
        <w:t>’</w:t>
      </w:r>
      <w:r w:rsidRPr="005B31BD">
        <w:rPr>
          <w:i/>
          <w:iCs/>
        </w:rPr>
        <w:t>Équipe d</w:t>
      </w:r>
      <w:r w:rsidR="007261DA">
        <w:rPr>
          <w:i/>
          <w:iCs/>
        </w:rPr>
        <w:t>’</w:t>
      </w:r>
      <w:r w:rsidRPr="005B31BD">
        <w:rPr>
          <w:i/>
          <w:iCs/>
        </w:rPr>
        <w:t>experts chargée de la norme</w:t>
      </w:r>
      <w:r w:rsidR="008A15C0">
        <w:rPr>
          <w:i/>
          <w:iCs/>
        </w:rPr>
        <w:t> </w:t>
      </w:r>
      <w:r w:rsidRPr="005B31BD">
        <w:rPr>
          <w:i/>
          <w:iCs/>
        </w:rPr>
        <w:t>XML4IP dans l</w:t>
      </w:r>
      <w:r w:rsidR="007261DA">
        <w:rPr>
          <w:i/>
          <w:iCs/>
        </w:rPr>
        <w:t>’</w:t>
      </w:r>
      <w:r w:rsidRPr="005B31BD">
        <w:rPr>
          <w:i/>
          <w:iCs/>
        </w:rPr>
        <w:t>élaboration des composantes du schéma XML pour les données relatives à la situation juridique.”</w:t>
      </w:r>
    </w:p>
    <w:p w14:paraId="214CB3B1" w14:textId="3BF644DE" w:rsidR="004C08D0" w:rsidRDefault="004C08D0" w:rsidP="005B31BD">
      <w:pPr>
        <w:pStyle w:val="ONUMFS"/>
      </w:pPr>
      <w:r>
        <w:t>En étroite collaboration avec l</w:t>
      </w:r>
      <w:r w:rsidR="007261DA">
        <w:t>’</w:t>
      </w:r>
      <w:r>
        <w:t>Équipe d</w:t>
      </w:r>
      <w:r w:rsidR="007261DA">
        <w:t>’</w:t>
      </w:r>
      <w:r>
        <w:t>experts chargée de la norme</w:t>
      </w:r>
      <w:r w:rsidR="008A15C0">
        <w:t> </w:t>
      </w:r>
      <w:r>
        <w:t>XML4IP, l</w:t>
      </w:r>
      <w:r w:rsidR="007261DA">
        <w:t>’</w:t>
      </w:r>
      <w:r>
        <w:t>Équipe d</w:t>
      </w:r>
      <w:r w:rsidR="007261DA">
        <w:t>’</w:t>
      </w:r>
      <w:r>
        <w:t>experts chargée de la situation juridique travaille à la mise à jour de l</w:t>
      </w:r>
      <w:r w:rsidR="007261DA">
        <w:t>’</w:t>
      </w:r>
      <w:r>
        <w:t>annexe</w:t>
      </w:r>
      <w:r w:rsidR="008A15C0">
        <w:t> </w:t>
      </w:r>
      <w:r>
        <w:t>II de la norme</w:t>
      </w:r>
      <w:r w:rsidR="008A15C0">
        <w:t> </w:t>
      </w:r>
      <w:r>
        <w:t>ST.87 de l</w:t>
      </w:r>
      <w:r w:rsidR="007261DA">
        <w:t>’</w:t>
      </w:r>
      <w:r>
        <w:t>OMPI (Données supplémentaires relatives aux événements), pour appuyer l</w:t>
      </w:r>
      <w:r w:rsidR="007261DA">
        <w:t>’</w:t>
      </w:r>
      <w:r>
        <w:t>élaboration du schéma XML pour les événements relatifs à la situation juridique des dessins et modèles industriels.</w:t>
      </w:r>
    </w:p>
    <w:p w14:paraId="5E18AD5F" w14:textId="398FEE0B" w:rsidR="007261DA" w:rsidRDefault="004C08D0" w:rsidP="005B31BD">
      <w:pPr>
        <w:pStyle w:val="ONUMFS"/>
      </w:pPr>
      <w:r>
        <w:t>Les offices de l</w:t>
      </w:r>
      <w:r w:rsidR="007261DA">
        <w:t>’</w:t>
      </w:r>
      <w:r>
        <w:t>Équipe d</w:t>
      </w:r>
      <w:r w:rsidR="007261DA">
        <w:t>’</w:t>
      </w:r>
      <w:r>
        <w:t>experts chargée de la situation juridique ont désigné des experts en dessins et modèles industriels pour passer en revue l</w:t>
      </w:r>
      <w:r w:rsidR="007261DA">
        <w:t>’</w:t>
      </w:r>
      <w:r>
        <w:t>annexe</w:t>
      </w:r>
      <w:r w:rsidR="008A15C0">
        <w:t> </w:t>
      </w:r>
      <w:r>
        <w:t>II de la norme</w:t>
      </w:r>
      <w:r w:rsidR="008A15C0">
        <w:t> </w:t>
      </w:r>
      <w:r>
        <w:t xml:space="preserve">ST.87 de </w:t>
      </w:r>
      <w:r>
        <w:lastRenderedPageBreak/>
        <w:t>l</w:t>
      </w:r>
      <w:r w:rsidR="007261DA">
        <w:t>’</w:t>
      </w:r>
      <w:r>
        <w:t>OMPI, afin de déterminer s</w:t>
      </w:r>
      <w:r w:rsidR="007261DA">
        <w:t>’</w:t>
      </w:r>
      <w:r>
        <w:t>il existe des lacunes dans les données supplémentaires déjà saisies dans cette annexe pour chacune des catégories énuméré</w:t>
      </w:r>
      <w:r w:rsidR="0030591D">
        <w:t>es</w:t>
      </w:r>
      <w:r w:rsidR="0030591D">
        <w:t xml:space="preserve">.  </w:t>
      </w:r>
      <w:r w:rsidR="0030591D">
        <w:t>Ce</w:t>
      </w:r>
      <w:r>
        <w:t>t examen a abouti aux révisions proposées dans le présent document, qui ont fait l</w:t>
      </w:r>
      <w:r w:rsidR="007261DA">
        <w:t>’</w:t>
      </w:r>
      <w:r>
        <w:t>objet d</w:t>
      </w:r>
      <w:r w:rsidR="007261DA">
        <w:t>’</w:t>
      </w:r>
      <w:r>
        <w:t>un accord.</w:t>
      </w:r>
    </w:p>
    <w:p w14:paraId="2972D1A6" w14:textId="4317C827" w:rsidR="007261DA" w:rsidRDefault="004C08D0" w:rsidP="005B31BD">
      <w:pPr>
        <w:pStyle w:val="ONUMFS"/>
      </w:pPr>
      <w:r>
        <w:t>Une fois la révision de la norme</w:t>
      </w:r>
      <w:r w:rsidR="008A15C0">
        <w:t> </w:t>
      </w:r>
      <w:r>
        <w:t>ST.87 de l</w:t>
      </w:r>
      <w:r w:rsidR="007261DA">
        <w:t>’</w:t>
      </w:r>
      <w:r>
        <w:t>OMPI approuvée par l</w:t>
      </w:r>
      <w:r w:rsidR="007261DA">
        <w:t>’</w:t>
      </w:r>
      <w:r>
        <w:t>Équipe d</w:t>
      </w:r>
      <w:r w:rsidR="007261DA">
        <w:t>’</w:t>
      </w:r>
      <w:r>
        <w:t>experts chargée de la situation juridique, le Bureau international, en sa qualité de responsable de l</w:t>
      </w:r>
      <w:r w:rsidR="007261DA">
        <w:t>’</w:t>
      </w:r>
      <w:r>
        <w:t>équipe d</w:t>
      </w:r>
      <w:r w:rsidR="007261DA">
        <w:t>’</w:t>
      </w:r>
      <w:r>
        <w:t>experts, a examiné les normes</w:t>
      </w:r>
      <w:r w:rsidR="008A15C0">
        <w:t> </w:t>
      </w:r>
      <w:r>
        <w:t>ST.27 et ST.61 de l</w:t>
      </w:r>
      <w:r w:rsidR="007261DA">
        <w:t>’</w:t>
      </w:r>
      <w:r>
        <w:t>OMPI et a proposé des modifications à apporter aux deux</w:t>
      </w:r>
      <w:r w:rsidR="00FB377C">
        <w:t> </w:t>
      </w:r>
      <w:r>
        <w:t>normes, afin que celles</w:t>
      </w:r>
      <w:r w:rsidR="007261DA">
        <w:t>-</w:t>
      </w:r>
      <w:r>
        <w:t>ci restent conformes à la révision de la norme</w:t>
      </w:r>
      <w:r w:rsidR="008A15C0">
        <w:t> </w:t>
      </w:r>
      <w:r>
        <w:t>ST.87.</w:t>
      </w:r>
    </w:p>
    <w:p w14:paraId="52747BA8" w14:textId="02665ECE" w:rsidR="004C08D0" w:rsidRDefault="004C08D0" w:rsidP="004C08D0">
      <w:pPr>
        <w:pStyle w:val="Heading2"/>
      </w:pPr>
      <w:r>
        <w:t>Proposition de révision de la norme</w:t>
      </w:r>
      <w:r w:rsidR="00FB377C">
        <w:t> </w:t>
      </w:r>
      <w:r>
        <w:t>ST.87 de l</w:t>
      </w:r>
      <w:r w:rsidR="007261DA">
        <w:t>’</w:t>
      </w:r>
      <w:r>
        <w:t>OMPI</w:t>
      </w:r>
    </w:p>
    <w:p w14:paraId="4C1BB30D" w14:textId="0F97B4B9" w:rsidR="007261DA" w:rsidRDefault="004C08D0" w:rsidP="005B31BD">
      <w:pPr>
        <w:pStyle w:val="ONUMFS"/>
      </w:pPr>
      <w:r>
        <w:t>L</w:t>
      </w:r>
      <w:r w:rsidR="007261DA">
        <w:t>’</w:t>
      </w:r>
      <w:r>
        <w:t>Équipe d</w:t>
      </w:r>
      <w:r w:rsidR="007261DA">
        <w:t>’</w:t>
      </w:r>
      <w:r>
        <w:t>experts chargée de la situation juridique a établi une proposition de révision de la norme ST.87 de l</w:t>
      </w:r>
      <w:r w:rsidR="007261DA">
        <w:t>’</w:t>
      </w:r>
      <w:r>
        <w:t>OMPI pour examen et, le cas échéant, pour approbation par le CWS, qui est reproduite à l</w:t>
      </w:r>
      <w:r w:rsidR="007261DA">
        <w:t>’annexe I</w:t>
      </w:r>
      <w:r>
        <w:t xml:space="preserve"> du présent document en mode “suivi des modifications”.  À l</w:t>
      </w:r>
      <w:r w:rsidR="007261DA">
        <w:t>’</w:t>
      </w:r>
      <w:r>
        <w:t>annexe I, le texte barré indique une suppression et le texte souligné indique un ajout.</w:t>
      </w:r>
    </w:p>
    <w:p w14:paraId="61B16401" w14:textId="314195EB" w:rsidR="007261DA" w:rsidRDefault="004C08D0" w:rsidP="005B31BD">
      <w:pPr>
        <w:pStyle w:val="ONUMFS"/>
        <w:contextualSpacing/>
      </w:pPr>
      <w:r>
        <w:t>Les propositions de modification de la norme</w:t>
      </w:r>
      <w:r w:rsidR="008A15C0">
        <w:t> </w:t>
      </w:r>
      <w:r>
        <w:t>ST.87 peuvent être résumées comme suit</w:t>
      </w:r>
      <w:r w:rsidR="007261DA">
        <w:t> :</w:t>
      </w:r>
    </w:p>
    <w:p w14:paraId="248A1952" w14:textId="025D4112" w:rsidR="007261DA" w:rsidRDefault="004C08D0" w:rsidP="005B31BD">
      <w:pPr>
        <w:pStyle w:val="ONUMFS"/>
        <w:numPr>
          <w:ilvl w:val="0"/>
          <w:numId w:val="10"/>
        </w:numPr>
        <w:ind w:left="1134" w:hanging="567"/>
        <w:contextualSpacing/>
      </w:pPr>
      <w:r>
        <w:t>Mise à jour de la liste des références pour ajouter une référence à la norme</w:t>
      </w:r>
      <w:r w:rsidR="008A15C0">
        <w:t> </w:t>
      </w:r>
      <w:r>
        <w:t>ST.96 de l</w:t>
      </w:r>
      <w:r w:rsidR="007261DA">
        <w:t>’</w:t>
      </w:r>
      <w:r>
        <w:t>OMPI;</w:t>
      </w:r>
    </w:p>
    <w:p w14:paraId="7FC19D49" w14:textId="6AF8EDE5" w:rsidR="004C08D0" w:rsidRDefault="004C08D0" w:rsidP="005B31BD">
      <w:pPr>
        <w:pStyle w:val="ONUMFS"/>
        <w:numPr>
          <w:ilvl w:val="0"/>
          <w:numId w:val="10"/>
        </w:numPr>
        <w:ind w:left="1134" w:hanging="567"/>
        <w:contextualSpacing/>
      </w:pPr>
      <w:r>
        <w:t>Précisions apportées au paragraphe 48 concernant les données supplémentaires communiquées à l</w:t>
      </w:r>
      <w:r w:rsidR="007261DA">
        <w:t>’</w:t>
      </w:r>
      <w:r>
        <w:t>annexe II;</w:t>
      </w:r>
    </w:p>
    <w:p w14:paraId="41E7DD45" w14:textId="1514609A" w:rsidR="005B31BD" w:rsidRDefault="004C08D0" w:rsidP="005B31BD">
      <w:pPr>
        <w:pStyle w:val="ONUMFS"/>
        <w:numPr>
          <w:ilvl w:val="0"/>
          <w:numId w:val="10"/>
        </w:numPr>
        <w:ind w:left="1134" w:hanging="567"/>
        <w:contextualSpacing/>
      </w:pPr>
      <w:r>
        <w:t>Mise à jour de l</w:t>
      </w:r>
      <w:r w:rsidR="007261DA">
        <w:t>’</w:t>
      </w:r>
      <w:r>
        <w:t>annexe II afin de fournir de nouvelles données supplémentaires pour les catégories proposées;  et</w:t>
      </w:r>
    </w:p>
    <w:p w14:paraId="7A38CBB5" w14:textId="7F9F5F3B" w:rsidR="007261DA" w:rsidRDefault="004C08D0" w:rsidP="005B31BD">
      <w:pPr>
        <w:pStyle w:val="ONUMFS"/>
        <w:numPr>
          <w:ilvl w:val="0"/>
          <w:numId w:val="10"/>
        </w:numPr>
        <w:ind w:left="1134" w:hanging="567"/>
      </w:pPr>
      <w:r>
        <w:t>Quelques mises à jour d</w:t>
      </w:r>
      <w:r w:rsidR="007261DA">
        <w:t>’</w:t>
      </w:r>
      <w:r>
        <w:t>ordre rédactionnel.</w:t>
      </w:r>
    </w:p>
    <w:p w14:paraId="10A5EBC9" w14:textId="2C4FC820" w:rsidR="004C08D0" w:rsidRDefault="004C08D0" w:rsidP="004C08D0">
      <w:pPr>
        <w:pStyle w:val="Heading2"/>
      </w:pPr>
      <w:r>
        <w:t>Proposition de révision des normes</w:t>
      </w:r>
      <w:r w:rsidR="00FB377C">
        <w:t> </w:t>
      </w:r>
      <w:r>
        <w:t>ST.27 et ST.61 de l</w:t>
      </w:r>
      <w:r w:rsidR="007261DA">
        <w:t>’</w:t>
      </w:r>
      <w:r>
        <w:t>OMPI</w:t>
      </w:r>
    </w:p>
    <w:p w14:paraId="485337F0" w14:textId="25E4CB38" w:rsidR="004C08D0" w:rsidRDefault="004C08D0" w:rsidP="00D61DBD">
      <w:pPr>
        <w:pStyle w:val="ONUMFS"/>
      </w:pPr>
      <w:r>
        <w:t>Le Bureau international a établi une proposition de révision des normes</w:t>
      </w:r>
      <w:r w:rsidR="008A15C0">
        <w:t> </w:t>
      </w:r>
      <w:r>
        <w:t>ST.27 et ST.61 de l</w:t>
      </w:r>
      <w:r w:rsidR="007261DA">
        <w:t>’</w:t>
      </w:r>
      <w:r>
        <w:t>OMPI, découlant de la révision de la norme</w:t>
      </w:r>
      <w:r w:rsidR="008A15C0">
        <w:t> </w:t>
      </w:r>
      <w:r>
        <w:t>ST.87 de l</w:t>
      </w:r>
      <w:r w:rsidR="007261DA">
        <w:t>’</w:t>
      </w:r>
      <w:r>
        <w:t>OMPI et de l</w:t>
      </w:r>
      <w:r w:rsidR="007261DA">
        <w:t>’</w:t>
      </w:r>
      <w:r>
        <w:t>alignement des normes concernant la situation juridiq</w:t>
      </w:r>
      <w:r w:rsidR="0030591D">
        <w:t>ue</w:t>
      </w:r>
      <w:r w:rsidR="0030591D">
        <w:t xml:space="preserve">.  </w:t>
      </w:r>
      <w:r w:rsidR="0030591D">
        <w:t>To</w:t>
      </w:r>
      <w:r>
        <w:t>utes les modifications sont indiquées dans leur intégralité, respectivement dans les annexes II et III du présent document, en mode “suivi des modifications”.  Dans les annexes II et III, le texte barré indique une suppression et le texte souligné indique un ajout.</w:t>
      </w:r>
    </w:p>
    <w:p w14:paraId="3B95DBB0" w14:textId="5EF225E9" w:rsidR="004C08D0" w:rsidRDefault="004C08D0" w:rsidP="00D61DBD">
      <w:pPr>
        <w:pStyle w:val="ONUMFS"/>
      </w:pPr>
      <w:r>
        <w:t>Les propositions de modification des normes</w:t>
      </w:r>
      <w:r w:rsidR="008A15C0">
        <w:t> </w:t>
      </w:r>
      <w:r>
        <w:t>ST.27 et ST.61 peuvent être résumées comme suit</w:t>
      </w:r>
      <w:r w:rsidR="007261DA">
        <w:t> :</w:t>
      </w:r>
    </w:p>
    <w:p w14:paraId="7F19BF2F" w14:textId="162B5129" w:rsidR="004C08D0" w:rsidRDefault="00D61DBD" w:rsidP="00D61DBD">
      <w:pPr>
        <w:pStyle w:val="ONUMFS"/>
        <w:numPr>
          <w:ilvl w:val="0"/>
          <w:numId w:val="12"/>
        </w:numPr>
        <w:ind w:left="1134" w:hanging="567"/>
        <w:contextualSpacing/>
      </w:pPr>
      <w:r>
        <w:t>m</w:t>
      </w:r>
      <w:r w:rsidR="004C08D0">
        <w:t>ise à jour de la liste des références pour ajouter une référence à la norme</w:t>
      </w:r>
      <w:r w:rsidR="008A15C0">
        <w:t> </w:t>
      </w:r>
      <w:r w:rsidR="004C08D0">
        <w:t>ST.87 de l</w:t>
      </w:r>
      <w:r w:rsidR="007261DA">
        <w:t>’</w:t>
      </w:r>
      <w:r w:rsidR="004C08D0">
        <w:t>OMPI;</w:t>
      </w:r>
    </w:p>
    <w:p w14:paraId="19C85C85" w14:textId="13062ED2" w:rsidR="004C08D0" w:rsidRDefault="00D61DBD" w:rsidP="00D61DBD">
      <w:pPr>
        <w:pStyle w:val="ONUMFS"/>
        <w:numPr>
          <w:ilvl w:val="0"/>
          <w:numId w:val="12"/>
        </w:numPr>
        <w:ind w:left="1134" w:hanging="567"/>
        <w:contextualSpacing/>
      </w:pPr>
      <w:r>
        <w:t>p</w:t>
      </w:r>
      <w:r w:rsidR="004C08D0">
        <w:t>récisions apportées au paragraphe 48 concernant les données supplémentaires communiquées dans l</w:t>
      </w:r>
      <w:r w:rsidR="007261DA">
        <w:t>’</w:t>
      </w:r>
      <w:r w:rsidR="004C08D0">
        <w:t>annexe II;</w:t>
      </w:r>
    </w:p>
    <w:p w14:paraId="36922A44" w14:textId="5953FA4A" w:rsidR="004C08D0" w:rsidRDefault="00D61DBD" w:rsidP="00D61DBD">
      <w:pPr>
        <w:pStyle w:val="ONUMFS"/>
        <w:numPr>
          <w:ilvl w:val="0"/>
          <w:numId w:val="12"/>
        </w:numPr>
        <w:ind w:left="1134" w:hanging="567"/>
        <w:contextualSpacing/>
      </w:pPr>
      <w:r>
        <w:t>m</w:t>
      </w:r>
      <w:r w:rsidR="004C08D0">
        <w:t>ise à jour de l</w:t>
      </w:r>
      <w:r w:rsidR="007261DA">
        <w:t>’</w:t>
      </w:r>
      <w:r w:rsidR="004C08D0">
        <w:t>annexe II afin de fournir de nouvelles données supplémentaires pour les catégories proposées;  et</w:t>
      </w:r>
    </w:p>
    <w:p w14:paraId="486D5C63" w14:textId="2ABC70B5" w:rsidR="007261DA" w:rsidRDefault="00D61DBD" w:rsidP="00D61DBD">
      <w:pPr>
        <w:pStyle w:val="ONUMFS"/>
        <w:numPr>
          <w:ilvl w:val="0"/>
          <w:numId w:val="12"/>
        </w:numPr>
        <w:ind w:left="1134" w:hanging="567"/>
        <w:contextualSpacing/>
      </w:pPr>
      <w:r>
        <w:t>q</w:t>
      </w:r>
      <w:r w:rsidR="004C08D0">
        <w:t>uelques mises à jour d</w:t>
      </w:r>
      <w:r w:rsidR="007261DA">
        <w:t>’</w:t>
      </w:r>
      <w:r w:rsidR="004C08D0">
        <w:t>ordre rédactionnel.</w:t>
      </w:r>
    </w:p>
    <w:p w14:paraId="74AA6EB6" w14:textId="6FEBE998" w:rsidR="004C08D0" w:rsidRPr="008A15C0" w:rsidRDefault="004C08D0" w:rsidP="008A15C0">
      <w:pPr>
        <w:pStyle w:val="Heading2"/>
      </w:pPr>
      <w:r w:rsidRPr="008A15C0">
        <w:t>V</w:t>
      </w:r>
      <w:r w:rsidR="008A15C0" w:rsidRPr="008A15C0">
        <w:t>ersions</w:t>
      </w:r>
    </w:p>
    <w:p w14:paraId="4E84C4F0" w14:textId="066E81B2" w:rsidR="007261DA" w:rsidRDefault="004C08D0" w:rsidP="00D61DBD">
      <w:pPr>
        <w:pStyle w:val="ONUMFS"/>
      </w:pPr>
      <w:r>
        <w:t>Aucune des normes relatives à la situation juridique n</w:t>
      </w:r>
      <w:r w:rsidR="007261DA">
        <w:t>’</w:t>
      </w:r>
      <w:r>
        <w:t>étant accompagnée d</w:t>
      </w:r>
      <w:r w:rsidR="007261DA">
        <w:t>’</w:t>
      </w:r>
      <w:r>
        <w:t>informations relatives à la version considérée, il n</w:t>
      </w:r>
      <w:r w:rsidR="007261DA">
        <w:t>’</w:t>
      </w:r>
      <w:r>
        <w:t>est pas nécessaire de proposer de nouveau numéro de version pour les normes</w:t>
      </w:r>
      <w:r w:rsidR="008A15C0">
        <w:t> </w:t>
      </w:r>
      <w:r>
        <w:t>ST.27, ST.61 ou ST87 de l</w:t>
      </w:r>
      <w:r w:rsidR="007261DA">
        <w:t>’</w:t>
      </w:r>
      <w:r>
        <w:t>O</w:t>
      </w:r>
      <w:r w:rsidR="0030591D">
        <w:t>MPI</w:t>
      </w:r>
      <w:r w:rsidR="0030591D">
        <w:t xml:space="preserve">.  </w:t>
      </w:r>
      <w:r w:rsidR="0030591D">
        <w:t>La</w:t>
      </w:r>
      <w:r>
        <w:t xml:space="preserve"> date de publication de ces normes est jugée suffisante.</w:t>
      </w:r>
    </w:p>
    <w:p w14:paraId="4C8F8BEA" w14:textId="267E18A9" w:rsidR="004C08D0" w:rsidRPr="008A15C0" w:rsidRDefault="004C08D0" w:rsidP="008A15C0">
      <w:pPr>
        <w:pStyle w:val="ONUMFS"/>
        <w:ind w:left="5533"/>
        <w:rPr>
          <w:rFonts w:eastAsiaTheme="minorEastAsia" w:cstheme="minorBidi"/>
          <w:i/>
          <w:szCs w:val="22"/>
        </w:rPr>
      </w:pPr>
      <w:r w:rsidRPr="008A15C0">
        <w:rPr>
          <w:i/>
        </w:rPr>
        <w:t>Le CWS est invité</w:t>
      </w:r>
    </w:p>
    <w:p w14:paraId="39F76294" w14:textId="77777777" w:rsidR="004C08D0" w:rsidRPr="004F5271" w:rsidRDefault="004C08D0" w:rsidP="004C08D0">
      <w:pPr>
        <w:pStyle w:val="ONUME"/>
        <w:numPr>
          <w:ilvl w:val="0"/>
          <w:numId w:val="8"/>
        </w:numPr>
        <w:ind w:left="5529" w:firstLine="563"/>
        <w:rPr>
          <w:i/>
          <w:szCs w:val="22"/>
        </w:rPr>
      </w:pPr>
      <w:r>
        <w:rPr>
          <w:i/>
        </w:rPr>
        <w:t>à prendre note du contenu du présent document et de ses annexes,</w:t>
      </w:r>
    </w:p>
    <w:p w14:paraId="628DA80C" w14:textId="60C5FBE6" w:rsidR="004C08D0" w:rsidRPr="004F5271" w:rsidRDefault="004C08D0" w:rsidP="004C08D0">
      <w:pPr>
        <w:pStyle w:val="ONUME"/>
        <w:numPr>
          <w:ilvl w:val="0"/>
          <w:numId w:val="8"/>
        </w:numPr>
        <w:ind w:left="5529" w:firstLine="563"/>
        <w:rPr>
          <w:i/>
          <w:szCs w:val="22"/>
        </w:rPr>
      </w:pPr>
      <w:r>
        <w:rPr>
          <w:i/>
        </w:rPr>
        <w:lastRenderedPageBreak/>
        <w:t>à examiner et à approuver la proposition de révision de la norme ST.87, présentée au paragraphe 7 et décrite en détail à l</w:t>
      </w:r>
      <w:r w:rsidR="007261DA">
        <w:rPr>
          <w:i/>
        </w:rPr>
        <w:t>’</w:t>
      </w:r>
      <w:r>
        <w:rPr>
          <w:i/>
        </w:rPr>
        <w:t>annexe I du présent document;</w:t>
      </w:r>
    </w:p>
    <w:p w14:paraId="6F74BDDB" w14:textId="4BC5EE9B" w:rsidR="004C08D0" w:rsidRPr="004F5271" w:rsidRDefault="004C08D0" w:rsidP="004C08D0">
      <w:pPr>
        <w:pStyle w:val="ONUME"/>
        <w:numPr>
          <w:ilvl w:val="0"/>
          <w:numId w:val="8"/>
        </w:numPr>
        <w:ind w:left="5529" w:firstLine="563"/>
        <w:rPr>
          <w:i/>
          <w:szCs w:val="22"/>
        </w:rPr>
      </w:pPr>
      <w:r>
        <w:rPr>
          <w:i/>
        </w:rPr>
        <w:t>à examiner et à approuver la proposition de révision de la norme</w:t>
      </w:r>
      <w:r w:rsidR="008A15C0">
        <w:rPr>
          <w:i/>
        </w:rPr>
        <w:t> </w:t>
      </w:r>
      <w:r>
        <w:rPr>
          <w:i/>
        </w:rPr>
        <w:t>ST.27 de l</w:t>
      </w:r>
      <w:r w:rsidR="007261DA">
        <w:rPr>
          <w:i/>
        </w:rPr>
        <w:t>’</w:t>
      </w:r>
      <w:r>
        <w:rPr>
          <w:i/>
        </w:rPr>
        <w:t>OMPI, présentée au paragraphe 9 et décrite en détail à l</w:t>
      </w:r>
      <w:r w:rsidR="007261DA">
        <w:rPr>
          <w:i/>
        </w:rPr>
        <w:t>’</w:t>
      </w:r>
      <w:r>
        <w:rPr>
          <w:i/>
        </w:rPr>
        <w:t>annexe II du présent document, et</w:t>
      </w:r>
    </w:p>
    <w:p w14:paraId="24A18E1C" w14:textId="7ABA2A86" w:rsidR="007261DA" w:rsidRDefault="004C08D0" w:rsidP="005B31BD">
      <w:pPr>
        <w:pStyle w:val="ONUME"/>
        <w:numPr>
          <w:ilvl w:val="0"/>
          <w:numId w:val="8"/>
        </w:numPr>
        <w:ind w:left="5529" w:firstLine="563"/>
        <w:rPr>
          <w:i/>
        </w:rPr>
      </w:pPr>
      <w:r>
        <w:rPr>
          <w:i/>
        </w:rPr>
        <w:t>à examiner et à approuver la proposition de révision de la norme ST.61 de l</w:t>
      </w:r>
      <w:r w:rsidR="007261DA">
        <w:rPr>
          <w:i/>
        </w:rPr>
        <w:t>’</w:t>
      </w:r>
      <w:r>
        <w:rPr>
          <w:i/>
        </w:rPr>
        <w:t>OMPI, présentée au paragraphe 9 et décrite en détail à l</w:t>
      </w:r>
      <w:r w:rsidR="007261DA">
        <w:rPr>
          <w:i/>
        </w:rPr>
        <w:t>’</w:t>
      </w:r>
      <w:r>
        <w:rPr>
          <w:i/>
        </w:rPr>
        <w:t>annexe III du présent document.</w:t>
      </w:r>
    </w:p>
    <w:p w14:paraId="5F97ECB7" w14:textId="019D1655" w:rsidR="000F5E56" w:rsidRPr="005B31BD" w:rsidRDefault="004C08D0" w:rsidP="00D61DBD">
      <w:pPr>
        <w:pStyle w:val="Endofdocument-Annex"/>
        <w:spacing w:before="720"/>
        <w:rPr>
          <w:szCs w:val="22"/>
        </w:rPr>
      </w:pPr>
      <w:r>
        <w:t>[L</w:t>
      </w:r>
      <w:r w:rsidR="007261DA">
        <w:t>’</w:t>
      </w:r>
      <w:r>
        <w:t>annexe</w:t>
      </w:r>
      <w:r w:rsidR="008A15C0">
        <w:t> </w:t>
      </w:r>
      <w:r>
        <w:t>I suit]</w:t>
      </w:r>
    </w:p>
    <w:sectPr w:rsidR="000F5E56" w:rsidRPr="005B31BD" w:rsidSect="004C08D0">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A59E" w14:textId="77777777" w:rsidR="004C08D0" w:rsidRDefault="004C08D0">
      <w:r>
        <w:separator/>
      </w:r>
    </w:p>
  </w:endnote>
  <w:endnote w:type="continuationSeparator" w:id="0">
    <w:p w14:paraId="56130A66" w14:textId="77777777" w:rsidR="004C08D0" w:rsidRPr="009D30E6" w:rsidRDefault="004C08D0" w:rsidP="00D45252">
      <w:pPr>
        <w:rPr>
          <w:sz w:val="17"/>
          <w:szCs w:val="17"/>
        </w:rPr>
      </w:pPr>
      <w:r w:rsidRPr="009D30E6">
        <w:rPr>
          <w:sz w:val="17"/>
          <w:szCs w:val="17"/>
        </w:rPr>
        <w:separator/>
      </w:r>
    </w:p>
    <w:p w14:paraId="3382C891" w14:textId="77777777" w:rsidR="004C08D0" w:rsidRPr="009D30E6" w:rsidRDefault="004C08D0" w:rsidP="00D45252">
      <w:pPr>
        <w:spacing w:after="60"/>
        <w:rPr>
          <w:sz w:val="17"/>
          <w:szCs w:val="17"/>
        </w:rPr>
      </w:pPr>
      <w:r w:rsidRPr="009D30E6">
        <w:rPr>
          <w:sz w:val="17"/>
          <w:szCs w:val="17"/>
        </w:rPr>
        <w:t>[Suite de la note de la page précédente]</w:t>
      </w:r>
    </w:p>
  </w:endnote>
  <w:endnote w:type="continuationNotice" w:id="1">
    <w:p w14:paraId="4E337A51" w14:textId="77777777" w:rsidR="004C08D0" w:rsidRPr="009D30E6" w:rsidRDefault="004C08D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70AA" w14:textId="77777777" w:rsidR="004C08D0" w:rsidRDefault="004C08D0">
      <w:r>
        <w:separator/>
      </w:r>
    </w:p>
  </w:footnote>
  <w:footnote w:type="continuationSeparator" w:id="0">
    <w:p w14:paraId="3DB50B30" w14:textId="77777777" w:rsidR="004C08D0" w:rsidRDefault="004C08D0" w:rsidP="007461F1">
      <w:r>
        <w:separator/>
      </w:r>
    </w:p>
    <w:p w14:paraId="657B1297" w14:textId="77777777" w:rsidR="004C08D0" w:rsidRPr="009D30E6" w:rsidRDefault="004C08D0" w:rsidP="007461F1">
      <w:pPr>
        <w:spacing w:after="60"/>
        <w:rPr>
          <w:sz w:val="17"/>
          <w:szCs w:val="17"/>
        </w:rPr>
      </w:pPr>
      <w:r w:rsidRPr="009D30E6">
        <w:rPr>
          <w:sz w:val="17"/>
          <w:szCs w:val="17"/>
        </w:rPr>
        <w:t>[Suite de la note de la page précédente]</w:t>
      </w:r>
    </w:p>
  </w:footnote>
  <w:footnote w:type="continuationNotice" w:id="1">
    <w:p w14:paraId="3886F37C" w14:textId="77777777" w:rsidR="004C08D0" w:rsidRPr="009D30E6" w:rsidRDefault="004C08D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69BD" w14:textId="77777777" w:rsidR="00F16975" w:rsidRDefault="004C08D0" w:rsidP="00477D6B">
    <w:pPr>
      <w:jc w:val="right"/>
    </w:pPr>
    <w:bookmarkStart w:id="5" w:name="Code2"/>
    <w:bookmarkEnd w:id="5"/>
    <w:r>
      <w:t>CWS/12/19</w:t>
    </w:r>
  </w:p>
  <w:p w14:paraId="0D279729" w14:textId="6A9303B9" w:rsidR="00D61DBD" w:rsidRDefault="00F16975" w:rsidP="00012743">
    <w:pPr>
      <w:tabs>
        <w:tab w:val="left" w:pos="8422"/>
        <w:tab w:val="right" w:pos="9355"/>
      </w:tabs>
      <w:spacing w:after="480"/>
      <w:jc w:val="right"/>
    </w:pPr>
    <w:r>
      <w:t>page</w:t>
    </w:r>
    <w:r w:rsidR="00D61DBD">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580501"/>
    <w:multiLevelType w:val="hybridMultilevel"/>
    <w:tmpl w:val="069608D0"/>
    <w:lvl w:ilvl="0" w:tplc="E3CEF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7500F5"/>
    <w:multiLevelType w:val="hybridMultilevel"/>
    <w:tmpl w:val="DC8A48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B74EBE"/>
    <w:multiLevelType w:val="hybridMultilevel"/>
    <w:tmpl w:val="34BED69E"/>
    <w:lvl w:ilvl="0" w:tplc="B4A6C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B459E4"/>
    <w:multiLevelType w:val="hybridMultilevel"/>
    <w:tmpl w:val="E5DE2206"/>
    <w:lvl w:ilvl="0" w:tplc="BECABC1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8D7F5C"/>
    <w:multiLevelType w:val="hybridMultilevel"/>
    <w:tmpl w:val="DC8A48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8548192">
    <w:abstractNumId w:val="3"/>
  </w:num>
  <w:num w:numId="2" w16cid:durableId="1870607316">
    <w:abstractNumId w:val="7"/>
  </w:num>
  <w:num w:numId="3" w16cid:durableId="844322595">
    <w:abstractNumId w:val="0"/>
  </w:num>
  <w:num w:numId="4" w16cid:durableId="1456631763">
    <w:abstractNumId w:val="9"/>
  </w:num>
  <w:num w:numId="5" w16cid:durableId="628778745">
    <w:abstractNumId w:val="1"/>
  </w:num>
  <w:num w:numId="6" w16cid:durableId="670451745">
    <w:abstractNumId w:val="5"/>
  </w:num>
  <w:num w:numId="7" w16cid:durableId="575212276">
    <w:abstractNumId w:val="2"/>
  </w:num>
  <w:num w:numId="8" w16cid:durableId="1788699599">
    <w:abstractNumId w:val="8"/>
  </w:num>
  <w:num w:numId="9" w16cid:durableId="1501119914">
    <w:abstractNumId w:val="6"/>
  </w:num>
  <w:num w:numId="10" w16cid:durableId="208078604">
    <w:abstractNumId w:val="4"/>
  </w:num>
  <w:num w:numId="11" w16cid:durableId="95369886">
    <w:abstractNumId w:val="5"/>
  </w:num>
  <w:num w:numId="12" w16cid:durableId="968970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D0"/>
    <w:rsid w:val="00011B7D"/>
    <w:rsid w:val="00012743"/>
    <w:rsid w:val="00075432"/>
    <w:rsid w:val="000F5E56"/>
    <w:rsid w:val="00114885"/>
    <w:rsid w:val="001352EC"/>
    <w:rsid w:val="001362EE"/>
    <w:rsid w:val="001832A6"/>
    <w:rsid w:val="00195C6E"/>
    <w:rsid w:val="00197881"/>
    <w:rsid w:val="001B266A"/>
    <w:rsid w:val="001D3D56"/>
    <w:rsid w:val="00240654"/>
    <w:rsid w:val="002634C4"/>
    <w:rsid w:val="002D4918"/>
    <w:rsid w:val="002E4D1A"/>
    <w:rsid w:val="002F16BC"/>
    <w:rsid w:val="002F4E68"/>
    <w:rsid w:val="0030591D"/>
    <w:rsid w:val="00315FCA"/>
    <w:rsid w:val="003845C1"/>
    <w:rsid w:val="003A1BCD"/>
    <w:rsid w:val="004008A2"/>
    <w:rsid w:val="004025DF"/>
    <w:rsid w:val="00423E3E"/>
    <w:rsid w:val="00427AF4"/>
    <w:rsid w:val="004647DA"/>
    <w:rsid w:val="00477D6B"/>
    <w:rsid w:val="004C08D0"/>
    <w:rsid w:val="004D6471"/>
    <w:rsid w:val="004F4E31"/>
    <w:rsid w:val="00525B63"/>
    <w:rsid w:val="00547476"/>
    <w:rsid w:val="00561DB8"/>
    <w:rsid w:val="00567A4C"/>
    <w:rsid w:val="005B31BD"/>
    <w:rsid w:val="005E6516"/>
    <w:rsid w:val="00605827"/>
    <w:rsid w:val="00676936"/>
    <w:rsid w:val="006B0DB5"/>
    <w:rsid w:val="006E4243"/>
    <w:rsid w:val="007261DA"/>
    <w:rsid w:val="007461F1"/>
    <w:rsid w:val="007D6961"/>
    <w:rsid w:val="007F07CB"/>
    <w:rsid w:val="00810CEF"/>
    <w:rsid w:val="0081208D"/>
    <w:rsid w:val="008236DE"/>
    <w:rsid w:val="00842A13"/>
    <w:rsid w:val="008A15C0"/>
    <w:rsid w:val="008B2CC1"/>
    <w:rsid w:val="008E7930"/>
    <w:rsid w:val="0090731E"/>
    <w:rsid w:val="00966A22"/>
    <w:rsid w:val="00974CD6"/>
    <w:rsid w:val="009D30E6"/>
    <w:rsid w:val="009E3F6F"/>
    <w:rsid w:val="009F499F"/>
    <w:rsid w:val="00A02BD3"/>
    <w:rsid w:val="00AA1F20"/>
    <w:rsid w:val="00AC0AE4"/>
    <w:rsid w:val="00AD61DB"/>
    <w:rsid w:val="00B87BCF"/>
    <w:rsid w:val="00BA62D4"/>
    <w:rsid w:val="00C153FD"/>
    <w:rsid w:val="00C40E15"/>
    <w:rsid w:val="00C664C8"/>
    <w:rsid w:val="00C76A79"/>
    <w:rsid w:val="00CA15F5"/>
    <w:rsid w:val="00CF0460"/>
    <w:rsid w:val="00D45252"/>
    <w:rsid w:val="00D61DBD"/>
    <w:rsid w:val="00D71B4D"/>
    <w:rsid w:val="00D75C1E"/>
    <w:rsid w:val="00D93D55"/>
    <w:rsid w:val="00DB0349"/>
    <w:rsid w:val="00DD6A16"/>
    <w:rsid w:val="00E0091A"/>
    <w:rsid w:val="00E203AA"/>
    <w:rsid w:val="00E527A5"/>
    <w:rsid w:val="00E76456"/>
    <w:rsid w:val="00EE71CB"/>
    <w:rsid w:val="00F16975"/>
    <w:rsid w:val="00F66152"/>
    <w:rsid w:val="00FB377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6CFB1"/>
  <w15:docId w15:val="{9EF45148-8EDE-4D5D-B2E3-CFCEEAEA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4C08D0"/>
    <w:pPr>
      <w:ind w:left="720"/>
      <w:contextualSpacing/>
    </w:pPr>
    <w:rPr>
      <w:lang w:val="fr-FR"/>
    </w:rPr>
  </w:style>
  <w:style w:type="character" w:customStyle="1" w:styleId="ONUMEChar">
    <w:name w:val="ONUM E Char"/>
    <w:basedOn w:val="DefaultParagraphFont"/>
    <w:link w:val="ONUME"/>
    <w:rsid w:val="004C08D0"/>
    <w:rPr>
      <w:rFonts w:ascii="Arial" w:eastAsia="SimSun" w:hAnsi="Arial" w:cs="Arial"/>
      <w:sz w:val="22"/>
      <w:lang w:eastAsia="zh-CN"/>
    </w:rPr>
  </w:style>
  <w:style w:type="paragraph" w:customStyle="1" w:styleId="Endofdocument">
    <w:name w:val="End of document"/>
    <w:basedOn w:val="Normal"/>
    <w:rsid w:val="004C08D0"/>
    <w:pPr>
      <w:spacing w:line="260" w:lineRule="atLeast"/>
      <w:ind w:left="5534"/>
    </w:pPr>
    <w:rPr>
      <w:rFonts w:eastAsia="Times New Roman" w:cs="Times New Roman"/>
      <w:sz w:val="20"/>
      <w:lang w:val="fr-FR" w:eastAsia="en-US"/>
    </w:rPr>
  </w:style>
  <w:style w:type="character" w:styleId="Hyperlink">
    <w:name w:val="Hyperlink"/>
    <w:basedOn w:val="DefaultParagraphFont"/>
    <w:semiHidden/>
    <w:unhideWhenUsed/>
    <w:rsid w:val="003059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34</TotalTime>
  <Pages>3</Pages>
  <Words>848</Words>
  <Characters>4304</Characters>
  <Application>Microsoft Office Word</Application>
  <DocSecurity>0</DocSecurity>
  <Lines>538</Lines>
  <Paragraphs>343</Paragraphs>
  <ScaleCrop>false</ScaleCrop>
  <HeadingPairs>
    <vt:vector size="2" baseType="variant">
      <vt:variant>
        <vt:lpstr>Title</vt:lpstr>
      </vt:variant>
      <vt:variant>
        <vt:i4>1</vt:i4>
      </vt:variant>
    </vt:vector>
  </HeadingPairs>
  <TitlesOfParts>
    <vt:vector size="1" baseType="lpstr">
      <vt:lpstr>CWS/12/</vt:lpstr>
    </vt:vector>
  </TitlesOfParts>
  <Company>WIPO</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dc:title>
  <dc:creator>LE GUEN Haude</dc:creator>
  <cp:keywords>FOR OFFICIAL USE ONLY</cp:keywords>
  <cp:lastModifiedBy>LE GUEN Haude</cp:lastModifiedBy>
  <cp:revision>5</cp:revision>
  <cp:lastPrinted>2011-05-19T12:37:00Z</cp:lastPrinted>
  <dcterms:created xsi:type="dcterms:W3CDTF">2024-07-29T13:48:00Z</dcterms:created>
  <dcterms:modified xsi:type="dcterms:W3CDTF">2024-07-29T14:25:00Z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2024-07-29T13:50:43Z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a0a38937-4d29-4ae4-8d1e-acffa6c64c4c</vt:lpwstr>
  </property>
  <property fmtid="{D5CDD505-2E9C-101B-9397-08002B2CF9AE}" pid="14" name="MSIP_Label_20773ee6-353b-4fb9-a59d-0b94c8c67bea_ContentBits">
    <vt:lpwstr>0</vt:lpwstr>
  </property>
</Properties>
</file>