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4FDFA" w14:textId="77777777" w:rsidR="008B2CC1" w:rsidRPr="00A245EF" w:rsidRDefault="0040540C" w:rsidP="0053362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A245EF">
        <w:rPr>
          <w:noProof/>
          <w:lang w:val="en-US" w:eastAsia="en-US"/>
        </w:rPr>
        <w:drawing>
          <wp:inline distT="0" distB="0" distL="0" distR="0" wp14:anchorId="3B5907D0" wp14:editId="618D86C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426D" w14:textId="221CBF8B" w:rsidR="00B1090C" w:rsidRPr="00A245EF" w:rsidRDefault="00533626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245EF">
        <w:rPr>
          <w:rFonts w:ascii="Arial Black" w:hAnsi="Arial Black"/>
          <w:caps/>
          <w:sz w:val="15"/>
          <w:szCs w:val="15"/>
          <w:lang w:val="fr-FR"/>
        </w:rPr>
        <w:t>CWS/11</w:t>
      </w:r>
      <w:bookmarkStart w:id="0" w:name="Code"/>
      <w:bookmarkEnd w:id="0"/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/</w:t>
      </w:r>
      <w:r w:rsidR="005B2246" w:rsidRPr="00A245EF">
        <w:rPr>
          <w:rFonts w:ascii="Arial Black" w:hAnsi="Arial Black"/>
          <w:caps/>
          <w:sz w:val="15"/>
          <w:szCs w:val="15"/>
          <w:lang w:val="fr-FR"/>
        </w:rPr>
        <w:t>1</w:t>
      </w:r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 Prov.</w:t>
      </w:r>
      <w:r w:rsidR="005B2246" w:rsidRPr="00A245EF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4D712AEF" w14:textId="28D74324" w:rsidR="008B2CC1" w:rsidRPr="00A245EF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A245EF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262FE" w:rsidRPr="00A245EF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245E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988FCC7" w14:textId="580338ED" w:rsidR="008B2CC1" w:rsidRPr="00A245EF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A245EF">
        <w:rPr>
          <w:rFonts w:ascii="Arial Black" w:hAnsi="Arial Black"/>
          <w:caps/>
          <w:sz w:val="15"/>
          <w:szCs w:val="15"/>
          <w:lang w:val="fr-FR"/>
        </w:rPr>
        <w:t>DATE</w:t>
      </w:r>
      <w:r w:rsidR="009262FE" w:rsidRPr="00A245EF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A245E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3510F">
        <w:rPr>
          <w:rFonts w:ascii="Arial Black" w:hAnsi="Arial Black"/>
          <w:caps/>
          <w:sz w:val="15"/>
          <w:szCs w:val="15"/>
          <w:lang w:val="fr-FR"/>
        </w:rPr>
        <w:t>5</w:t>
      </w:r>
      <w:bookmarkStart w:id="3" w:name="_GoBack"/>
      <w:bookmarkEnd w:id="3"/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 </w:t>
      </w:r>
      <w:r w:rsidR="005B2246" w:rsidRPr="00A245EF">
        <w:rPr>
          <w:rFonts w:ascii="Arial Black" w:hAnsi="Arial Black"/>
          <w:caps/>
          <w:sz w:val="15"/>
          <w:szCs w:val="15"/>
          <w:lang w:val="fr-FR"/>
        </w:rPr>
        <w:t>octobre</w:t>
      </w:r>
      <w:r w:rsidR="00760C09" w:rsidRPr="00A245EF">
        <w:rPr>
          <w:rFonts w:ascii="Arial Black" w:hAnsi="Arial Black"/>
          <w:caps/>
          <w:sz w:val="15"/>
          <w:szCs w:val="15"/>
          <w:lang w:val="fr-FR"/>
        </w:rPr>
        <w:t> 2023</w:t>
      </w:r>
    </w:p>
    <w:bookmarkEnd w:id="2"/>
    <w:p w14:paraId="67560B9F" w14:textId="43F4022E" w:rsidR="00533626" w:rsidRPr="00A245EF" w:rsidRDefault="00533626" w:rsidP="00533626">
      <w:pPr>
        <w:spacing w:after="600"/>
        <w:rPr>
          <w:b/>
          <w:sz w:val="28"/>
          <w:szCs w:val="28"/>
          <w:lang w:val="fr-FR"/>
        </w:rPr>
      </w:pPr>
      <w:r w:rsidRPr="00A245EF">
        <w:rPr>
          <w:b/>
          <w:sz w:val="28"/>
          <w:szCs w:val="28"/>
          <w:lang w:val="fr-FR"/>
        </w:rPr>
        <w:t>Comité des normes de l</w:t>
      </w:r>
      <w:r w:rsidR="009262FE" w:rsidRPr="00A245EF">
        <w:rPr>
          <w:b/>
          <w:sz w:val="28"/>
          <w:szCs w:val="28"/>
          <w:lang w:val="fr-FR"/>
        </w:rPr>
        <w:t>’</w:t>
      </w:r>
      <w:r w:rsidRPr="00A245EF">
        <w:rPr>
          <w:b/>
          <w:sz w:val="28"/>
          <w:szCs w:val="28"/>
          <w:lang w:val="fr-FR"/>
        </w:rPr>
        <w:t>OMPI (CWS)</w:t>
      </w:r>
    </w:p>
    <w:p w14:paraId="6B08CED7" w14:textId="7DEA7D0F" w:rsidR="00533626" w:rsidRPr="00A245EF" w:rsidRDefault="00533626" w:rsidP="00533626">
      <w:pPr>
        <w:rPr>
          <w:b/>
          <w:sz w:val="28"/>
          <w:szCs w:val="24"/>
          <w:lang w:val="fr-FR"/>
        </w:rPr>
      </w:pPr>
      <w:r w:rsidRPr="00A245EF">
        <w:rPr>
          <w:b/>
          <w:sz w:val="24"/>
          <w:lang w:val="fr-FR"/>
        </w:rPr>
        <w:t>Onz</w:t>
      </w:r>
      <w:r w:rsidR="009262FE" w:rsidRPr="00A245EF">
        <w:rPr>
          <w:b/>
          <w:sz w:val="24"/>
          <w:lang w:val="fr-FR"/>
        </w:rPr>
        <w:t>ième session</w:t>
      </w:r>
    </w:p>
    <w:p w14:paraId="4BF40684" w14:textId="77777777" w:rsidR="008B2CC1" w:rsidRPr="00A245EF" w:rsidRDefault="00760C09" w:rsidP="00760C09">
      <w:pPr>
        <w:spacing w:after="720"/>
        <w:rPr>
          <w:caps/>
          <w:sz w:val="24"/>
          <w:lang w:val="fr-FR"/>
        </w:rPr>
      </w:pPr>
      <w:bookmarkStart w:id="4" w:name="TitleOfDoc"/>
      <w:r w:rsidRPr="00A245EF">
        <w:rPr>
          <w:b/>
          <w:sz w:val="24"/>
          <w:lang w:val="fr-FR"/>
        </w:rPr>
        <w:t xml:space="preserve">Genève, 4 – </w:t>
      </w:r>
      <w:r w:rsidR="001317E9" w:rsidRPr="00A245EF">
        <w:rPr>
          <w:b/>
          <w:sz w:val="24"/>
          <w:lang w:val="fr-FR"/>
        </w:rPr>
        <w:t>8 décembre</w:t>
      </w:r>
      <w:r w:rsidRPr="00A245EF">
        <w:rPr>
          <w:b/>
          <w:sz w:val="24"/>
          <w:lang w:val="fr-FR"/>
        </w:rPr>
        <w:t> 2023</w:t>
      </w:r>
    </w:p>
    <w:p w14:paraId="6BAACBE5" w14:textId="5AB03C1A" w:rsidR="00760C09" w:rsidRPr="00A245EF" w:rsidRDefault="00760C09" w:rsidP="00760C09">
      <w:pPr>
        <w:spacing w:after="360"/>
        <w:rPr>
          <w:caps/>
          <w:sz w:val="24"/>
          <w:szCs w:val="24"/>
          <w:lang w:val="fr-FR"/>
        </w:rPr>
      </w:pPr>
      <w:bookmarkStart w:id="5" w:name="Prepared"/>
      <w:bookmarkEnd w:id="4"/>
      <w:bookmarkEnd w:id="5"/>
      <w:r w:rsidRPr="00A245EF">
        <w:rPr>
          <w:caps/>
          <w:sz w:val="24"/>
          <w:szCs w:val="24"/>
          <w:lang w:val="fr-FR"/>
        </w:rPr>
        <w:t>Projet d</w:t>
      </w:r>
      <w:r w:rsidR="009262FE" w:rsidRPr="00A245EF">
        <w:rPr>
          <w:caps/>
          <w:sz w:val="24"/>
          <w:szCs w:val="24"/>
          <w:lang w:val="fr-FR"/>
        </w:rPr>
        <w:t>’</w:t>
      </w:r>
      <w:r w:rsidRPr="00A245EF">
        <w:rPr>
          <w:caps/>
          <w:sz w:val="24"/>
          <w:szCs w:val="24"/>
          <w:lang w:val="fr-FR"/>
        </w:rPr>
        <w:t>ordre du jour</w:t>
      </w:r>
    </w:p>
    <w:p w14:paraId="125CF725" w14:textId="77777777" w:rsidR="008B2CC1" w:rsidRPr="00A245EF" w:rsidRDefault="00760C09" w:rsidP="00726A01">
      <w:pPr>
        <w:spacing w:after="960"/>
        <w:rPr>
          <w:i/>
          <w:lang w:val="fr-FR"/>
        </w:rPr>
      </w:pPr>
      <w:r w:rsidRPr="00A245EF">
        <w:rPr>
          <w:i/>
          <w:lang w:val="fr-FR"/>
        </w:rPr>
        <w:t>Document établi par le Secrétariat</w:t>
      </w:r>
    </w:p>
    <w:p w14:paraId="77DB7511" w14:textId="6E6C8312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Ouverture de la onz</w:t>
      </w:r>
      <w:r w:rsidR="009262FE" w:rsidRPr="00A245EF">
        <w:rPr>
          <w:lang w:val="fr-FR"/>
        </w:rPr>
        <w:t>ième session</w:t>
      </w:r>
    </w:p>
    <w:p w14:paraId="392700F1" w14:textId="29B7E0AE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Élection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un président et de deux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vice</w:t>
      </w:r>
      <w:r w:rsidR="00906EB0">
        <w:rPr>
          <w:lang w:val="fr-FR"/>
        </w:rPr>
        <w:noBreakHyphen/>
      </w:r>
      <w:r w:rsidRPr="00A245EF">
        <w:rPr>
          <w:lang w:val="fr-FR"/>
        </w:rPr>
        <w:t>présidents</w:t>
      </w:r>
    </w:p>
    <w:p w14:paraId="285BE974" w14:textId="65287A27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Adoption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ordre du jour</w:t>
      </w:r>
    </w:p>
    <w:p w14:paraId="6917E10D" w14:textId="77777777" w:rsidR="005B2246" w:rsidRPr="00A245EF" w:rsidRDefault="005B2246" w:rsidP="00882E4B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A245EF">
        <w:rPr>
          <w:lang w:val="fr-FR"/>
        </w:rPr>
        <w:t>Voir le présent document.</w:t>
      </w:r>
    </w:p>
    <w:p w14:paraId="5421AEBA" w14:textId="70480280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Programme de travail</w:t>
      </w:r>
      <w:r w:rsidR="009262FE" w:rsidRPr="00A245EF">
        <w:rPr>
          <w:lang w:val="fr-FR"/>
        </w:rPr>
        <w:t xml:space="preserve"> du CWS</w:t>
      </w:r>
    </w:p>
    <w:p w14:paraId="2B38EAD7" w14:textId="1EA4F775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Programme de travail et liste des tâches</w:t>
      </w:r>
      <w:r w:rsidR="009262FE" w:rsidRPr="00A245EF">
        <w:rPr>
          <w:lang w:val="fr-FR"/>
        </w:rPr>
        <w:t xml:space="preserve"> du CWS</w:t>
      </w:r>
    </w:p>
    <w:p w14:paraId="5A240488" w14:textId="62AA2D40" w:rsidR="009262FE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S/11/8.</w:t>
      </w:r>
    </w:p>
    <w:p w14:paraId="33D8CFFC" w14:textId="11F9A5AB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une nouvelle tâche relative à la mise en œuvre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ST.37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1FAFD449" w14:textId="7979B07C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S/11/15.</w:t>
      </w:r>
    </w:p>
    <w:p w14:paraId="376FB0EA" w14:textId="42A87795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Questionnaire sur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ordre de priorité des tâches du Comité des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52E2C3EB" w14:textId="2A5FDA12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S/11/6.</w:t>
      </w:r>
    </w:p>
    <w:p w14:paraId="6082F013" w14:textId="709BB10F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Rapports sur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état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avancement des travaux des équipes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</w:t>
      </w:r>
    </w:p>
    <w:p w14:paraId="1A4103B6" w14:textId="3A60EE7C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3D (tâche n° 61)</w:t>
      </w:r>
    </w:p>
    <w:p w14:paraId="4B382BCB" w14:textId="2E7A9BA9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lastRenderedPageBreak/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</w:t>
      </w:r>
      <w:r w:rsidR="009262FE" w:rsidRPr="00A245EF">
        <w:rPr>
          <w:lang w:val="fr-FR"/>
        </w:rPr>
        <w:t xml:space="preserve"> des API</w:t>
      </w:r>
      <w:r w:rsidRPr="00A245EF">
        <w:rPr>
          <w:lang w:val="fr-FR"/>
        </w:rPr>
        <w:t xml:space="preserve">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56 et 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64)</w:t>
      </w:r>
    </w:p>
    <w:p w14:paraId="44F4D9F2" w14:textId="6CA68D74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S/11/14.</w:t>
      </w:r>
    </w:p>
    <w:p w14:paraId="0059F288" w14:textId="30B27B1C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chaîne de blocs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59)</w:t>
      </w:r>
    </w:p>
    <w:p w14:paraId="15BA082D" w14:textId="4A29BD69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 xml:space="preserve">experts chargée de la représentation des dessins et modèles </w:t>
      </w:r>
      <w:bookmarkStart w:id="6" w:name="_Hlk145920823"/>
      <w:r w:rsidRPr="00A245EF">
        <w:rPr>
          <w:lang w:val="fr-FR"/>
        </w:rPr>
        <w:t>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57)</w:t>
      </w:r>
      <w:bookmarkEnd w:id="6"/>
    </w:p>
    <w:p w14:paraId="1CD865BE" w14:textId="6C2657D3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S/11/4.</w:t>
      </w:r>
    </w:p>
    <w:p w14:paraId="34C3DF21" w14:textId="2E8DCEEF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transformation numérique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62, 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63 et 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65)</w:t>
      </w:r>
    </w:p>
    <w:p w14:paraId="5953CE60" w14:textId="38831708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S/11/11.</w:t>
      </w:r>
    </w:p>
    <w:p w14:paraId="7F212D76" w14:textId="25DA25CF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des normes relatives aux technologies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de la communication (tâche n° 58)</w:t>
      </w:r>
    </w:p>
    <w:p w14:paraId="36D9F9FC" w14:textId="53DD089A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S/11/21.</w:t>
      </w:r>
    </w:p>
    <w:p w14:paraId="63580499" w14:textId="16444AB1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situation juridique (tâche n° 47)</w:t>
      </w:r>
    </w:p>
    <w:p w14:paraId="42B5496F" w14:textId="4E3216A9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S/11/13.</w:t>
      </w:r>
    </w:p>
    <w:p w14:paraId="3FCEF7B9" w14:textId="2F48A2FC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normalisation des noms (tâche n° 55)</w:t>
      </w:r>
    </w:p>
    <w:p w14:paraId="02024A3B" w14:textId="6F49EAE7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S/11/22.</w:t>
      </w:r>
    </w:p>
    <w:p w14:paraId="2CE65AA1" w14:textId="11E473E4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partie 7 (tâche n° 50)</w:t>
      </w:r>
    </w:p>
    <w:p w14:paraId="1C2F97E0" w14:textId="114876A0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accès public à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en matière de brevets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52)</w:t>
      </w:r>
    </w:p>
    <w:p w14:paraId="68E23E7F" w14:textId="23FB9CC3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du listage des séquences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44)</w:t>
      </w:r>
    </w:p>
    <w:p w14:paraId="4A846AF9" w14:textId="1271FB7B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S/11/7.</w:t>
      </w:r>
    </w:p>
    <w:p w14:paraId="5508AE51" w14:textId="1B4893C1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Équipe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experts chargée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XML4IP (tâche n°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41)</w:t>
      </w:r>
    </w:p>
    <w:p w14:paraId="49144DCA" w14:textId="7DE4BBEA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S/11/2.</w:t>
      </w:r>
    </w:p>
    <w:p w14:paraId="2AF91B98" w14:textId="0E584E53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Élaboration de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428CA2DD" w14:textId="77142E39" w:rsidR="009262FE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une nouvelle norme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 sur le format de paquet de données pour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échange électronique de documents de priorité et de copies certifiées conformes</w:t>
      </w:r>
    </w:p>
    <w:p w14:paraId="0C3243B6" w14:textId="5B6615F7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S/11/20.</w:t>
      </w:r>
    </w:p>
    <w:p w14:paraId="7F5C55D6" w14:textId="57D7A439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de révision de la norme ST.26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1455DFD7" w14:textId="2F08D4F6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S/11/3.</w:t>
      </w:r>
    </w:p>
    <w:p w14:paraId="3D790091" w14:textId="4A59040B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de révision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ST.61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66177CC3" w14:textId="7B08BA33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S/11/9.</w:t>
      </w:r>
    </w:p>
    <w:p w14:paraId="2E1A269F" w14:textId="53FCE4EC" w:rsidR="005B2246" w:rsidRPr="00A245EF" w:rsidRDefault="005B2246" w:rsidP="00906EB0">
      <w:pPr>
        <w:pStyle w:val="ONUMFS"/>
        <w:keepNext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lastRenderedPageBreak/>
        <w:t>Proposition de révision de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ST.88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3C487D2D" w14:textId="52634A45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S/11/5.</w:t>
      </w:r>
    </w:p>
    <w:p w14:paraId="43F6F1E7" w14:textId="27E72427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amélioration des métadonnées relatives aux œuvres orphelines protégées par le droit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auteur dans la norme</w:t>
      </w:r>
      <w:r w:rsidR="00FF7B0F" w:rsidRPr="00A245EF">
        <w:rPr>
          <w:lang w:val="fr-FR"/>
        </w:rPr>
        <w:t> </w:t>
      </w:r>
      <w:r w:rsidRPr="00A245EF">
        <w:rPr>
          <w:lang w:val="fr-FR"/>
        </w:rPr>
        <w:t>ST.96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3EE7AF51" w14:textId="1B21941D" w:rsidR="009262FE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S/11/19.</w:t>
      </w:r>
    </w:p>
    <w:p w14:paraId="015889DF" w14:textId="2850CD7B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de principes directeurs concernant le nettoyage des données des noms</w:t>
      </w:r>
    </w:p>
    <w:p w14:paraId="27CEE9A8" w14:textId="7EF20EDE" w:rsidR="009262FE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S/11/23.</w:t>
      </w:r>
    </w:p>
    <w:p w14:paraId="744DD77B" w14:textId="318B9589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Mise en œuvre des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 par les offices</w:t>
      </w:r>
    </w:p>
    <w:p w14:paraId="695072E1" w14:textId="28AE4F04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ST.26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4E5422D7" w14:textId="7F250976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ST.37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0CC96AAD" w14:textId="62812F65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Normes</w:t>
      </w:r>
      <w:r w:rsidR="00906EB0">
        <w:rPr>
          <w:lang w:val="fr-FR"/>
        </w:rPr>
        <w:t> </w:t>
      </w:r>
      <w:r w:rsidRPr="00A245EF">
        <w:rPr>
          <w:lang w:val="fr-FR"/>
        </w:rPr>
        <w:t>ST.27, ST.61 et ST.87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 sur la situation juridique</w:t>
      </w:r>
    </w:p>
    <w:p w14:paraId="260E16C9" w14:textId="66EB2283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ST.90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7379C86D" w14:textId="0F75F105" w:rsidR="009262FE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ST.91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1B9D68E0" w14:textId="75D0152E" w:rsidR="009262FE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Norme</w:t>
      </w:r>
      <w:r w:rsidR="00906EB0">
        <w:rPr>
          <w:lang w:val="fr-FR"/>
        </w:rPr>
        <w:t> </w:t>
      </w:r>
      <w:r w:rsidRPr="00A245EF">
        <w:rPr>
          <w:lang w:val="fr-FR"/>
        </w:rPr>
        <w:t>ST.96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51C57FFF" w14:textId="0D40B4FF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Autres normes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OMPI</w:t>
      </w:r>
    </w:p>
    <w:p w14:paraId="20CC2AA3" w14:textId="3635B0A3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Politiques et activités relatives aux données de propriété intellectuelle, aux systèmes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services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</w:t>
      </w:r>
    </w:p>
    <w:p w14:paraId="538C7040" w14:textId="02F02920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Stratégies et politiques des offices de propriété intellectuelle concernant les technologies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de la communication et la transformation numérique</w:t>
      </w:r>
    </w:p>
    <w:p w14:paraId="4DBB3A90" w14:textId="3BDEE1B2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Recommandations concernant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administration des technologies de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information et de la communication et de la propriété intellectuelle</w:t>
      </w:r>
    </w:p>
    <w:p w14:paraId="22C2950F" w14:textId="2DE72D6B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S/11/18.</w:t>
      </w:r>
    </w:p>
    <w:p w14:paraId="1DDD25C3" w14:textId="77777777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Identifiant mondial pour les personnes physiques et les personnes morales</w:t>
      </w:r>
    </w:p>
    <w:p w14:paraId="47FE5DFD" w14:textId="044750D3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S/11/17.</w:t>
      </w:r>
    </w:p>
    <w:p w14:paraId="04689CF0" w14:textId="431CA1CE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Proposition de questionnaire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enquête sur les pratiques des offices de propriété intellectuelle en matière de citations</w:t>
      </w:r>
    </w:p>
    <w:p w14:paraId="3C59577D" w14:textId="3FD2C442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S/11/16.</w:t>
      </w:r>
    </w:p>
    <w:p w14:paraId="4A7E2802" w14:textId="44B9B554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</w:t>
      </w:r>
      <w:r w:rsidR="00906EB0">
        <w:rPr>
          <w:lang w:val="fr-FR"/>
        </w:rPr>
        <w:t> </w:t>
      </w:r>
      <w:r w:rsidRPr="00A245EF">
        <w:rPr>
          <w:lang w:val="fr-FR"/>
        </w:rPr>
        <w:t>2022 sur les rapports techniques annuels</w:t>
      </w:r>
    </w:p>
    <w:p w14:paraId="64D1A725" w14:textId="77777777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Collaboration et appui techniques</w:t>
      </w:r>
    </w:p>
    <w:p w14:paraId="58C2D2B7" w14:textId="41F959EC" w:rsidR="009262FE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Rapport présenté par le Bureau international sur la prestation de services consultatifs et d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assistance technique aux fins du renforcement des capacités des offices de propriété industrielle en rapport avec le mandat</w:t>
      </w:r>
      <w:r w:rsidR="009262FE" w:rsidRPr="00A245EF">
        <w:rPr>
          <w:lang w:val="fr-FR"/>
        </w:rPr>
        <w:t xml:space="preserve"> du CWS</w:t>
      </w:r>
    </w:p>
    <w:p w14:paraId="3A4BB68C" w14:textId="429BF3E7" w:rsidR="005B2246" w:rsidRPr="00A245EF" w:rsidRDefault="005B2246" w:rsidP="00882E4B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A245EF">
        <w:rPr>
          <w:lang w:val="fr-FR"/>
        </w:rPr>
        <w:t xml:space="preserve">Voir le </w:t>
      </w:r>
      <w:r w:rsidR="009262FE" w:rsidRPr="00A245EF">
        <w:rPr>
          <w:lang w:val="fr-FR"/>
        </w:rPr>
        <w:t>document</w:t>
      </w:r>
      <w:r w:rsidR="00906EB0">
        <w:rPr>
          <w:lang w:val="fr-FR"/>
        </w:rPr>
        <w:t> </w:t>
      </w:r>
      <w:r w:rsidR="009262FE" w:rsidRPr="00A245EF">
        <w:rPr>
          <w:lang w:val="fr-FR"/>
        </w:rPr>
        <w:t>CW</w:t>
      </w:r>
      <w:r w:rsidRPr="00A245EF">
        <w:rPr>
          <w:lang w:val="fr-FR"/>
        </w:rPr>
        <w:t>S/11/10.</w:t>
      </w:r>
    </w:p>
    <w:p w14:paraId="05A6E85D" w14:textId="3719DFB9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lastRenderedPageBreak/>
        <w:t>Élaboration de solutions TIC communes à l</w:t>
      </w:r>
      <w:r w:rsidR="009262FE" w:rsidRPr="00A245EF">
        <w:rPr>
          <w:lang w:val="fr-FR"/>
        </w:rPr>
        <w:t>’</w:t>
      </w:r>
      <w:r w:rsidRPr="00A245EF">
        <w:rPr>
          <w:lang w:val="fr-FR"/>
        </w:rPr>
        <w:t>usage des offices</w:t>
      </w:r>
    </w:p>
    <w:p w14:paraId="6F2CE08B" w14:textId="77777777" w:rsidR="005B2246" w:rsidRPr="00A245EF" w:rsidRDefault="005B2246" w:rsidP="00882E4B">
      <w:pPr>
        <w:pStyle w:val="ONUMFS"/>
        <w:numPr>
          <w:ilvl w:val="1"/>
          <w:numId w:val="6"/>
        </w:numPr>
        <w:rPr>
          <w:lang w:val="fr-FR"/>
        </w:rPr>
      </w:pPr>
      <w:r w:rsidRPr="00A245EF">
        <w:rPr>
          <w:lang w:val="fr-FR"/>
        </w:rPr>
        <w:t>Projets de coopération technique entre les offices</w:t>
      </w:r>
    </w:p>
    <w:p w14:paraId="27AF2D82" w14:textId="77777777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Résumé présenté par la présidente</w:t>
      </w:r>
    </w:p>
    <w:p w14:paraId="06719531" w14:textId="77777777" w:rsidR="005B2246" w:rsidRPr="00A245EF" w:rsidRDefault="005B2246" w:rsidP="00882E4B">
      <w:pPr>
        <w:pStyle w:val="ONUMFS"/>
        <w:rPr>
          <w:lang w:val="fr-FR"/>
        </w:rPr>
      </w:pPr>
      <w:r w:rsidRPr="00A245EF">
        <w:rPr>
          <w:lang w:val="fr-FR"/>
        </w:rPr>
        <w:t>Clôture de la session</w:t>
      </w:r>
    </w:p>
    <w:p w14:paraId="6D0030B2" w14:textId="77777777" w:rsidR="000F5E56" w:rsidRPr="00A245EF" w:rsidRDefault="00760C09" w:rsidP="00760C09">
      <w:pPr>
        <w:pStyle w:val="Endofdocument-Annex"/>
        <w:rPr>
          <w:lang w:val="fr-FR"/>
        </w:rPr>
      </w:pPr>
      <w:r w:rsidRPr="00A245EF">
        <w:rPr>
          <w:lang w:val="fr-FR"/>
        </w:rPr>
        <w:t>[Fin du document]</w:t>
      </w:r>
    </w:p>
    <w:sectPr w:rsidR="000F5E56" w:rsidRPr="00A245EF" w:rsidSect="001D5F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67785" w14:textId="77777777" w:rsidR="00E61AE0" w:rsidRDefault="00E61AE0">
      <w:r>
        <w:separator/>
      </w:r>
    </w:p>
  </w:endnote>
  <w:endnote w:type="continuationSeparator" w:id="0">
    <w:p w14:paraId="2C1D3F34" w14:textId="77777777" w:rsidR="00E61AE0" w:rsidRPr="009D30E6" w:rsidRDefault="00E61AE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90E749F" w14:textId="77777777" w:rsidR="00E61AE0" w:rsidRPr="009D30E6" w:rsidRDefault="00E61AE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FD3B3A8" w14:textId="77777777" w:rsidR="00E61AE0" w:rsidRPr="009D30E6" w:rsidRDefault="00E61AE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80E4" w14:textId="77777777" w:rsidR="0023510F" w:rsidRDefault="00235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32ED" w14:textId="77777777" w:rsidR="0023510F" w:rsidRDefault="002351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24F7" w14:textId="77777777" w:rsidR="0023510F" w:rsidRDefault="00235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A11EF" w14:textId="77777777" w:rsidR="00E61AE0" w:rsidRDefault="00E61AE0">
      <w:r>
        <w:separator/>
      </w:r>
    </w:p>
  </w:footnote>
  <w:footnote w:type="continuationSeparator" w:id="0">
    <w:p w14:paraId="0769B433" w14:textId="77777777" w:rsidR="00E61AE0" w:rsidRDefault="00E61AE0" w:rsidP="007461F1">
      <w:r>
        <w:separator/>
      </w:r>
    </w:p>
    <w:p w14:paraId="7D32B5EE" w14:textId="77777777" w:rsidR="00E61AE0" w:rsidRPr="009D30E6" w:rsidRDefault="00E61AE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CEE6596" w14:textId="77777777" w:rsidR="00E61AE0" w:rsidRPr="009D30E6" w:rsidRDefault="00E61AE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D249" w14:textId="77777777" w:rsidR="0023510F" w:rsidRDefault="00235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177D" w14:textId="7186ECF5" w:rsidR="00F16975" w:rsidRPr="00B45C15" w:rsidRDefault="00760C09" w:rsidP="00477D6B">
    <w:pPr>
      <w:jc w:val="right"/>
      <w:rPr>
        <w:caps/>
      </w:rPr>
    </w:pPr>
    <w:bookmarkStart w:id="7" w:name="Code2"/>
    <w:bookmarkEnd w:id="7"/>
    <w:r>
      <w:rPr>
        <w:caps/>
      </w:rPr>
      <w:t>CWS</w:t>
    </w:r>
    <w:r w:rsidR="001D5F41">
      <w:rPr>
        <w:caps/>
      </w:rPr>
      <w:t>/</w:t>
    </w:r>
    <w:r>
      <w:rPr>
        <w:caps/>
      </w:rPr>
      <w:t>11</w:t>
    </w:r>
    <w:r w:rsidR="001D5F41">
      <w:rPr>
        <w:caps/>
      </w:rPr>
      <w:t>/</w:t>
    </w:r>
    <w:r>
      <w:rPr>
        <w:caps/>
      </w:rPr>
      <w:t>1 </w:t>
    </w:r>
    <w:r w:rsidRPr="001D5F41">
      <w:t>Prov.</w:t>
    </w:r>
    <w:r w:rsidR="005B2246">
      <w:t>2</w:t>
    </w:r>
  </w:p>
  <w:p w14:paraId="78E6FAF6" w14:textId="3ADA4596" w:rsidR="00574036" w:rsidRDefault="001D5F41" w:rsidP="001D5F41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35F37">
      <w:rPr>
        <w:noProof/>
      </w:rPr>
      <w:t>4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142D" w14:textId="77777777" w:rsidR="0023510F" w:rsidRDefault="00235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7C80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09"/>
    <w:rsid w:val="00011B7D"/>
    <w:rsid w:val="00075432"/>
    <w:rsid w:val="0009458A"/>
    <w:rsid w:val="000F5E56"/>
    <w:rsid w:val="001317E9"/>
    <w:rsid w:val="001362EE"/>
    <w:rsid w:val="001832A6"/>
    <w:rsid w:val="00195C6E"/>
    <w:rsid w:val="00197964"/>
    <w:rsid w:val="001B266A"/>
    <w:rsid w:val="001B488E"/>
    <w:rsid w:val="001C6508"/>
    <w:rsid w:val="001D3D56"/>
    <w:rsid w:val="001D5F41"/>
    <w:rsid w:val="0023510F"/>
    <w:rsid w:val="00236694"/>
    <w:rsid w:val="00240654"/>
    <w:rsid w:val="002634C4"/>
    <w:rsid w:val="002956DE"/>
    <w:rsid w:val="002D09ED"/>
    <w:rsid w:val="002E4D1A"/>
    <w:rsid w:val="002F16BC"/>
    <w:rsid w:val="002F4E68"/>
    <w:rsid w:val="00322C0B"/>
    <w:rsid w:val="00381798"/>
    <w:rsid w:val="003845C1"/>
    <w:rsid w:val="00387804"/>
    <w:rsid w:val="003A67A3"/>
    <w:rsid w:val="004008A2"/>
    <w:rsid w:val="004025DF"/>
    <w:rsid w:val="0040540C"/>
    <w:rsid w:val="00423E3E"/>
    <w:rsid w:val="00427AF4"/>
    <w:rsid w:val="00435F37"/>
    <w:rsid w:val="004647DA"/>
    <w:rsid w:val="00477D6B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B2246"/>
    <w:rsid w:val="005E6516"/>
    <w:rsid w:val="00605827"/>
    <w:rsid w:val="00616671"/>
    <w:rsid w:val="00623EAB"/>
    <w:rsid w:val="006B0DB5"/>
    <w:rsid w:val="00726A01"/>
    <w:rsid w:val="007461F1"/>
    <w:rsid w:val="00760C09"/>
    <w:rsid w:val="007D6961"/>
    <w:rsid w:val="007F07CB"/>
    <w:rsid w:val="00810CEF"/>
    <w:rsid w:val="0081208D"/>
    <w:rsid w:val="00882E4B"/>
    <w:rsid w:val="008B2CC1"/>
    <w:rsid w:val="008E7930"/>
    <w:rsid w:val="00906EB0"/>
    <w:rsid w:val="0090731E"/>
    <w:rsid w:val="009262FE"/>
    <w:rsid w:val="00966A22"/>
    <w:rsid w:val="00974CD6"/>
    <w:rsid w:val="009A4569"/>
    <w:rsid w:val="009D30E6"/>
    <w:rsid w:val="009E3F6F"/>
    <w:rsid w:val="009F499F"/>
    <w:rsid w:val="00A11D74"/>
    <w:rsid w:val="00A245EF"/>
    <w:rsid w:val="00A72B63"/>
    <w:rsid w:val="00A773CA"/>
    <w:rsid w:val="00AC0AE4"/>
    <w:rsid w:val="00AD61DB"/>
    <w:rsid w:val="00B1090C"/>
    <w:rsid w:val="00B35AF5"/>
    <w:rsid w:val="00B45C15"/>
    <w:rsid w:val="00BE0BE0"/>
    <w:rsid w:val="00C17E57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61AE0"/>
    <w:rsid w:val="00E76456"/>
    <w:rsid w:val="00EE71CB"/>
    <w:rsid w:val="00F16975"/>
    <w:rsid w:val="00F66152"/>
    <w:rsid w:val="00FE19E9"/>
    <w:rsid w:val="00FF4371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66E6B"/>
  <w15:docId w15:val="{04B6484F-B0AF-4FA2-A609-739E9499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760C09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760C09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A72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369CA-6E1B-4E70-8848-2E2088ED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0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Prov.2</vt:lpstr>
    </vt:vector>
  </TitlesOfParts>
  <Company>WIPO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Prov.2</dc:title>
  <dc:creator>WIPO</dc:creator>
  <cp:keywords>FOR OFFICIAL USE ONLY</cp:keywords>
  <cp:lastModifiedBy>SEILER Joséphine</cp:lastModifiedBy>
  <cp:revision>3</cp:revision>
  <cp:lastPrinted>2023-10-05T13:13:00Z</cp:lastPrinted>
  <dcterms:created xsi:type="dcterms:W3CDTF">2023-10-05T13:13:00Z</dcterms:created>
  <dcterms:modified xsi:type="dcterms:W3CDTF">2023-10-05T13:13:00Z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2023-08-22T13:40:23Z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ae2de890-c04b-471c-915a-2f7e09545a58</vt:lpwstr>
  </property>
  <property fmtid="{D5CDD505-2E9C-101B-9397-08002B2CF9AE}" pid="13" name="MSIP_Label_20773ee6-353b-4fb9-a59d-0b94c8c67bea_ContentBits">
    <vt:lpwstr>0</vt:lpwstr>
  </property>
</Properties>
</file>