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80EA" w14:textId="77777777" w:rsidR="008B2CC1" w:rsidRPr="00432B1A" w:rsidRDefault="0040540C" w:rsidP="004D5CE1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432B1A">
        <w:rPr>
          <w:noProof/>
          <w:lang w:val="fr-FR" w:eastAsia="en-US"/>
        </w:rPr>
        <w:drawing>
          <wp:inline distT="0" distB="0" distL="0" distR="0" wp14:anchorId="69C03A3E" wp14:editId="0E875BAE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458A5" w14:textId="72125C1F" w:rsidR="00B1090C" w:rsidRPr="00432B1A" w:rsidRDefault="00533626" w:rsidP="004D5CE1">
      <w:pPr>
        <w:jc w:val="right"/>
        <w:rPr>
          <w:rFonts w:ascii="Arial Black" w:hAnsi="Arial Black"/>
          <w:caps/>
          <w:sz w:val="15"/>
          <w:lang w:val="fr-FR"/>
        </w:rPr>
      </w:pPr>
      <w:r w:rsidRPr="00432B1A">
        <w:rPr>
          <w:rFonts w:ascii="Arial Black" w:hAnsi="Arial Black"/>
          <w:caps/>
          <w:sz w:val="15"/>
          <w:lang w:val="fr-FR"/>
        </w:rPr>
        <w:t>CWS/11</w:t>
      </w:r>
      <w:bookmarkStart w:id="0" w:name="Code"/>
      <w:bookmarkEnd w:id="0"/>
      <w:r w:rsidR="006A4690" w:rsidRPr="00432B1A">
        <w:rPr>
          <w:rFonts w:ascii="Arial Black" w:hAnsi="Arial Black"/>
          <w:caps/>
          <w:sz w:val="15"/>
          <w:lang w:val="fr-FR"/>
        </w:rPr>
        <w:t>/1</w:t>
      </w:r>
      <w:r w:rsidR="00DA3496" w:rsidRPr="00432B1A">
        <w:rPr>
          <w:rFonts w:ascii="Arial Black" w:hAnsi="Arial Black"/>
          <w:caps/>
          <w:sz w:val="15"/>
          <w:lang w:val="fr-FR"/>
        </w:rPr>
        <w:t>3</w:t>
      </w:r>
    </w:p>
    <w:p w14:paraId="101957EF" w14:textId="6DA99C00" w:rsidR="008B2CC1" w:rsidRPr="00432B1A" w:rsidRDefault="00B1090C" w:rsidP="004D5CE1">
      <w:pPr>
        <w:jc w:val="right"/>
        <w:rPr>
          <w:rFonts w:ascii="Arial Black" w:hAnsi="Arial Black"/>
          <w:sz w:val="15"/>
          <w:szCs w:val="15"/>
          <w:lang w:val="fr-FR"/>
        </w:rPr>
      </w:pPr>
      <w:r w:rsidRPr="00432B1A">
        <w:rPr>
          <w:rFonts w:ascii="Arial Black" w:hAnsi="Arial Black"/>
          <w:caps/>
          <w:sz w:val="15"/>
          <w:lang w:val="fr-FR"/>
        </w:rPr>
        <w:t>ORIGINAL</w:t>
      </w:r>
      <w:r w:rsidR="00E86DEA" w:rsidRPr="00432B1A">
        <w:rPr>
          <w:rFonts w:ascii="Arial Black" w:hAnsi="Arial Black"/>
          <w:caps/>
          <w:sz w:val="15"/>
          <w:lang w:val="fr-FR"/>
        </w:rPr>
        <w:t> :</w:t>
      </w:r>
      <w:r w:rsidR="002956DE" w:rsidRPr="00432B1A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6A4690" w:rsidRPr="00432B1A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374F22D3" w14:textId="0EE96979" w:rsidR="008B2CC1" w:rsidRPr="00432B1A" w:rsidRDefault="00B1090C" w:rsidP="004D5CE1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432B1A">
        <w:rPr>
          <w:rFonts w:ascii="Arial Black" w:hAnsi="Arial Black"/>
          <w:caps/>
          <w:sz w:val="15"/>
          <w:szCs w:val="15"/>
          <w:lang w:val="fr-FR"/>
        </w:rPr>
        <w:t>DATE</w:t>
      </w:r>
      <w:r w:rsidR="00E86DEA" w:rsidRPr="00432B1A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432B1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6A4690" w:rsidRPr="00432B1A">
        <w:rPr>
          <w:rFonts w:ascii="Arial Black" w:hAnsi="Arial Black"/>
          <w:caps/>
          <w:sz w:val="15"/>
          <w:szCs w:val="15"/>
          <w:lang w:val="fr-FR"/>
        </w:rPr>
        <w:t>18 octobre 2023</w:t>
      </w:r>
    </w:p>
    <w:bookmarkEnd w:id="2"/>
    <w:p w14:paraId="71F7CF91" w14:textId="2607A840" w:rsidR="00533626" w:rsidRPr="00432B1A" w:rsidRDefault="00533626" w:rsidP="004D5CE1">
      <w:pPr>
        <w:spacing w:after="600"/>
        <w:rPr>
          <w:b/>
          <w:sz w:val="28"/>
          <w:szCs w:val="28"/>
          <w:lang w:val="fr-FR"/>
        </w:rPr>
      </w:pPr>
      <w:r w:rsidRPr="00432B1A">
        <w:rPr>
          <w:b/>
          <w:sz w:val="28"/>
          <w:szCs w:val="28"/>
          <w:lang w:val="fr-FR"/>
        </w:rPr>
        <w:t>Comité des normes de l</w:t>
      </w:r>
      <w:r w:rsidR="00E86DEA" w:rsidRPr="00432B1A">
        <w:rPr>
          <w:b/>
          <w:sz w:val="28"/>
          <w:szCs w:val="28"/>
          <w:lang w:val="fr-FR"/>
        </w:rPr>
        <w:t>’</w:t>
      </w:r>
      <w:r w:rsidRPr="00432B1A">
        <w:rPr>
          <w:b/>
          <w:sz w:val="28"/>
          <w:szCs w:val="28"/>
          <w:lang w:val="fr-FR"/>
        </w:rPr>
        <w:t>OMPI (CWS)</w:t>
      </w:r>
    </w:p>
    <w:p w14:paraId="4AE2E27D" w14:textId="56FC79F1" w:rsidR="00533626" w:rsidRPr="00432B1A" w:rsidRDefault="00533626" w:rsidP="004D5CE1">
      <w:pPr>
        <w:rPr>
          <w:b/>
          <w:sz w:val="28"/>
          <w:szCs w:val="24"/>
          <w:lang w:val="fr-FR"/>
        </w:rPr>
      </w:pPr>
      <w:r w:rsidRPr="00432B1A">
        <w:rPr>
          <w:b/>
          <w:sz w:val="24"/>
          <w:lang w:val="fr-FR"/>
        </w:rPr>
        <w:t>Onz</w:t>
      </w:r>
      <w:r w:rsidR="00E86DEA" w:rsidRPr="00432B1A">
        <w:rPr>
          <w:b/>
          <w:sz w:val="24"/>
          <w:lang w:val="fr-FR"/>
        </w:rPr>
        <w:t>ième session</w:t>
      </w:r>
    </w:p>
    <w:p w14:paraId="7D17B624" w14:textId="09AE8978" w:rsidR="008B2CC1" w:rsidRPr="00432B1A" w:rsidRDefault="006A4690" w:rsidP="004D5CE1">
      <w:pPr>
        <w:spacing w:after="720"/>
        <w:rPr>
          <w:caps/>
          <w:sz w:val="24"/>
          <w:lang w:val="fr-FR"/>
        </w:rPr>
      </w:pPr>
      <w:bookmarkStart w:id="3" w:name="TitleOfDoc"/>
      <w:r w:rsidRPr="00432B1A">
        <w:rPr>
          <w:b/>
          <w:sz w:val="24"/>
          <w:lang w:val="fr-FR"/>
        </w:rPr>
        <w:t>Genève, 4 – 8 décembre 2023</w:t>
      </w:r>
    </w:p>
    <w:p w14:paraId="390179CA" w14:textId="59BF832B" w:rsidR="00DA3496" w:rsidRPr="00432B1A" w:rsidRDefault="00DA3496" w:rsidP="00DA3496">
      <w:pPr>
        <w:spacing w:after="360"/>
        <w:rPr>
          <w:caps/>
          <w:sz w:val="24"/>
          <w:lang w:val="fr-FR"/>
        </w:rPr>
      </w:pPr>
      <w:bookmarkStart w:id="4" w:name="Prepared"/>
      <w:bookmarkEnd w:id="3"/>
      <w:bookmarkEnd w:id="4"/>
      <w:r w:rsidRPr="00432B1A">
        <w:rPr>
          <w:caps/>
          <w:sz w:val="24"/>
          <w:lang w:val="fr-FR"/>
        </w:rPr>
        <w:t>Rapport de l</w:t>
      </w:r>
      <w:r w:rsidR="00E86DEA" w:rsidRPr="00432B1A">
        <w:rPr>
          <w:caps/>
          <w:sz w:val="24"/>
          <w:lang w:val="fr-FR"/>
        </w:rPr>
        <w:t>’</w:t>
      </w:r>
      <w:r w:rsidRPr="00432B1A">
        <w:rPr>
          <w:caps/>
          <w:sz w:val="24"/>
          <w:lang w:val="fr-FR"/>
        </w:rPr>
        <w:t>Équipe d</w:t>
      </w:r>
      <w:r w:rsidR="00E86DEA" w:rsidRPr="00432B1A">
        <w:rPr>
          <w:caps/>
          <w:sz w:val="24"/>
          <w:lang w:val="fr-FR"/>
        </w:rPr>
        <w:t>’</w:t>
      </w:r>
      <w:r w:rsidRPr="00432B1A">
        <w:rPr>
          <w:caps/>
          <w:sz w:val="24"/>
          <w:lang w:val="fr-FR"/>
        </w:rPr>
        <w:t>experts chargée de la situation juridique (tâche n° 47)</w:t>
      </w:r>
    </w:p>
    <w:p w14:paraId="08AA0C0F" w14:textId="416475E5" w:rsidR="00DA3496" w:rsidRPr="00432B1A" w:rsidRDefault="00DA3496" w:rsidP="00DA3496">
      <w:pPr>
        <w:spacing w:after="960"/>
        <w:rPr>
          <w:i/>
          <w:lang w:val="fr-FR"/>
        </w:rPr>
      </w:pPr>
      <w:r w:rsidRPr="00432B1A">
        <w:rPr>
          <w:i/>
          <w:lang w:val="fr-FR"/>
        </w:rPr>
        <w:t>Document établi par le responsable de l</w:t>
      </w:r>
      <w:r w:rsidR="00E86DEA" w:rsidRPr="00432B1A">
        <w:rPr>
          <w:i/>
          <w:lang w:val="fr-FR"/>
        </w:rPr>
        <w:t>’</w:t>
      </w:r>
      <w:r w:rsidRPr="00432B1A">
        <w:rPr>
          <w:i/>
          <w:lang w:val="fr-FR"/>
        </w:rPr>
        <w:t>Équipe d</w:t>
      </w:r>
      <w:r w:rsidR="00E86DEA" w:rsidRPr="00432B1A">
        <w:rPr>
          <w:i/>
          <w:lang w:val="fr-FR"/>
        </w:rPr>
        <w:t>’</w:t>
      </w:r>
      <w:r w:rsidRPr="00432B1A">
        <w:rPr>
          <w:i/>
          <w:lang w:val="fr-FR"/>
        </w:rPr>
        <w:t>experts chargée de la situation juridique</w:t>
      </w:r>
    </w:p>
    <w:p w14:paraId="7E9D4E79" w14:textId="77777777" w:rsidR="00DA3496" w:rsidRPr="00432B1A" w:rsidRDefault="00DA3496" w:rsidP="00213E66">
      <w:pPr>
        <w:pStyle w:val="Heading2"/>
        <w:rPr>
          <w:lang w:val="fr-FR"/>
        </w:rPr>
      </w:pPr>
      <w:r w:rsidRPr="00432B1A">
        <w:rPr>
          <w:lang w:val="fr-FR"/>
        </w:rPr>
        <w:t>Résumé</w:t>
      </w:r>
    </w:p>
    <w:p w14:paraId="5638FCB5" w14:textId="08CBD42F" w:rsidR="00E86DEA" w:rsidRPr="00432B1A" w:rsidRDefault="00DA3496" w:rsidP="00213E66">
      <w:pPr>
        <w:pStyle w:val="ONUMFS"/>
        <w:rPr>
          <w:lang w:val="fr-FR"/>
        </w:rPr>
      </w:pPr>
      <w:r w:rsidRPr="00432B1A">
        <w:rPr>
          <w:lang w:val="fr-FR"/>
        </w:rPr>
        <w:t>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situation juridique est responsable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élaboration et des révisions des normes ST.27, ST.61 et ST.87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 relatives à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 xml:space="preserve">échange de données </w:t>
      </w:r>
      <w:proofErr w:type="gramStart"/>
      <w:r w:rsidRPr="00432B1A">
        <w:rPr>
          <w:lang w:val="fr-FR"/>
        </w:rPr>
        <w:t>sur</w:t>
      </w:r>
      <w:proofErr w:type="gramEnd"/>
      <w:r w:rsidRPr="00432B1A">
        <w:rPr>
          <w:lang w:val="fr-FR"/>
        </w:rPr>
        <w:t xml:space="preserve"> la situation juridiq</w:t>
      </w:r>
      <w:r w:rsidR="009D3496" w:rsidRPr="00432B1A">
        <w:rPr>
          <w:lang w:val="fr-FR"/>
        </w:rPr>
        <w:t>ue.  De</w:t>
      </w:r>
      <w:r w:rsidRPr="00432B1A">
        <w:rPr>
          <w:lang w:val="fr-FR"/>
        </w:rPr>
        <w:t>puis la dernière session du Comité des normes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 (CWS),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situation juridique a notamment collaboré avec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chargés de la norme XML4IP en vue de produire des schémas XML permettant de saisir des données sur la situation juridique des marques.</w:t>
      </w:r>
    </w:p>
    <w:p w14:paraId="50C9029C" w14:textId="43C42129" w:rsidR="00DA3496" w:rsidRPr="00432B1A" w:rsidRDefault="00213E66" w:rsidP="00213E66">
      <w:pPr>
        <w:pStyle w:val="Heading2"/>
        <w:rPr>
          <w:rFonts w:eastAsia="Malgun Gothic"/>
          <w:szCs w:val="22"/>
          <w:lang w:val="fr-FR"/>
        </w:rPr>
      </w:pPr>
      <w:r w:rsidRPr="00432B1A">
        <w:rPr>
          <w:lang w:val="fr-FR"/>
        </w:rPr>
        <w:t>Contexte</w:t>
      </w:r>
    </w:p>
    <w:p w14:paraId="4A760D16" w14:textId="57737E36" w:rsidR="00DA3496" w:rsidRPr="00432B1A" w:rsidRDefault="00DA3496" w:rsidP="00213E66">
      <w:pPr>
        <w:pStyle w:val="ONUMFS"/>
        <w:rPr>
          <w:lang w:val="fr-FR"/>
        </w:rPr>
      </w:pPr>
      <w:r w:rsidRPr="00432B1A">
        <w:rPr>
          <w:lang w:val="fr-FR"/>
        </w:rPr>
        <w:t>À sa trois</w:t>
      </w:r>
      <w:r w:rsidR="00E86DEA" w:rsidRPr="00432B1A">
        <w:rPr>
          <w:lang w:val="fr-FR"/>
        </w:rPr>
        <w:t>ième session</w:t>
      </w:r>
      <w:r w:rsidRPr="00432B1A">
        <w:rPr>
          <w:lang w:val="fr-FR"/>
        </w:rPr>
        <w:t>, tenue en 2013, le CWS a créé la tâche n° 47</w:t>
      </w:r>
      <w:r w:rsidR="00E86DEA" w:rsidRPr="00432B1A">
        <w:rPr>
          <w:lang w:val="fr-FR"/>
        </w:rPr>
        <w:t> :</w:t>
      </w:r>
      <w:r w:rsidRPr="00432B1A">
        <w:rPr>
          <w:lang w:val="fr-FR"/>
        </w:rPr>
        <w:t xml:space="preserve"> “</w:t>
      </w:r>
      <w:r w:rsidRPr="00432B1A">
        <w:rPr>
          <w:i/>
          <w:iCs/>
          <w:lang w:val="fr-FR"/>
        </w:rPr>
        <w:t>Élaborer une proposition relative à l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établissement d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une nouvelle norme de l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OMPI concernant l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échange de données sur la situation juridique des brevets par les offices de propriété industriel</w:t>
      </w:r>
      <w:r w:rsidR="009D3496" w:rsidRPr="00432B1A">
        <w:rPr>
          <w:i/>
          <w:iCs/>
          <w:lang w:val="fr-FR"/>
        </w:rPr>
        <w:t>le.  Un</w:t>
      </w:r>
      <w:r w:rsidRPr="00432B1A">
        <w:rPr>
          <w:i/>
          <w:iCs/>
          <w:lang w:val="fr-FR"/>
        </w:rPr>
        <w:t>e fois cette tâche achevée, la proposition correspondante devrait être étendue aux marques et aux dessins et modèles industriels”.</w:t>
      </w:r>
      <w:r w:rsidRPr="00432B1A">
        <w:rPr>
          <w:i/>
          <w:lang w:val="fr-FR"/>
        </w:rPr>
        <w:t xml:space="preserve">  </w:t>
      </w:r>
      <w:r w:rsidRPr="00432B1A">
        <w:rPr>
          <w:lang w:val="fr-FR"/>
        </w:rPr>
        <w:t>Le CWS a également établi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situation juridique et a désigné le Bureau international comme responsable (voir les paragraphes 50 et 54 du document</w:t>
      </w:r>
      <w:r w:rsidR="00225EFB">
        <w:rPr>
          <w:lang w:val="fr-FR"/>
        </w:rPr>
        <w:t> </w:t>
      </w:r>
      <w:r w:rsidRPr="00432B1A">
        <w:rPr>
          <w:lang w:val="fr-FR"/>
        </w:rPr>
        <w:t>CWS/3/14).</w:t>
      </w:r>
    </w:p>
    <w:p w14:paraId="28EAEADE" w14:textId="7D5BD267" w:rsidR="00DA3496" w:rsidRPr="00432B1A" w:rsidRDefault="00DA3496" w:rsidP="00213E66">
      <w:pPr>
        <w:pStyle w:val="ONUMFS"/>
        <w:rPr>
          <w:lang w:val="fr-FR"/>
        </w:rPr>
      </w:pPr>
      <w:r w:rsidRPr="00432B1A">
        <w:rPr>
          <w:lang w:val="fr-FR"/>
        </w:rPr>
        <w:t>À sa cinqu</w:t>
      </w:r>
      <w:r w:rsidR="00E86DEA" w:rsidRPr="00432B1A">
        <w:rPr>
          <w:lang w:val="fr-FR"/>
        </w:rPr>
        <w:t>ième session</w:t>
      </w:r>
      <w:r w:rsidRPr="00432B1A">
        <w:rPr>
          <w:lang w:val="fr-FR"/>
        </w:rPr>
        <w:t>, tenue en 2017, le CWS a adopté la norme ST.27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 intitulée “Recommandation concernant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échange de données sur la situation juridique des brevets” (voir les paragraphes 50 et 51 du document</w:t>
      </w:r>
      <w:r w:rsidR="00225EFB">
        <w:rPr>
          <w:lang w:val="fr-FR"/>
        </w:rPr>
        <w:t> </w:t>
      </w:r>
      <w:r w:rsidRPr="00432B1A">
        <w:rPr>
          <w:lang w:val="fr-FR"/>
        </w:rPr>
        <w:t>CWS/5/22).  À sa six</w:t>
      </w:r>
      <w:r w:rsidR="00E86DEA" w:rsidRPr="00432B1A">
        <w:rPr>
          <w:lang w:val="fr-FR"/>
        </w:rPr>
        <w:t>ième session</w:t>
      </w:r>
      <w:r w:rsidRPr="00432B1A">
        <w:rPr>
          <w:lang w:val="fr-FR"/>
        </w:rPr>
        <w:t>, tenue en 2018, il a adopté la norme ST.87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 intitulée “Recommandation concernant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échange de données sur la situation juridique des dessins et modèles industriels” (voir les paragraphes 102 et 105 du document</w:t>
      </w:r>
      <w:r w:rsidR="00225EFB">
        <w:rPr>
          <w:lang w:val="fr-FR"/>
        </w:rPr>
        <w:t> </w:t>
      </w:r>
      <w:r w:rsidRPr="00432B1A">
        <w:rPr>
          <w:lang w:val="fr-FR"/>
        </w:rPr>
        <w:t>CWS/6/34).</w:t>
      </w:r>
    </w:p>
    <w:p w14:paraId="31436010" w14:textId="04EBAF47" w:rsidR="00E86DEA" w:rsidRPr="00432B1A" w:rsidRDefault="00DA3496" w:rsidP="00213E66">
      <w:pPr>
        <w:pStyle w:val="ONUMFS"/>
        <w:rPr>
          <w:lang w:val="fr-FR"/>
        </w:rPr>
      </w:pPr>
      <w:r w:rsidRPr="00432B1A">
        <w:rPr>
          <w:lang w:val="fr-FR"/>
        </w:rPr>
        <w:lastRenderedPageBreak/>
        <w:t>À sa huit</w:t>
      </w:r>
      <w:r w:rsidR="00E86DEA" w:rsidRPr="00432B1A">
        <w:rPr>
          <w:lang w:val="fr-FR"/>
        </w:rPr>
        <w:t>ième session</w:t>
      </w:r>
      <w:r w:rsidRPr="00432B1A">
        <w:rPr>
          <w:lang w:val="fr-FR"/>
        </w:rPr>
        <w:t>, tenue en 2020, le CWS a adopté la norme ST.61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 intitulée “Recommandation concernant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échange de données sur la situation juridique des marques” (voir les paragraphes 26 et 28 du document</w:t>
      </w:r>
      <w:r w:rsidR="00225EFB">
        <w:rPr>
          <w:lang w:val="fr-FR"/>
        </w:rPr>
        <w:t> </w:t>
      </w:r>
      <w:r w:rsidRPr="00432B1A">
        <w:rPr>
          <w:lang w:val="fr-FR"/>
        </w:rPr>
        <w:t>CWS/8/24).  À cette même session, il a créé la tâche n° 47, dont la description actualisée se présente ainsi</w:t>
      </w:r>
      <w:r w:rsidR="00E86DEA" w:rsidRPr="00432B1A">
        <w:rPr>
          <w:lang w:val="fr-FR"/>
        </w:rPr>
        <w:t> :</w:t>
      </w:r>
    </w:p>
    <w:p w14:paraId="66A78BD9" w14:textId="0E61D24F" w:rsidR="00DA3496" w:rsidRPr="00432B1A" w:rsidRDefault="00DA3496" w:rsidP="001A78F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32B1A">
        <w:rPr>
          <w:i/>
          <w:iCs/>
          <w:lang w:val="fr-FR"/>
        </w:rPr>
        <w:t xml:space="preserve">“Procéder aux révisions et mises à jour nécessaires des normes ST.27, ST.87 et ST.61 de </w:t>
      </w:r>
      <w:proofErr w:type="gramStart"/>
      <w:r w:rsidRPr="00432B1A">
        <w:rPr>
          <w:i/>
          <w:iCs/>
          <w:lang w:val="fr-FR"/>
        </w:rPr>
        <w:t>l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OMPI;  établir</w:t>
      </w:r>
      <w:proofErr w:type="gramEnd"/>
      <w:r w:rsidRPr="00432B1A">
        <w:rPr>
          <w:i/>
          <w:iCs/>
          <w:lang w:val="fr-FR"/>
        </w:rPr>
        <w:t xml:space="preserve"> des documents d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appui pour faciliter l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utilisation de ces normes dans la communauté de la propriété intellectuelle;  analyser la possibilité de fusionner les trois normes ST.27, ST.87 et ST.61;  et soutenir l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Équipe d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experts chargée de la norme XML4IP dans l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élaboration des composantes du schéma XML pour les données relatives à la situation juridique.”</w:t>
      </w:r>
    </w:p>
    <w:p w14:paraId="3AA65448" w14:textId="6054B7E5" w:rsidR="00DA3496" w:rsidRPr="00432B1A" w:rsidRDefault="00DA3496" w:rsidP="001A78F2">
      <w:pPr>
        <w:pStyle w:val="ONUMFS"/>
        <w:numPr>
          <w:ilvl w:val="0"/>
          <w:numId w:val="0"/>
        </w:numPr>
        <w:rPr>
          <w:lang w:val="fr-FR"/>
        </w:rPr>
      </w:pPr>
      <w:r w:rsidRPr="00432B1A">
        <w:rPr>
          <w:lang w:val="fr-FR"/>
        </w:rPr>
        <w:t>(</w:t>
      </w:r>
      <w:proofErr w:type="gramStart"/>
      <w:r w:rsidR="001A78F2" w:rsidRPr="00432B1A">
        <w:rPr>
          <w:lang w:val="fr-FR"/>
        </w:rPr>
        <w:t>v</w:t>
      </w:r>
      <w:r w:rsidRPr="00432B1A">
        <w:rPr>
          <w:lang w:val="fr-FR"/>
        </w:rPr>
        <w:t>oir</w:t>
      </w:r>
      <w:proofErr w:type="gramEnd"/>
      <w:r w:rsidRPr="00432B1A">
        <w:rPr>
          <w:lang w:val="fr-FR"/>
        </w:rPr>
        <w:t xml:space="preserve"> les paragraphes 114 et 117 du document</w:t>
      </w:r>
      <w:r w:rsidR="00225EFB">
        <w:rPr>
          <w:lang w:val="fr-FR"/>
        </w:rPr>
        <w:t> </w:t>
      </w:r>
      <w:r w:rsidRPr="00432B1A">
        <w:rPr>
          <w:lang w:val="fr-FR"/>
        </w:rPr>
        <w:t>CWS/8/24).</w:t>
      </w:r>
    </w:p>
    <w:p w14:paraId="77F0A651" w14:textId="76201BA9" w:rsidR="00DA3496" w:rsidRPr="00432B1A" w:rsidRDefault="00DA3496" w:rsidP="00213E66">
      <w:pPr>
        <w:pStyle w:val="ONUMFS"/>
        <w:rPr>
          <w:lang w:val="fr-FR"/>
        </w:rPr>
      </w:pPr>
      <w:r w:rsidRPr="00432B1A">
        <w:rPr>
          <w:lang w:val="fr-FR"/>
        </w:rPr>
        <w:t>À sa neuv</w:t>
      </w:r>
      <w:r w:rsidR="00E86DEA" w:rsidRPr="00432B1A">
        <w:rPr>
          <w:lang w:val="fr-FR"/>
        </w:rPr>
        <w:t>ième session</w:t>
      </w:r>
      <w:r w:rsidRPr="00432B1A">
        <w:rPr>
          <w:lang w:val="fr-FR"/>
        </w:rPr>
        <w:t>, tenue en 2021, le CWS a pris note des progrès accomplis par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situation juridique concernant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analyse de la possibilité de fusion des normes ST.27, ST.87 et ST.61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 relatives à la situation juridique et a prié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de déterminer s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il convenait de poursuivre les travaux sur ce point ainsi que de formuler une recommandation à cet égard à la dix</w:t>
      </w:r>
      <w:r w:rsidR="00E86DEA" w:rsidRPr="00432B1A">
        <w:rPr>
          <w:lang w:val="fr-FR"/>
        </w:rPr>
        <w:t>ième session</w:t>
      </w:r>
      <w:r w:rsidRPr="00432B1A">
        <w:rPr>
          <w:lang w:val="fr-FR"/>
        </w:rPr>
        <w:t>, notamment concernant les avancées réalisées dans le cadre de la tâche n° 47, le cas échéa</w:t>
      </w:r>
      <w:r w:rsidR="009D3496" w:rsidRPr="00432B1A">
        <w:rPr>
          <w:lang w:val="fr-FR"/>
        </w:rPr>
        <w:t>nt.  Le</w:t>
      </w:r>
      <w:r w:rsidRPr="00432B1A">
        <w:rPr>
          <w:lang w:val="fr-FR"/>
        </w:rPr>
        <w:t> CWS a approuvé une révision de la norme ST.27 pour ce qui concerne les indicateurs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événemen</w:t>
      </w:r>
      <w:r w:rsidR="009D3496" w:rsidRPr="00432B1A">
        <w:rPr>
          <w:lang w:val="fr-FR"/>
        </w:rPr>
        <w:t>ts.  Il</w:t>
      </w:r>
      <w:r w:rsidRPr="00432B1A">
        <w:rPr>
          <w:lang w:val="fr-FR"/>
        </w:rPr>
        <w:t xml:space="preserve"> a également prié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situation juridique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examiner comment adapter les “indicateurs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événements” et les “indicateurs de procédure” dans le cas des normes ST.61 et ST.87, et de lui soumettre une proposition pour examen à sa dix</w:t>
      </w:r>
      <w:r w:rsidR="00E86DEA" w:rsidRPr="00432B1A">
        <w:rPr>
          <w:lang w:val="fr-FR"/>
        </w:rPr>
        <w:t>ième session</w:t>
      </w:r>
      <w:r w:rsidRPr="00432B1A">
        <w:rPr>
          <w:lang w:val="fr-FR"/>
        </w:rPr>
        <w:t xml:space="preserve"> (voir les paragraphes 45 et 53 du document</w:t>
      </w:r>
      <w:r w:rsidR="00225EFB">
        <w:rPr>
          <w:lang w:val="fr-FR"/>
        </w:rPr>
        <w:t> </w:t>
      </w:r>
      <w:r w:rsidRPr="00432B1A">
        <w:rPr>
          <w:lang w:val="fr-FR"/>
        </w:rPr>
        <w:t>CWS/9/25).</w:t>
      </w:r>
    </w:p>
    <w:p w14:paraId="3DCD66FB" w14:textId="4CB84817" w:rsidR="00E86DEA" w:rsidRPr="00432B1A" w:rsidRDefault="00DA3496" w:rsidP="00213E66">
      <w:pPr>
        <w:pStyle w:val="ONUMFS"/>
        <w:rPr>
          <w:lang w:val="fr-FR"/>
        </w:rPr>
      </w:pPr>
      <w:r w:rsidRPr="00432B1A">
        <w:rPr>
          <w:lang w:val="fr-FR"/>
        </w:rPr>
        <w:t>À sa dix</w:t>
      </w:r>
      <w:r w:rsidR="00E86DEA" w:rsidRPr="00432B1A">
        <w:rPr>
          <w:lang w:val="fr-FR"/>
        </w:rPr>
        <w:t>ième session</w:t>
      </w:r>
      <w:r w:rsidRPr="00432B1A">
        <w:rPr>
          <w:lang w:val="fr-FR"/>
        </w:rPr>
        <w:t>, tenue en 2022, le CWS a pris note de la suggestion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situation juridique de suspendre les travaux de fusion et a approuvé la révision qui en découle de la tâche n° 47, dont la description actualisée se présente désormais comme suit</w:t>
      </w:r>
      <w:r w:rsidR="00E86DEA" w:rsidRPr="00432B1A">
        <w:rPr>
          <w:lang w:val="fr-FR"/>
        </w:rPr>
        <w:t> :</w:t>
      </w:r>
    </w:p>
    <w:p w14:paraId="3CA62B14" w14:textId="29777926" w:rsidR="00E86DEA" w:rsidRPr="00432B1A" w:rsidRDefault="00DA3496" w:rsidP="001A78F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32B1A">
        <w:rPr>
          <w:i/>
          <w:iCs/>
          <w:lang w:val="fr-FR"/>
        </w:rPr>
        <w:t xml:space="preserve">“Procéder aux révisions et mises à jour nécessaires des normes ST.27, ST.87 et ST.61 de </w:t>
      </w:r>
      <w:proofErr w:type="gramStart"/>
      <w:r w:rsidRPr="00432B1A">
        <w:rPr>
          <w:i/>
          <w:iCs/>
          <w:lang w:val="fr-FR"/>
        </w:rPr>
        <w:t>l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OMPI;  établir</w:t>
      </w:r>
      <w:proofErr w:type="gramEnd"/>
      <w:r w:rsidRPr="00432B1A">
        <w:rPr>
          <w:i/>
          <w:iCs/>
          <w:lang w:val="fr-FR"/>
        </w:rPr>
        <w:t xml:space="preserve"> des documents d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appui pour faciliter l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utilisation de ces normes dans la communauté de la propriété intellectuelle;  et soutenir l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Équipe d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experts chargée de la norme</w:t>
      </w:r>
      <w:r w:rsidR="004547AC" w:rsidRPr="00432B1A">
        <w:rPr>
          <w:i/>
          <w:iCs/>
          <w:lang w:val="fr-FR"/>
        </w:rPr>
        <w:t> </w:t>
      </w:r>
      <w:r w:rsidRPr="00432B1A">
        <w:rPr>
          <w:i/>
          <w:iCs/>
          <w:lang w:val="fr-FR"/>
        </w:rPr>
        <w:t>XML4IP dans l</w:t>
      </w:r>
      <w:r w:rsidR="00E86DEA" w:rsidRPr="00432B1A">
        <w:rPr>
          <w:i/>
          <w:iCs/>
          <w:lang w:val="fr-FR"/>
        </w:rPr>
        <w:t>’</w:t>
      </w:r>
      <w:r w:rsidRPr="00432B1A">
        <w:rPr>
          <w:i/>
          <w:iCs/>
          <w:lang w:val="fr-FR"/>
        </w:rPr>
        <w:t>élaboration des composantes du schéma XML pour les données relatives à la situation juridique.”</w:t>
      </w:r>
    </w:p>
    <w:p w14:paraId="6B1B69D9" w14:textId="0DC83083" w:rsidR="00DA3496" w:rsidRPr="00432B1A" w:rsidRDefault="00DA3496" w:rsidP="001A78F2">
      <w:pPr>
        <w:pStyle w:val="ONUMFS"/>
        <w:numPr>
          <w:ilvl w:val="0"/>
          <w:numId w:val="0"/>
        </w:numPr>
        <w:rPr>
          <w:lang w:val="fr-FR"/>
        </w:rPr>
      </w:pPr>
      <w:r w:rsidRPr="00432B1A">
        <w:rPr>
          <w:lang w:val="fr-FR"/>
        </w:rPr>
        <w:t>(</w:t>
      </w:r>
      <w:proofErr w:type="gramStart"/>
      <w:r w:rsidR="001A78F2" w:rsidRPr="00432B1A">
        <w:rPr>
          <w:lang w:val="fr-FR"/>
        </w:rPr>
        <w:t>v</w:t>
      </w:r>
      <w:r w:rsidRPr="00432B1A">
        <w:rPr>
          <w:lang w:val="fr-FR"/>
        </w:rPr>
        <w:t>oir</w:t>
      </w:r>
      <w:proofErr w:type="gramEnd"/>
      <w:r w:rsidRPr="00432B1A">
        <w:rPr>
          <w:lang w:val="fr-FR"/>
        </w:rPr>
        <w:t xml:space="preserve"> les </w:t>
      </w:r>
      <w:r w:rsidR="00E86DEA" w:rsidRPr="00432B1A">
        <w:rPr>
          <w:lang w:val="fr-FR"/>
        </w:rPr>
        <w:t>paragraphes 7</w:t>
      </w:r>
      <w:r w:rsidRPr="00432B1A">
        <w:rPr>
          <w:lang w:val="fr-FR"/>
        </w:rPr>
        <w:t>5 et 76 du document</w:t>
      </w:r>
      <w:r w:rsidR="00225EFB">
        <w:rPr>
          <w:lang w:val="fr-FR"/>
        </w:rPr>
        <w:t> </w:t>
      </w:r>
      <w:r w:rsidRPr="00432B1A">
        <w:rPr>
          <w:lang w:val="fr-FR"/>
        </w:rPr>
        <w:t>CWS/10/22.)</w:t>
      </w:r>
    </w:p>
    <w:p w14:paraId="637AA567" w14:textId="676F6B23" w:rsidR="00DA3496" w:rsidRPr="00432B1A" w:rsidRDefault="001A78F2" w:rsidP="001A78F2">
      <w:pPr>
        <w:pStyle w:val="Heading2"/>
        <w:rPr>
          <w:rFonts w:eastAsia="Malgun Gothic"/>
          <w:szCs w:val="22"/>
          <w:lang w:val="fr-FR"/>
        </w:rPr>
      </w:pPr>
      <w:r w:rsidRPr="00432B1A">
        <w:rPr>
          <w:lang w:val="fr-FR"/>
        </w:rPr>
        <w:t>Progrès réalisés concernant la tâche n°</w:t>
      </w:r>
      <w:r w:rsidR="004547AC" w:rsidRPr="00432B1A">
        <w:rPr>
          <w:lang w:val="fr-FR"/>
        </w:rPr>
        <w:t> </w:t>
      </w:r>
      <w:r w:rsidRPr="00432B1A">
        <w:rPr>
          <w:lang w:val="fr-FR"/>
        </w:rPr>
        <w:t>47</w:t>
      </w:r>
    </w:p>
    <w:p w14:paraId="73283A7B" w14:textId="77777777" w:rsidR="00DA3496" w:rsidRPr="00432B1A" w:rsidRDefault="00DA3496" w:rsidP="001A78F2">
      <w:pPr>
        <w:pStyle w:val="Heading3"/>
        <w:rPr>
          <w:lang w:val="fr-FR"/>
        </w:rPr>
      </w:pPr>
      <w:r w:rsidRPr="00432B1A">
        <w:rPr>
          <w:lang w:val="fr-FR"/>
        </w:rPr>
        <w:t>Objectifs</w:t>
      </w:r>
    </w:p>
    <w:p w14:paraId="69586742" w14:textId="03089F48" w:rsidR="00DA3496" w:rsidRPr="00432B1A" w:rsidRDefault="00DA3496" w:rsidP="00213E66">
      <w:pPr>
        <w:pStyle w:val="ONUMFS"/>
        <w:rPr>
          <w:lang w:val="fr-FR"/>
        </w:rPr>
      </w:pPr>
      <w:r w:rsidRPr="00432B1A">
        <w:rPr>
          <w:lang w:val="fr-FR"/>
        </w:rPr>
        <w:t>Dans le cadre de la tâche n° 47, qui a été révisée à la dix</w:t>
      </w:r>
      <w:r w:rsidR="00E86DEA" w:rsidRPr="00432B1A">
        <w:rPr>
          <w:lang w:val="fr-FR"/>
        </w:rPr>
        <w:t>ième session</w:t>
      </w:r>
      <w:r w:rsidRPr="00432B1A">
        <w:rPr>
          <w:lang w:val="fr-FR"/>
        </w:rPr>
        <w:t xml:space="preserve"> du CWS,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situation juridique a indiqué que ses objectifs étaient les suivants</w:t>
      </w:r>
      <w:r w:rsidR="00E86DEA" w:rsidRPr="00432B1A">
        <w:rPr>
          <w:lang w:val="fr-FR"/>
        </w:rPr>
        <w:t> :</w:t>
      </w:r>
    </w:p>
    <w:p w14:paraId="7F7E4270" w14:textId="5203FA43" w:rsidR="00DA3496" w:rsidRPr="00432B1A" w:rsidRDefault="00DA3496" w:rsidP="001A78F2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proofErr w:type="gramStart"/>
      <w:r w:rsidRPr="00432B1A">
        <w:rPr>
          <w:lang w:val="fr-FR"/>
        </w:rPr>
        <w:t>améliorer</w:t>
      </w:r>
      <w:proofErr w:type="gramEnd"/>
      <w:r w:rsidRPr="00432B1A">
        <w:rPr>
          <w:lang w:val="fr-FR"/>
        </w:rPr>
        <w:t xml:space="preserve"> les normes ST.27, ST.87 et ST.61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OMPI, le cas échéant;</w:t>
      </w:r>
    </w:p>
    <w:p w14:paraId="29C7BF5F" w14:textId="3588B661" w:rsidR="00DA3496" w:rsidRPr="00432B1A" w:rsidRDefault="00DA3496" w:rsidP="001A78F2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proofErr w:type="gramStart"/>
      <w:r w:rsidRPr="00432B1A">
        <w:rPr>
          <w:lang w:val="fr-FR"/>
        </w:rPr>
        <w:t>encourager</w:t>
      </w:r>
      <w:proofErr w:type="gramEnd"/>
      <w:r w:rsidRPr="00432B1A">
        <w:rPr>
          <w:lang w:val="fr-FR"/>
        </w:rPr>
        <w:t xml:space="preserve"> les offices de propriété industrielle à mettre en œuvre les normes ST.27, ST.61 et ST.87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 et les soutenir dans cette entreprise;</w:t>
      </w:r>
    </w:p>
    <w:p w14:paraId="6F055C93" w14:textId="7687C3DE" w:rsidR="00DA3496" w:rsidRPr="00432B1A" w:rsidRDefault="00DA3496" w:rsidP="001A78F2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proofErr w:type="gramStart"/>
      <w:r w:rsidRPr="00432B1A">
        <w:rPr>
          <w:lang w:val="fr-FR"/>
        </w:rPr>
        <w:t>tenir</w:t>
      </w:r>
      <w:proofErr w:type="gramEnd"/>
      <w:r w:rsidRPr="00432B1A">
        <w:rPr>
          <w:lang w:val="fr-FR"/>
        </w:rPr>
        <w:t xml:space="preserve"> à jour les tables de correspondance entre les événements des offices de propriété industrielle relatifs à la situation juridique et les événements visés par les normes ST.27, ST.61 et ST.87, tables qui sont publiées dans le Manuel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 à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adresse suivante</w:t>
      </w:r>
      <w:r w:rsidR="00E86DEA" w:rsidRPr="00432B1A">
        <w:rPr>
          <w:lang w:val="fr-FR"/>
        </w:rPr>
        <w:t> :</w:t>
      </w:r>
      <w:r w:rsidRPr="00432B1A">
        <w:rPr>
          <w:lang w:val="fr-FR"/>
        </w:rPr>
        <w:t xml:space="preserve"> </w:t>
      </w:r>
      <w:hyperlink r:id="rId9" w:anchor="p7.13" w:history="1">
        <w:r w:rsidRPr="00432B1A">
          <w:rPr>
            <w:rStyle w:val="Hyperlink"/>
            <w:color w:val="auto"/>
            <w:lang w:val="fr-FR"/>
          </w:rPr>
          <w:t>https://www.wipo.int/standards/fr/part_07.html</w:t>
        </w:r>
      </w:hyperlink>
      <w:r w:rsidR="001A78F2" w:rsidRPr="00432B1A">
        <w:rPr>
          <w:rStyle w:val="Hyperlink"/>
          <w:color w:val="auto"/>
          <w:u w:val="none"/>
          <w:lang w:val="fr-FR"/>
        </w:rPr>
        <w:t>;</w:t>
      </w:r>
    </w:p>
    <w:p w14:paraId="3BBD7507" w14:textId="06EAFC8F" w:rsidR="00DA3496" w:rsidRPr="00432B1A" w:rsidRDefault="00DA3496" w:rsidP="001A78F2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proofErr w:type="gramStart"/>
      <w:r w:rsidRPr="00432B1A">
        <w:rPr>
          <w:lang w:val="fr-FR"/>
        </w:rPr>
        <w:lastRenderedPageBreak/>
        <w:t>collaborer</w:t>
      </w:r>
      <w:proofErr w:type="gramEnd"/>
      <w:r w:rsidRPr="00432B1A">
        <w:rPr>
          <w:lang w:val="fr-FR"/>
        </w:rPr>
        <w:t xml:space="preserve"> avec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norme XML4IP pour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élaboration des schémas XML permettant de saisir des données sur la situation juridique des marques et des dessins et modèles industriels;</w:t>
      </w:r>
    </w:p>
    <w:p w14:paraId="6E3F70AC" w14:textId="386E10BB" w:rsidR="00DA3496" w:rsidRPr="00432B1A" w:rsidRDefault="00DA3496" w:rsidP="001A78F2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proofErr w:type="gramStart"/>
      <w:r w:rsidRPr="00432B1A">
        <w:rPr>
          <w:lang w:val="fr-FR"/>
        </w:rPr>
        <w:t>assurer</w:t>
      </w:r>
      <w:proofErr w:type="gramEnd"/>
      <w:r w:rsidRPr="00432B1A">
        <w:rPr>
          <w:lang w:val="fr-FR"/>
        </w:rPr>
        <w:t xml:space="preserve"> un suivi des besoins des offices de propriété industrielle en matière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ajouts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“indicateurs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événements” aux normes</w:t>
      </w:r>
      <w:r w:rsidR="004547AC" w:rsidRPr="00432B1A">
        <w:rPr>
          <w:lang w:val="fr-FR"/>
        </w:rPr>
        <w:t> </w:t>
      </w:r>
      <w:r w:rsidRPr="00432B1A">
        <w:rPr>
          <w:lang w:val="fr-FR"/>
        </w:rPr>
        <w:t>ST.27, ST.61 et ST.87;  et</w:t>
      </w:r>
    </w:p>
    <w:p w14:paraId="12D25C3D" w14:textId="26006479" w:rsidR="00DA3496" w:rsidRPr="00432B1A" w:rsidRDefault="00DA3496" w:rsidP="001A78F2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proofErr w:type="gramStart"/>
      <w:r w:rsidRPr="00432B1A">
        <w:rPr>
          <w:lang w:val="fr-FR"/>
        </w:rPr>
        <w:t>examiner</w:t>
      </w:r>
      <w:proofErr w:type="gramEnd"/>
      <w:r w:rsidRPr="00432B1A">
        <w:rPr>
          <w:lang w:val="fr-FR"/>
        </w:rPr>
        <w:t xml:space="preserve"> les propositions en suspens au sein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pour les révisions des événements et des catégories figurant dans la norme ST.27.</w:t>
      </w:r>
    </w:p>
    <w:p w14:paraId="6CF16965" w14:textId="2D0D7BB0" w:rsidR="00DA3496" w:rsidRPr="00432B1A" w:rsidRDefault="00DA3496" w:rsidP="001A78F2">
      <w:pPr>
        <w:pStyle w:val="Heading3"/>
        <w:rPr>
          <w:lang w:val="fr-FR"/>
        </w:rPr>
      </w:pPr>
      <w:r w:rsidRPr="00432B1A">
        <w:rPr>
          <w:lang w:val="fr-FR"/>
        </w:rPr>
        <w:t>Actions pertinentes pour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année</w:t>
      </w:r>
      <w:r w:rsidR="00225EFB">
        <w:rPr>
          <w:lang w:val="fr-FR"/>
        </w:rPr>
        <w:t> </w:t>
      </w:r>
      <w:r w:rsidRPr="00432B1A">
        <w:rPr>
          <w:lang w:val="fr-FR"/>
        </w:rPr>
        <w:t>2023</w:t>
      </w:r>
    </w:p>
    <w:p w14:paraId="0465493F" w14:textId="1B66F327" w:rsidR="00DA3496" w:rsidRPr="00432B1A" w:rsidRDefault="00DA3496" w:rsidP="00213E66">
      <w:pPr>
        <w:pStyle w:val="ONUMFS"/>
        <w:rPr>
          <w:iCs/>
          <w:lang w:val="fr-FR"/>
        </w:rPr>
      </w:pPr>
      <w:r w:rsidRPr="00432B1A">
        <w:rPr>
          <w:lang w:val="fr-FR"/>
        </w:rPr>
        <w:t>En 2023,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situation juridique devrait</w:t>
      </w:r>
      <w:r w:rsidR="00E86DEA" w:rsidRPr="00432B1A">
        <w:rPr>
          <w:lang w:val="fr-FR"/>
        </w:rPr>
        <w:t> :</w:t>
      </w:r>
    </w:p>
    <w:p w14:paraId="3CB7AB9C" w14:textId="06FD322A" w:rsidR="00DA3496" w:rsidRPr="00432B1A" w:rsidRDefault="00DA3496" w:rsidP="001A78F2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poursuivre</w:t>
      </w:r>
      <w:proofErr w:type="gramEnd"/>
      <w:r w:rsidRPr="00432B1A">
        <w:rPr>
          <w:lang w:val="fr-FR"/>
        </w:rPr>
        <w:t xml:space="preserve"> les débats sur la révision de la norme ST.27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OMPI, notamment la possibilité de mettre en place de nouveaux événements et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éventuelle reclassification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événements;</w:t>
      </w:r>
    </w:p>
    <w:p w14:paraId="6D3F6293" w14:textId="77777777" w:rsidR="00DA3496" w:rsidRPr="00432B1A" w:rsidRDefault="00DA3496" w:rsidP="001A78F2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organiser</w:t>
      </w:r>
      <w:proofErr w:type="gramEnd"/>
      <w:r w:rsidRPr="00432B1A">
        <w:rPr>
          <w:lang w:val="fr-FR"/>
        </w:rPr>
        <w:t xml:space="preserve"> une formation sur les normes relatives à la situation juridique à la demande et en fonction des ressources disponibles;</w:t>
      </w:r>
    </w:p>
    <w:p w14:paraId="33B5989D" w14:textId="1F1023F0" w:rsidR="00DA3496" w:rsidRPr="00432B1A" w:rsidRDefault="00DA3496" w:rsidP="001A78F2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partager</w:t>
      </w:r>
      <w:proofErr w:type="gramEnd"/>
      <w:r w:rsidRPr="00432B1A">
        <w:rPr>
          <w:lang w:val="fr-FR"/>
        </w:rPr>
        <w:t xml:space="preserve"> les données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expérience ou les plans en matière de mise en œuvre entre les offices de propriété industrielle membres des équipes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experts;</w:t>
      </w:r>
    </w:p>
    <w:p w14:paraId="58AC9893" w14:textId="094CBCA2" w:rsidR="00DA3496" w:rsidRPr="00432B1A" w:rsidRDefault="00DA3496" w:rsidP="001A78F2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encourager</w:t>
      </w:r>
      <w:proofErr w:type="gramEnd"/>
      <w:r w:rsidRPr="00432B1A">
        <w:rPr>
          <w:lang w:val="fr-FR"/>
        </w:rPr>
        <w:t xml:space="preserve"> les offices de propriété industrielle à mettre à jour leurs tables de correspondance des normes</w:t>
      </w:r>
      <w:r w:rsidR="004547AC" w:rsidRPr="00432B1A">
        <w:rPr>
          <w:lang w:val="fr-FR"/>
        </w:rPr>
        <w:t> </w:t>
      </w:r>
      <w:r w:rsidRPr="00432B1A">
        <w:rPr>
          <w:lang w:val="fr-FR"/>
        </w:rPr>
        <w:t>ST.27, ST.61 et ST.87;</w:t>
      </w:r>
    </w:p>
    <w:p w14:paraId="70661B90" w14:textId="77777777" w:rsidR="00DA3496" w:rsidRPr="00432B1A" w:rsidRDefault="00DA3496" w:rsidP="001A78F2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établir</w:t>
      </w:r>
      <w:proofErr w:type="gramEnd"/>
      <w:r w:rsidRPr="00432B1A">
        <w:rPr>
          <w:lang w:val="fr-FR"/>
        </w:rPr>
        <w:t xml:space="preserve"> une ou plusieurs propositions pour la révision des normes ST.27, ST.61 et ST.87 le cas échéant;  et</w:t>
      </w:r>
    </w:p>
    <w:p w14:paraId="183C4D30" w14:textId="602FDE0A" w:rsidR="00DA3496" w:rsidRPr="00432B1A" w:rsidRDefault="00DA3496" w:rsidP="001A78F2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collaborer</w:t>
      </w:r>
      <w:proofErr w:type="gramEnd"/>
      <w:r w:rsidRPr="00432B1A">
        <w:rPr>
          <w:lang w:val="fr-FR"/>
        </w:rPr>
        <w:t xml:space="preserve"> avec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norme XML4IP pour élaborer les composantes du schéma XML permettant de saisir des données sur la situation juridique en particulier</w:t>
      </w:r>
      <w:r w:rsidR="00E86DEA" w:rsidRPr="00432B1A">
        <w:rPr>
          <w:lang w:val="fr-FR"/>
        </w:rPr>
        <w:t> :</w:t>
      </w:r>
    </w:p>
    <w:p w14:paraId="5C69F73D" w14:textId="4F704C80" w:rsidR="00DA3496" w:rsidRPr="00432B1A" w:rsidRDefault="00DA3496" w:rsidP="001A78F2">
      <w:pPr>
        <w:pStyle w:val="ONUMFS"/>
        <w:numPr>
          <w:ilvl w:val="0"/>
          <w:numId w:val="14"/>
        </w:numPr>
        <w:tabs>
          <w:tab w:val="clear" w:pos="567"/>
          <w:tab w:val="num" w:pos="1701"/>
        </w:tabs>
        <w:ind w:left="1701" w:hanging="567"/>
        <w:rPr>
          <w:iCs/>
          <w:lang w:val="fr-FR"/>
        </w:rPr>
      </w:pPr>
      <w:proofErr w:type="gramStart"/>
      <w:r w:rsidRPr="00432B1A">
        <w:rPr>
          <w:lang w:val="fr-FR"/>
        </w:rPr>
        <w:t>en</w:t>
      </w:r>
      <w:proofErr w:type="gramEnd"/>
      <w:r w:rsidRPr="00432B1A">
        <w:rPr>
          <w:lang w:val="fr-FR"/>
        </w:rPr>
        <w:t xml:space="preserve"> participant à des réunions conjointes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avec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norme XML4IP;  et</w:t>
      </w:r>
    </w:p>
    <w:p w14:paraId="683EBFF7" w14:textId="77777777" w:rsidR="00DA3496" w:rsidRPr="00432B1A" w:rsidRDefault="00DA3496" w:rsidP="001A78F2">
      <w:pPr>
        <w:pStyle w:val="ONUMFS"/>
        <w:numPr>
          <w:ilvl w:val="0"/>
          <w:numId w:val="14"/>
        </w:numPr>
        <w:tabs>
          <w:tab w:val="clear" w:pos="567"/>
          <w:tab w:val="num" w:pos="1701"/>
        </w:tabs>
        <w:ind w:left="1701" w:hanging="567"/>
        <w:rPr>
          <w:iCs/>
          <w:lang w:val="fr-FR"/>
        </w:rPr>
      </w:pPr>
      <w:proofErr w:type="gramStart"/>
      <w:r w:rsidRPr="00432B1A">
        <w:rPr>
          <w:lang w:val="fr-FR"/>
        </w:rPr>
        <w:t>en</w:t>
      </w:r>
      <w:proofErr w:type="gramEnd"/>
      <w:r w:rsidRPr="00432B1A">
        <w:rPr>
          <w:lang w:val="fr-FR"/>
        </w:rPr>
        <w:t xml:space="preserve"> nommant des experts en entreprises ou juridiques représentant les offices et en coordonnant leurs observations en ce qui concerne les données supplémentaires nécessaires, définies dans la norme ST.61 et ST.87.</w:t>
      </w:r>
    </w:p>
    <w:p w14:paraId="143D45B5" w14:textId="77777777" w:rsidR="00DA3496" w:rsidRPr="00432B1A" w:rsidRDefault="00DA3496" w:rsidP="001A78F2">
      <w:pPr>
        <w:pStyle w:val="Heading3"/>
        <w:rPr>
          <w:lang w:val="fr-FR"/>
        </w:rPr>
      </w:pPr>
      <w:r w:rsidRPr="00432B1A">
        <w:rPr>
          <w:lang w:val="fr-FR"/>
        </w:rPr>
        <w:t>Défis potentiels et dépendances</w:t>
      </w:r>
    </w:p>
    <w:p w14:paraId="0DA7FB76" w14:textId="7833620D" w:rsidR="00DA3496" w:rsidRPr="00432B1A" w:rsidRDefault="00DA3496" w:rsidP="00213E66">
      <w:pPr>
        <w:pStyle w:val="ONUMFS"/>
        <w:rPr>
          <w:iCs/>
          <w:lang w:val="fr-FR"/>
        </w:rPr>
      </w:pPr>
      <w:r w:rsidRPr="00432B1A">
        <w:rPr>
          <w:lang w:val="fr-FR"/>
        </w:rPr>
        <w:t>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a recensé plusieurs défis ou dépendances qui auront une incidence sur sa capacité à mener ces travaux</w:t>
      </w:r>
      <w:r w:rsidR="00E86DEA" w:rsidRPr="00432B1A">
        <w:rPr>
          <w:lang w:val="fr-FR"/>
        </w:rPr>
        <w:t> :</w:t>
      </w:r>
    </w:p>
    <w:p w14:paraId="00669505" w14:textId="164785BF" w:rsidR="00DA3496" w:rsidRPr="00432B1A" w:rsidRDefault="00DA3496" w:rsidP="001A78F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une</w:t>
      </w:r>
      <w:proofErr w:type="gramEnd"/>
      <w:r w:rsidRPr="00432B1A">
        <w:rPr>
          <w:lang w:val="fr-FR"/>
        </w:rPr>
        <w:t xml:space="preserve"> participation et une contribution actives des offices de propriété industrielle qui sont membres des équipes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respectives;</w:t>
      </w:r>
    </w:p>
    <w:p w14:paraId="7A6F884D" w14:textId="21B24717" w:rsidR="00DA3496" w:rsidRPr="00432B1A" w:rsidRDefault="00DA3496" w:rsidP="001A78F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des</w:t>
      </w:r>
      <w:proofErr w:type="gramEnd"/>
      <w:r w:rsidRPr="00432B1A">
        <w:rPr>
          <w:lang w:val="fr-FR"/>
        </w:rPr>
        <w:t xml:space="preserve"> études de cas et une priorité de la mise en œuvre par les offices de propriété industrielle des normes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 relatives à la situation juridique;</w:t>
      </w:r>
    </w:p>
    <w:p w14:paraId="23CCE79D" w14:textId="6279C6B6" w:rsidR="00DA3496" w:rsidRPr="00432B1A" w:rsidRDefault="00DA3496" w:rsidP="001A78F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le</w:t>
      </w:r>
      <w:proofErr w:type="gramEnd"/>
      <w:r w:rsidRPr="00432B1A">
        <w:rPr>
          <w:lang w:val="fr-FR"/>
        </w:rPr>
        <w:t xml:space="preserve"> manque de personnel au sein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du Secrétariat qui dirige ces débats;</w:t>
      </w:r>
    </w:p>
    <w:p w14:paraId="06DE3AA5" w14:textId="6453B1B2" w:rsidR="00DA3496" w:rsidRPr="00432B1A" w:rsidRDefault="00DA3496" w:rsidP="001A78F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le</w:t>
      </w:r>
      <w:proofErr w:type="gramEnd"/>
      <w:r w:rsidRPr="00432B1A">
        <w:rPr>
          <w:lang w:val="fr-FR"/>
        </w:rPr>
        <w:t xml:space="preserve"> partage des données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expérience et des défis concernant la mise en œuvre de ces normes entre les offices de propriété industrielle;</w:t>
      </w:r>
    </w:p>
    <w:p w14:paraId="167C7FCB" w14:textId="758C047B" w:rsidR="00DA3496" w:rsidRPr="00432B1A" w:rsidRDefault="00DA3496" w:rsidP="001A78F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lastRenderedPageBreak/>
        <w:t>la</w:t>
      </w:r>
      <w:proofErr w:type="gramEnd"/>
      <w:r w:rsidRPr="00432B1A">
        <w:rPr>
          <w:lang w:val="fr-FR"/>
        </w:rPr>
        <w:t xml:space="preserve"> mise à disposition de schémas XML permettant de saisir des données sur la situation juridique des marques et des dessins et modèles industriels en temps opportun, à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appui de la mise en œuvre des normes ST.61 et ST.87;</w:t>
      </w:r>
    </w:p>
    <w:p w14:paraId="413F5CE6" w14:textId="7C1475F9" w:rsidR="00DA3496" w:rsidRPr="00432B1A" w:rsidRDefault="00DA3496" w:rsidP="001A78F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la</w:t>
      </w:r>
      <w:proofErr w:type="gramEnd"/>
      <w:r w:rsidRPr="00432B1A">
        <w:rPr>
          <w:lang w:val="fr-FR"/>
        </w:rPr>
        <w:t xml:space="preserve"> nécessité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une collaboration étroite avec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norme XML4IP;  et</w:t>
      </w:r>
    </w:p>
    <w:p w14:paraId="36DBA857" w14:textId="4217DC3F" w:rsidR="00DA3496" w:rsidRPr="00432B1A" w:rsidRDefault="00DA3496" w:rsidP="001A78F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implication</w:t>
      </w:r>
      <w:proofErr w:type="gramEnd"/>
      <w:r w:rsidRPr="00432B1A">
        <w:rPr>
          <w:lang w:val="fr-FR"/>
        </w:rPr>
        <w:t xml:space="preserve"> des utilisateurs de données relatives à la situation juridique, </w:t>
      </w:r>
      <w:r w:rsidR="00E86DEA" w:rsidRPr="00432B1A">
        <w:rPr>
          <w:lang w:val="fr-FR"/>
        </w:rPr>
        <w:t>y compris</w:t>
      </w:r>
      <w:r w:rsidRPr="00432B1A">
        <w:rPr>
          <w:lang w:val="fr-FR"/>
        </w:rPr>
        <w:t xml:space="preserve"> des observateurs officiels du CWS, dans la mise en œuvre et le processus de révision de ces normes.</w:t>
      </w:r>
    </w:p>
    <w:p w14:paraId="23D5E1B5" w14:textId="77777777" w:rsidR="00DA3496" w:rsidRPr="00432B1A" w:rsidRDefault="00DA3496" w:rsidP="001A78F2">
      <w:pPr>
        <w:pStyle w:val="Heading3"/>
        <w:rPr>
          <w:lang w:val="fr-FR"/>
        </w:rPr>
      </w:pPr>
      <w:r w:rsidRPr="00432B1A">
        <w:rPr>
          <w:lang w:val="fr-FR"/>
        </w:rPr>
        <w:t>Évolution de la situation</w:t>
      </w:r>
    </w:p>
    <w:p w14:paraId="2970AA4E" w14:textId="68E95DC8" w:rsidR="00E86DEA" w:rsidRPr="00432B1A" w:rsidRDefault="00DA3496" w:rsidP="00213E66">
      <w:pPr>
        <w:pStyle w:val="ONUMFS"/>
        <w:rPr>
          <w:lang w:val="fr-FR"/>
        </w:rPr>
      </w:pPr>
      <w:r w:rsidRPr="00432B1A">
        <w:rPr>
          <w:lang w:val="fr-FR"/>
        </w:rPr>
        <w:t>Les Équipes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chargées de la situation juridique et de la norme XML4IP se sont réunies en avril et en juillet 2023 et ont principalement examiné les points suivants</w:t>
      </w:r>
      <w:r w:rsidR="00E86DEA" w:rsidRPr="00432B1A">
        <w:rPr>
          <w:lang w:val="fr-FR"/>
        </w:rPr>
        <w:t> :</w:t>
      </w:r>
    </w:p>
    <w:p w14:paraId="4BE9CD98" w14:textId="6388E89B" w:rsidR="00DA3496" w:rsidRPr="00432B1A" w:rsidRDefault="00DA3496" w:rsidP="001A78F2">
      <w:pPr>
        <w:pStyle w:val="ONUMFS"/>
        <w:numPr>
          <w:ilvl w:val="0"/>
          <w:numId w:val="16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élaboration</w:t>
      </w:r>
      <w:proofErr w:type="gramEnd"/>
      <w:r w:rsidRPr="00432B1A">
        <w:rPr>
          <w:lang w:val="fr-FR"/>
        </w:rPr>
        <w:t xml:space="preserve"> des composantes du schéma XML permettant de saisir des événements relatifs à la situation juridique des marques et des dessins et modèles industriels;</w:t>
      </w:r>
    </w:p>
    <w:p w14:paraId="63812A77" w14:textId="77777777" w:rsidR="00DA3496" w:rsidRPr="00432B1A" w:rsidRDefault="00DA3496" w:rsidP="001A78F2">
      <w:pPr>
        <w:pStyle w:val="ONUMFS"/>
        <w:numPr>
          <w:ilvl w:val="0"/>
          <w:numId w:val="16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le</w:t>
      </w:r>
      <w:proofErr w:type="gramEnd"/>
      <w:r w:rsidRPr="00432B1A">
        <w:rPr>
          <w:lang w:val="fr-FR"/>
        </w:rPr>
        <w:t xml:space="preserve"> partage des plans de mise en œuvre des normes ST.27, ST.61 et ST.87 et le soutien de leur mise en œuvre;  et</w:t>
      </w:r>
    </w:p>
    <w:p w14:paraId="6D4706CC" w14:textId="5FED4594" w:rsidR="00DA3496" w:rsidRPr="00432B1A" w:rsidRDefault="00DA3496" w:rsidP="001A78F2">
      <w:pPr>
        <w:pStyle w:val="ONUMFS"/>
        <w:numPr>
          <w:ilvl w:val="0"/>
          <w:numId w:val="16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proofErr w:type="gramStart"/>
      <w:r w:rsidRPr="00432B1A">
        <w:rPr>
          <w:lang w:val="fr-FR"/>
        </w:rPr>
        <w:t>la</w:t>
      </w:r>
      <w:proofErr w:type="gramEnd"/>
      <w:r w:rsidRPr="00432B1A">
        <w:rPr>
          <w:lang w:val="fr-FR"/>
        </w:rPr>
        <w:t xml:space="preserve"> hiérarchisation des travaux menés en collaboration entre les deux</w:t>
      </w:r>
      <w:r w:rsidR="004547AC" w:rsidRPr="00432B1A">
        <w:rPr>
          <w:lang w:val="fr-FR"/>
        </w:rPr>
        <w:t> </w:t>
      </w:r>
      <w:r w:rsidRPr="00432B1A">
        <w:rPr>
          <w:lang w:val="fr-FR"/>
        </w:rPr>
        <w:t>équipes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experts.</w:t>
      </w:r>
    </w:p>
    <w:p w14:paraId="58DCABB5" w14:textId="396A79FD" w:rsidR="00DA3496" w:rsidRPr="00432B1A" w:rsidRDefault="00DA3496" w:rsidP="00213E66">
      <w:pPr>
        <w:pStyle w:val="ONUMFS"/>
        <w:rPr>
          <w:iCs/>
          <w:lang w:val="fr-FR"/>
        </w:rPr>
      </w:pPr>
      <w:r w:rsidRPr="00432B1A">
        <w:rPr>
          <w:lang w:val="fr-FR"/>
        </w:rPr>
        <w:t>Les deux</w:t>
      </w:r>
      <w:r w:rsidR="004547AC" w:rsidRPr="00432B1A">
        <w:rPr>
          <w:lang w:val="fr-FR"/>
        </w:rPr>
        <w:t> </w:t>
      </w:r>
      <w:r w:rsidRPr="00432B1A">
        <w:rPr>
          <w:lang w:val="fr-FR"/>
        </w:rPr>
        <w:t>équipes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ont pris note de la nécessité de disposer des composantes du schéma XML pour appuyer la mise en œuvre des normes ST.27, ST.61 et ST.87, à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 xml:space="preserve">instar des composantes </w:t>
      </w:r>
      <w:proofErr w:type="spellStart"/>
      <w:r w:rsidRPr="00432B1A">
        <w:rPr>
          <w:rFonts w:ascii="Courier New" w:hAnsi="Courier New"/>
          <w:lang w:val="fr-FR"/>
        </w:rPr>
        <w:t>PatentLegalStatus</w:t>
      </w:r>
      <w:proofErr w:type="spellEnd"/>
      <w:r w:rsidRPr="00432B1A">
        <w:rPr>
          <w:lang w:val="fr-FR"/>
        </w:rPr>
        <w:t xml:space="preserve"> qui ont été ajoutées à la norme</w:t>
      </w:r>
      <w:r w:rsidR="004547AC" w:rsidRPr="00432B1A">
        <w:rPr>
          <w:lang w:val="fr-FR"/>
        </w:rPr>
        <w:t> </w:t>
      </w:r>
      <w:r w:rsidRPr="00432B1A">
        <w:rPr>
          <w:lang w:val="fr-FR"/>
        </w:rPr>
        <w:t>ST.96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 dans sa version</w:t>
      </w:r>
      <w:r w:rsidR="00225EFB">
        <w:rPr>
          <w:lang w:val="fr-FR"/>
        </w:rPr>
        <w:t> </w:t>
      </w:r>
      <w:r w:rsidRPr="00432B1A">
        <w:rPr>
          <w:lang w:val="fr-FR"/>
        </w:rPr>
        <w:t>4.0.  Plusieurs offices de propriété industrielle ont informé le Bureau international qu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ils envisageaient de mettre en œuvre les deux norm</w:t>
      </w:r>
      <w:r w:rsidR="009D3496" w:rsidRPr="00432B1A">
        <w:rPr>
          <w:lang w:val="fr-FR"/>
        </w:rPr>
        <w:t>es.  En</w:t>
      </w:r>
      <w:r w:rsidRPr="00432B1A">
        <w:rPr>
          <w:lang w:val="fr-FR"/>
        </w:rPr>
        <w:t xml:space="preserve"> raison des ressources limitées, les deux équipes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sont convenues de se concentrer sur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élaboration des composantes du schéma XML pour les marques, sur la base, en premier lieu, de la norme St.61de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OMPI, et, surtout de la révision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annexe II de la norme</w:t>
      </w:r>
      <w:r w:rsidR="004547AC" w:rsidRPr="00432B1A">
        <w:rPr>
          <w:lang w:val="fr-FR"/>
        </w:rPr>
        <w:t> </w:t>
      </w:r>
      <w:r w:rsidRPr="00432B1A">
        <w:rPr>
          <w:lang w:val="fr-FR"/>
        </w:rPr>
        <w:t>ST.61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 intitulée “Données supplémentaires relatives aux événements”.</w:t>
      </w:r>
    </w:p>
    <w:p w14:paraId="2B2EDBC1" w14:textId="5F17374C" w:rsidR="00DA3496" w:rsidRPr="00432B1A" w:rsidRDefault="00DA3496" w:rsidP="00213E66">
      <w:pPr>
        <w:pStyle w:val="ONUMFS"/>
        <w:rPr>
          <w:iCs/>
          <w:lang w:val="fr-FR"/>
        </w:rPr>
      </w:pPr>
      <w:r w:rsidRPr="00432B1A">
        <w:rPr>
          <w:lang w:val="fr-FR"/>
        </w:rPr>
        <w:t>Les membres des deux équipes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sont invités à désigner leurs experts en entreprises ou juridiques aux fins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examen et de la mise à jour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annexe II de la norme ST.61, le cas échéa</w:t>
      </w:r>
      <w:r w:rsidR="009D3496" w:rsidRPr="00432B1A">
        <w:rPr>
          <w:lang w:val="fr-FR"/>
        </w:rPr>
        <w:t>nt.  Pl</w:t>
      </w:r>
      <w:r w:rsidRPr="00432B1A">
        <w:rPr>
          <w:lang w:val="fr-FR"/>
        </w:rPr>
        <w:t>usieurs offices ont nommé leurs experts et proposé de mettre à jour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annexe II en s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appuyant sur leurs pratiqu</w:t>
      </w:r>
      <w:r w:rsidR="009D3496" w:rsidRPr="00432B1A">
        <w:rPr>
          <w:lang w:val="fr-FR"/>
        </w:rPr>
        <w:t>es.  Ap</w:t>
      </w:r>
      <w:r w:rsidRPr="00432B1A">
        <w:rPr>
          <w:lang w:val="fr-FR"/>
        </w:rPr>
        <w:t>rès plusieurs séries de discussions,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situation juridique a présenté une proposition de révision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annexe II de la norme ST.61 pour examen à la présente session du CWS (voir le document</w:t>
      </w:r>
      <w:r w:rsidR="00225EFB">
        <w:rPr>
          <w:lang w:val="fr-FR"/>
        </w:rPr>
        <w:t> </w:t>
      </w:r>
      <w:r w:rsidRPr="00432B1A">
        <w:rPr>
          <w:lang w:val="fr-FR"/>
        </w:rPr>
        <w:t>CWS/11/9). 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norme XML4IP a ensuite utilisé ces observations pour poursuivre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élaboration des composantes du schéma XML pour les données relatives à la situation juridique des marques.</w:t>
      </w:r>
    </w:p>
    <w:p w14:paraId="3707DD5E" w14:textId="6951FFD9" w:rsidR="00E86DEA" w:rsidRPr="00432B1A" w:rsidRDefault="00DA3496" w:rsidP="00213E66">
      <w:pPr>
        <w:pStyle w:val="ONUMFS"/>
        <w:rPr>
          <w:lang w:val="fr-FR"/>
        </w:rPr>
      </w:pPr>
      <w:r w:rsidRPr="00432B1A">
        <w:rPr>
          <w:lang w:val="fr-FR"/>
        </w:rPr>
        <w:t>Plusieurs offices de propriété industrielle ont informé le Bureau international qu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ils avaient commencé à établir des correspondances entre leurs événements nationaux et les événements visés dans la norme ST.61 ou ST.87.</w:t>
      </w:r>
    </w:p>
    <w:p w14:paraId="7F7ADFCB" w14:textId="2E21D69C" w:rsidR="00DA3496" w:rsidRPr="00432B1A" w:rsidRDefault="00DA3496" w:rsidP="00213E66">
      <w:pPr>
        <w:pStyle w:val="ONUMFS"/>
        <w:rPr>
          <w:iCs/>
          <w:lang w:val="fr-FR"/>
        </w:rPr>
      </w:pPr>
      <w:r w:rsidRPr="00432B1A">
        <w:rPr>
          <w:lang w:val="fr-FR"/>
        </w:rPr>
        <w:t>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situation juridique n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a pas effectué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avancée sur les autres actions prévues indiquées ci</w:t>
      </w:r>
      <w:r w:rsidR="004A050A">
        <w:rPr>
          <w:lang w:val="fr-FR"/>
        </w:rPr>
        <w:noBreakHyphen/>
      </w:r>
      <w:r w:rsidRPr="00432B1A">
        <w:rPr>
          <w:lang w:val="fr-FR"/>
        </w:rPr>
        <w:t>dessus.</w:t>
      </w:r>
    </w:p>
    <w:p w14:paraId="27E86596" w14:textId="6A025295" w:rsidR="00DA3496" w:rsidRPr="00432B1A" w:rsidRDefault="001A78F2" w:rsidP="001A78F2">
      <w:pPr>
        <w:pStyle w:val="Heading2"/>
        <w:rPr>
          <w:lang w:val="fr-FR"/>
        </w:rPr>
      </w:pPr>
      <w:r w:rsidRPr="00432B1A">
        <w:rPr>
          <w:lang w:val="fr-FR"/>
        </w:rPr>
        <w:lastRenderedPageBreak/>
        <w:t>Programme de travail</w:t>
      </w:r>
    </w:p>
    <w:p w14:paraId="20523B7C" w14:textId="60188CD0" w:rsidR="00E86DEA" w:rsidRPr="00432B1A" w:rsidRDefault="00DA3496" w:rsidP="00225EFB">
      <w:pPr>
        <w:pStyle w:val="ONUMFS"/>
        <w:keepNext/>
        <w:keepLines/>
        <w:rPr>
          <w:lang w:val="fr-FR"/>
        </w:rPr>
      </w:pPr>
      <w:r w:rsidRPr="00432B1A">
        <w:rPr>
          <w:lang w:val="fr-FR"/>
        </w:rPr>
        <w:t>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situation juridique poursuivra sa collaboration avec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norme XML4IP afin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élaborer les composantes XML pour les événements relatifs au statut juridique des marques et des dessins et modèles sur la base des normes ST.61 et ST.87, respectivement.</w:t>
      </w:r>
    </w:p>
    <w:p w14:paraId="4AF7E8C8" w14:textId="1F6D057F" w:rsidR="00DA3496" w:rsidRPr="00432B1A" w:rsidRDefault="00DA3496" w:rsidP="00213E66">
      <w:pPr>
        <w:pStyle w:val="ONUMFS"/>
        <w:rPr>
          <w:lang w:val="fr-FR"/>
        </w:rPr>
      </w:pPr>
      <w:r w:rsidRPr="00432B1A">
        <w:rPr>
          <w:lang w:val="fr-FR"/>
        </w:rPr>
        <w:t>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chargée de la situation juridique encourage les offices de propriété industrielle à communiquer ou à actualiser leurs tables de correspondance publiées dans le Manuel de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OMPI à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adresse</w:t>
      </w:r>
      <w:r w:rsidR="00225EFB">
        <w:rPr>
          <w:lang w:val="fr-FR"/>
        </w:rPr>
        <w:t xml:space="preserve"> suivante :</w:t>
      </w:r>
      <w:r w:rsidRPr="00432B1A">
        <w:rPr>
          <w:lang w:val="fr-FR"/>
        </w:rPr>
        <w:t xml:space="preserve"> </w:t>
      </w:r>
      <w:hyperlink r:id="rId10" w:anchor="p7.13" w:history="1">
        <w:r w:rsidR="00706DBE" w:rsidRPr="00225EFB">
          <w:rPr>
            <w:rStyle w:val="Hyperlink"/>
            <w:color w:val="auto"/>
            <w:lang w:val="fr-FR"/>
          </w:rPr>
          <w:t>https://www.wipo.int/standards/fr/part_07.html#p7.13</w:t>
        </w:r>
      </w:hyperlink>
      <w:r w:rsidRPr="00432B1A">
        <w:rPr>
          <w:lang w:val="fr-FR"/>
        </w:rPr>
        <w:t>.  L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équipe d</w:t>
      </w:r>
      <w:r w:rsidR="00E86DEA" w:rsidRPr="00432B1A">
        <w:rPr>
          <w:lang w:val="fr-FR"/>
        </w:rPr>
        <w:t>’</w:t>
      </w:r>
      <w:r w:rsidRPr="00432B1A">
        <w:rPr>
          <w:lang w:val="fr-FR"/>
        </w:rPr>
        <w:t>experts poursuivra ses travaux et les autres actions prévues mentionnées précédemment.</w:t>
      </w:r>
    </w:p>
    <w:p w14:paraId="19DB6A60" w14:textId="4D669677" w:rsidR="00DA3496" w:rsidRPr="00432B1A" w:rsidRDefault="00DA3496" w:rsidP="001A78F2">
      <w:pPr>
        <w:pStyle w:val="ONUMFS"/>
        <w:ind w:left="5533"/>
        <w:rPr>
          <w:i/>
          <w:lang w:val="fr-FR"/>
        </w:rPr>
      </w:pPr>
      <w:r w:rsidRPr="00432B1A">
        <w:rPr>
          <w:i/>
          <w:lang w:val="fr-FR"/>
        </w:rPr>
        <w:t>Le CWS est invité à prendre note du contenu du présent document.</w:t>
      </w:r>
    </w:p>
    <w:p w14:paraId="2BDD7437" w14:textId="68E23EC7" w:rsidR="000F5E56" w:rsidRPr="00432B1A" w:rsidRDefault="00DA3496" w:rsidP="001A78F2">
      <w:pPr>
        <w:pStyle w:val="Endofdocument-Annex"/>
      </w:pPr>
      <w:r w:rsidRPr="00432B1A">
        <w:t>[Fin du document]</w:t>
      </w:r>
    </w:p>
    <w:sectPr w:rsidR="000F5E56" w:rsidRPr="00432B1A" w:rsidSect="004D5C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4C51" w14:textId="77777777" w:rsidR="00257A33" w:rsidRDefault="00257A33">
      <w:r>
        <w:separator/>
      </w:r>
    </w:p>
  </w:endnote>
  <w:endnote w:type="continuationSeparator" w:id="0">
    <w:p w14:paraId="77FA5826" w14:textId="77777777" w:rsidR="00257A33" w:rsidRPr="009D30E6" w:rsidRDefault="00257A3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A149BEB" w14:textId="77777777" w:rsidR="00257A33" w:rsidRPr="009D30E6" w:rsidRDefault="00257A3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75C9EDF" w14:textId="77777777" w:rsidR="00257A33" w:rsidRPr="009D30E6" w:rsidRDefault="00257A3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1237" w14:textId="77777777" w:rsidR="004A050A" w:rsidRDefault="004A0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C1CA" w14:textId="77777777" w:rsidR="004A050A" w:rsidRDefault="004A0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70AD" w14:textId="77777777" w:rsidR="004A050A" w:rsidRDefault="004A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83F0" w14:textId="77777777" w:rsidR="00257A33" w:rsidRDefault="00257A33">
      <w:r>
        <w:separator/>
      </w:r>
    </w:p>
  </w:footnote>
  <w:footnote w:type="continuationSeparator" w:id="0">
    <w:p w14:paraId="6F3E8F73" w14:textId="77777777" w:rsidR="00257A33" w:rsidRDefault="00257A33" w:rsidP="007461F1">
      <w:r>
        <w:separator/>
      </w:r>
    </w:p>
    <w:p w14:paraId="4E123220" w14:textId="77777777" w:rsidR="00257A33" w:rsidRPr="009D30E6" w:rsidRDefault="00257A3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A9FFE3B" w14:textId="77777777" w:rsidR="00257A33" w:rsidRPr="009D30E6" w:rsidRDefault="00257A3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E042" w14:textId="77777777" w:rsidR="004A050A" w:rsidRDefault="004A0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3776B" w14:textId="57474875" w:rsidR="00F16975" w:rsidRPr="00B45C15" w:rsidRDefault="006A4690" w:rsidP="00477D6B">
    <w:pPr>
      <w:jc w:val="right"/>
      <w:rPr>
        <w:caps/>
      </w:rPr>
    </w:pPr>
    <w:bookmarkStart w:id="5" w:name="Code2"/>
    <w:bookmarkEnd w:id="5"/>
    <w:r>
      <w:rPr>
        <w:caps/>
      </w:rPr>
      <w:t>CWS</w:t>
    </w:r>
    <w:r w:rsidR="009D2E2D">
      <w:rPr>
        <w:caps/>
      </w:rPr>
      <w:t>/</w:t>
    </w:r>
    <w:r>
      <w:rPr>
        <w:caps/>
      </w:rPr>
      <w:t>11</w:t>
    </w:r>
    <w:r w:rsidR="009D2E2D">
      <w:rPr>
        <w:caps/>
      </w:rPr>
      <w:t>/</w:t>
    </w:r>
    <w:r>
      <w:rPr>
        <w:caps/>
      </w:rPr>
      <w:t>1</w:t>
    </w:r>
    <w:r w:rsidR="00DA3496">
      <w:rPr>
        <w:caps/>
      </w:rPr>
      <w:t>3</w:t>
    </w:r>
  </w:p>
  <w:p w14:paraId="0214109E" w14:textId="45DB1517" w:rsidR="00574036" w:rsidRDefault="00F16975" w:rsidP="009D2E2D">
    <w:pPr>
      <w:spacing w:after="480"/>
      <w:jc w:val="right"/>
    </w:pPr>
    <w:proofErr w:type="gramStart"/>
    <w:r>
      <w:t>page</w:t>
    </w:r>
    <w:proofErr w:type="gramEnd"/>
    <w:r w:rsidR="009D2E2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FCD1" w14:textId="77777777" w:rsidR="004A050A" w:rsidRDefault="004A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872BD"/>
    <w:multiLevelType w:val="hybridMultilevel"/>
    <w:tmpl w:val="063C669A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60A380B"/>
    <w:multiLevelType w:val="multilevel"/>
    <w:tmpl w:val="F7F4081A"/>
    <w:lvl w:ilvl="0">
      <w:start w:val="1"/>
      <w:numFmt w:val="bullet"/>
      <w:lvlText w:val="•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F07875"/>
    <w:multiLevelType w:val="hybridMultilevel"/>
    <w:tmpl w:val="B3A42224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F0EEB6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34F9F"/>
    <w:multiLevelType w:val="multilevel"/>
    <w:tmpl w:val="E6946FBC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81B504E"/>
    <w:multiLevelType w:val="multilevel"/>
    <w:tmpl w:val="896ECA68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A34562B"/>
    <w:multiLevelType w:val="hybridMultilevel"/>
    <w:tmpl w:val="E5DE151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DE0CAC"/>
    <w:multiLevelType w:val="hybridMultilevel"/>
    <w:tmpl w:val="A6520D66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062E1"/>
    <w:multiLevelType w:val="multilevel"/>
    <w:tmpl w:val="6BFAE214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66E23CAC"/>
    <w:multiLevelType w:val="hybridMultilevel"/>
    <w:tmpl w:val="3BB28E0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4BC6E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C1538"/>
    <w:multiLevelType w:val="multilevel"/>
    <w:tmpl w:val="6BFAE214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 w16cid:durableId="335768749">
    <w:abstractNumId w:val="4"/>
  </w:num>
  <w:num w:numId="2" w16cid:durableId="1944802235">
    <w:abstractNumId w:val="10"/>
  </w:num>
  <w:num w:numId="3" w16cid:durableId="381756076">
    <w:abstractNumId w:val="0"/>
  </w:num>
  <w:num w:numId="4" w16cid:durableId="1536457635">
    <w:abstractNumId w:val="11"/>
  </w:num>
  <w:num w:numId="5" w16cid:durableId="1785730782">
    <w:abstractNumId w:val="2"/>
  </w:num>
  <w:num w:numId="6" w16cid:durableId="1936792021">
    <w:abstractNumId w:val="7"/>
  </w:num>
  <w:num w:numId="7" w16cid:durableId="1951542364">
    <w:abstractNumId w:val="9"/>
  </w:num>
  <w:num w:numId="8" w16cid:durableId="1521891030">
    <w:abstractNumId w:val="12"/>
  </w:num>
  <w:num w:numId="9" w16cid:durableId="536550272">
    <w:abstractNumId w:val="5"/>
  </w:num>
  <w:num w:numId="10" w16cid:durableId="668213576">
    <w:abstractNumId w:val="14"/>
  </w:num>
  <w:num w:numId="11" w16cid:durableId="2127430067">
    <w:abstractNumId w:val="1"/>
  </w:num>
  <w:num w:numId="12" w16cid:durableId="849374416">
    <w:abstractNumId w:val="15"/>
  </w:num>
  <w:num w:numId="13" w16cid:durableId="1109591042">
    <w:abstractNumId w:val="13"/>
  </w:num>
  <w:num w:numId="14" w16cid:durableId="1297294497">
    <w:abstractNumId w:val="3"/>
  </w:num>
  <w:num w:numId="15" w16cid:durableId="398139265">
    <w:abstractNumId w:val="8"/>
  </w:num>
  <w:num w:numId="16" w16cid:durableId="1203900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90"/>
    <w:rsid w:val="00011B7D"/>
    <w:rsid w:val="00075432"/>
    <w:rsid w:val="0009458A"/>
    <w:rsid w:val="000F5E56"/>
    <w:rsid w:val="001362EE"/>
    <w:rsid w:val="001832A6"/>
    <w:rsid w:val="00195C6E"/>
    <w:rsid w:val="001A78F2"/>
    <w:rsid w:val="001B266A"/>
    <w:rsid w:val="001B488E"/>
    <w:rsid w:val="001C6508"/>
    <w:rsid w:val="001D3D56"/>
    <w:rsid w:val="00213E66"/>
    <w:rsid w:val="00225EFB"/>
    <w:rsid w:val="00240654"/>
    <w:rsid w:val="00257A33"/>
    <w:rsid w:val="002634C4"/>
    <w:rsid w:val="002956DE"/>
    <w:rsid w:val="002E4D1A"/>
    <w:rsid w:val="002F16BC"/>
    <w:rsid w:val="002F48E9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32B1A"/>
    <w:rsid w:val="00437104"/>
    <w:rsid w:val="004547AC"/>
    <w:rsid w:val="004647DA"/>
    <w:rsid w:val="00477D6B"/>
    <w:rsid w:val="004A050A"/>
    <w:rsid w:val="004D5CE1"/>
    <w:rsid w:val="004D6471"/>
    <w:rsid w:val="0051455D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A4690"/>
    <w:rsid w:val="006B0DB5"/>
    <w:rsid w:val="00706DBE"/>
    <w:rsid w:val="0072654E"/>
    <w:rsid w:val="00726A01"/>
    <w:rsid w:val="007461F1"/>
    <w:rsid w:val="007B5DC6"/>
    <w:rsid w:val="007D6961"/>
    <w:rsid w:val="007F07CB"/>
    <w:rsid w:val="00810CEF"/>
    <w:rsid w:val="0081208D"/>
    <w:rsid w:val="00865135"/>
    <w:rsid w:val="008B2CC1"/>
    <w:rsid w:val="008E7930"/>
    <w:rsid w:val="0090731E"/>
    <w:rsid w:val="00966A22"/>
    <w:rsid w:val="00974CD6"/>
    <w:rsid w:val="009D2E2D"/>
    <w:rsid w:val="009D30E6"/>
    <w:rsid w:val="009D3496"/>
    <w:rsid w:val="009E3F6F"/>
    <w:rsid w:val="009F499F"/>
    <w:rsid w:val="00A11D74"/>
    <w:rsid w:val="00A40E1D"/>
    <w:rsid w:val="00AC0AE4"/>
    <w:rsid w:val="00AD61DB"/>
    <w:rsid w:val="00B1090C"/>
    <w:rsid w:val="00B14FD0"/>
    <w:rsid w:val="00B35AF5"/>
    <w:rsid w:val="00B45C15"/>
    <w:rsid w:val="00B9457C"/>
    <w:rsid w:val="00BB0D7B"/>
    <w:rsid w:val="00BE0BE0"/>
    <w:rsid w:val="00C664C8"/>
    <w:rsid w:val="00C8033C"/>
    <w:rsid w:val="00CF0460"/>
    <w:rsid w:val="00D43E0F"/>
    <w:rsid w:val="00D45252"/>
    <w:rsid w:val="00D71B4D"/>
    <w:rsid w:val="00D75C1E"/>
    <w:rsid w:val="00D93D55"/>
    <w:rsid w:val="00DA3496"/>
    <w:rsid w:val="00DB1C48"/>
    <w:rsid w:val="00DD4917"/>
    <w:rsid w:val="00DD6A16"/>
    <w:rsid w:val="00E0091A"/>
    <w:rsid w:val="00E203AA"/>
    <w:rsid w:val="00E5217A"/>
    <w:rsid w:val="00E527A5"/>
    <w:rsid w:val="00E76456"/>
    <w:rsid w:val="00E86DEA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DF84A"/>
  <w15:docId w15:val="{C5E699D1-33CD-4EB0-97E8-BA7111EE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D2E2D"/>
    <w:pPr>
      <w:keepNext/>
      <w:spacing w:before="12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9D2E2D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6A4690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styleId="Hyperlink">
    <w:name w:val="Hyperlink"/>
    <w:uiPriority w:val="99"/>
    <w:unhideWhenUsed/>
    <w:rsid w:val="006A469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6A469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6A4690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06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standards/fr/part_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fr/part_07.htm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12ED2-FE5A-4DBC-8844-A7976EAD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.dotm</Template>
  <TotalTime>4</TotalTime>
  <Pages>5</Pages>
  <Words>1729</Words>
  <Characters>9856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CWS/11/13</vt:lpstr>
      <vt:lpstr>    Résumé</vt:lpstr>
      <vt:lpstr>    Contexte</vt:lpstr>
      <vt:lpstr>    Progrès réalisés concernant la tâche n  47</vt:lpstr>
      <vt:lpstr>        Objectifs</vt:lpstr>
      <vt:lpstr>        Actions pertinentes pour l’année 2023</vt:lpstr>
      <vt:lpstr>        Défis potentiels et dépendances</vt:lpstr>
      <vt:lpstr>        Évolution de la situation</vt:lpstr>
      <vt:lpstr>    Programme de travail</vt:lpstr>
    </vt:vector>
  </TitlesOfParts>
  <Company>WIPO</Company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CWS/11/13</dc:title>
  <dc:creator>WIPO</dc:creator>
  <cp:keywords>FOR OFFICIAL USE ONLY</cp:keywords>
  <cp:lastModifiedBy>SEILER Joséphine</cp:lastModifiedBy>
  <cp:revision>3</cp:revision>
  <cp:lastPrinted>2023-10-25T09:14:00Z</cp:lastPrinted>
  <dcterms:created xsi:type="dcterms:W3CDTF">2023-10-25T09:14:00Z</dcterms:created>
  <dcterms:modified xsi:type="dcterms:W3CDTF">2023-10-25T09:17:00Z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2023-10-24T13:58:13Z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44bf24a1-3c36-4ed6-be5b-281334393e6f</vt:lpwstr>
  </property>
  <property fmtid="{D5CDD505-2E9C-101B-9397-08002B2CF9AE}" pid="13" name="MSIP_Label_20773ee6-353b-4fb9-a59d-0b94c8c67bea_ContentBits">
    <vt:lpwstr>0</vt:lpwstr>
  </property>
</Properties>
</file>