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BEB94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CWS/10/</w:t>
      </w:r>
      <w:bookmarkStart w:id="1" w:name="Code"/>
      <w:bookmarkEnd w:id="1"/>
      <w:r w:rsidR="00E917D8">
        <w:rPr>
          <w:rFonts w:ascii="Arial Black" w:hAnsi="Arial Black"/>
          <w:caps/>
          <w:sz w:val="15"/>
          <w:szCs w:val="15"/>
        </w:rPr>
        <w:t>20</w:t>
      </w:r>
    </w:p>
    <w:p w:rsidR="008B2CC1" w:rsidRPr="00E917D8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E917D8">
        <w:rPr>
          <w:rFonts w:ascii="Arial Black" w:hAnsi="Arial Black"/>
          <w:caps/>
          <w:sz w:val="15"/>
          <w:szCs w:val="15"/>
        </w:rPr>
        <w:t>Original</w:t>
      </w:r>
      <w:r w:rsidR="00742E60">
        <w:rPr>
          <w:rFonts w:ascii="Arial Black" w:hAnsi="Arial Black"/>
          <w:caps/>
          <w:sz w:val="15"/>
          <w:szCs w:val="15"/>
        </w:rPr>
        <w:t> :</w:t>
      </w:r>
      <w:r w:rsidRPr="00E917D8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E917D8" w:rsidRPr="00E917D8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E917D8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</w:rPr>
      </w:pPr>
      <w:r w:rsidRPr="00E917D8">
        <w:rPr>
          <w:rFonts w:ascii="Arial Black" w:hAnsi="Arial Black"/>
          <w:caps/>
          <w:sz w:val="15"/>
          <w:szCs w:val="15"/>
        </w:rPr>
        <w:t>date</w:t>
      </w:r>
      <w:r w:rsidR="00742E60">
        <w:rPr>
          <w:rFonts w:ascii="Arial Black" w:hAnsi="Arial Black"/>
          <w:caps/>
          <w:sz w:val="15"/>
          <w:szCs w:val="15"/>
        </w:rPr>
        <w:t> :</w:t>
      </w:r>
      <w:r w:rsidRPr="00E917D8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E917D8" w:rsidRPr="00E917D8">
        <w:rPr>
          <w:rFonts w:ascii="Arial Black" w:hAnsi="Arial Black"/>
          <w:caps/>
          <w:sz w:val="15"/>
          <w:szCs w:val="15"/>
        </w:rPr>
        <w:t>21 septembre 2022</w:t>
      </w:r>
    </w:p>
    <w:bookmarkEnd w:id="3"/>
    <w:p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742E60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:rsidR="008B2CC1" w:rsidRPr="00197881" w:rsidRDefault="00197881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Dix</w:t>
      </w:r>
      <w:r w:rsidR="00742E60">
        <w:rPr>
          <w:b/>
          <w:sz w:val="24"/>
        </w:rPr>
        <w:t>ième session</w:t>
      </w:r>
    </w:p>
    <w:p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 21</w:t>
      </w:r>
      <w:r w:rsidR="008236DE">
        <w:rPr>
          <w:b/>
          <w:sz w:val="24"/>
        </w:rPr>
        <w:t xml:space="preserve"> </w:t>
      </w:r>
      <w:r w:rsidRPr="00197881">
        <w:rPr>
          <w:b/>
          <w:sz w:val="24"/>
        </w:rPr>
        <w:t>– 2</w:t>
      </w:r>
      <w:r w:rsidR="00742E60" w:rsidRPr="00197881">
        <w:rPr>
          <w:b/>
          <w:sz w:val="24"/>
        </w:rPr>
        <w:t>5</w:t>
      </w:r>
      <w:r w:rsidR="00742E60">
        <w:rPr>
          <w:b/>
          <w:sz w:val="24"/>
        </w:rPr>
        <w:t> </w:t>
      </w:r>
      <w:r w:rsidR="00742E60" w:rsidRPr="00197881">
        <w:rPr>
          <w:b/>
          <w:sz w:val="24"/>
        </w:rPr>
        <w:t>novembre</w:t>
      </w:r>
      <w:r w:rsidR="00742E60">
        <w:rPr>
          <w:b/>
          <w:sz w:val="24"/>
        </w:rPr>
        <w:t> </w:t>
      </w:r>
      <w:r w:rsidR="00742E60" w:rsidRPr="00197881">
        <w:rPr>
          <w:b/>
          <w:sz w:val="24"/>
        </w:rPr>
        <w:t>20</w:t>
      </w:r>
      <w:r w:rsidRPr="00197881">
        <w:rPr>
          <w:b/>
          <w:sz w:val="24"/>
        </w:rPr>
        <w:t>22</w:t>
      </w:r>
    </w:p>
    <w:p w:rsidR="008B2CC1" w:rsidRPr="00842A13" w:rsidRDefault="00E917D8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Rapport présenté par le Bureau international sur la prestation de services consultatifs et d</w:t>
      </w:r>
      <w:r w:rsidR="00742E60">
        <w:rPr>
          <w:caps/>
          <w:sz w:val="24"/>
        </w:rPr>
        <w:t>’</w:t>
      </w:r>
      <w:r>
        <w:rPr>
          <w:caps/>
          <w:sz w:val="24"/>
        </w:rPr>
        <w:t>assistance technique aux fins du renforcement des capacités des offices de propriété industrielle en rapport avec le mandat</w:t>
      </w:r>
      <w:r w:rsidR="00742E60">
        <w:rPr>
          <w:caps/>
          <w:sz w:val="24"/>
        </w:rPr>
        <w:t xml:space="preserve"> du CWS</w:t>
      </w:r>
    </w:p>
    <w:p w:rsidR="00525B63" w:rsidRPr="00C153FD" w:rsidRDefault="00E917D8" w:rsidP="00DB0349">
      <w:pPr>
        <w:spacing w:after="960"/>
        <w:rPr>
          <w:i/>
        </w:rPr>
      </w:pPr>
      <w:bookmarkStart w:id="5" w:name="Prepared"/>
      <w:bookmarkEnd w:id="4"/>
      <w:r>
        <w:rPr>
          <w:i/>
        </w:rPr>
        <w:t>Document établi par le Bureau international</w:t>
      </w:r>
    </w:p>
    <w:bookmarkEnd w:id="5"/>
    <w:p w:rsidR="00E917D8" w:rsidRDefault="00E07E63" w:rsidP="00E07E63">
      <w:pPr>
        <w:pStyle w:val="Heading2"/>
      </w:pPr>
      <w:r>
        <w:t>Introduction</w:t>
      </w:r>
    </w:p>
    <w:p w:rsidR="00742E60" w:rsidRDefault="00E917D8" w:rsidP="00E07E63">
      <w:pPr>
        <w:pStyle w:val="ONUMFS"/>
      </w:pPr>
      <w:r>
        <w:t>Le présent rapport vise à mettre en œuvre la décision prise par l</w:t>
      </w:r>
      <w:r w:rsidR="00742E60">
        <w:t>’</w:t>
      </w:r>
      <w:r>
        <w:t xml:space="preserve">Assemblée générale </w:t>
      </w:r>
      <w:r w:rsidR="00742E60">
        <w:t>en 2011</w:t>
      </w:r>
      <w:r>
        <w:t xml:space="preserve"> eu égard au mandat du Comité des normes de l</w:t>
      </w:r>
      <w:r w:rsidR="00742E60">
        <w:t>’</w:t>
      </w:r>
      <w:r>
        <w:t xml:space="preserve">OMPI (CWS) et à la soumission régulière de rapports écrits sur le détail des activités menées </w:t>
      </w:r>
      <w:r w:rsidR="00742E60">
        <w:t>en 2021</w:t>
      </w:r>
      <w:r>
        <w:t xml:space="preserve"> dans le cadre desquelles le Secrétariat ou le Bureau international de l</w:t>
      </w:r>
      <w:r w:rsidR="00742E60">
        <w:t>’</w:t>
      </w:r>
      <w:r>
        <w:t>OMPI s</w:t>
      </w:r>
      <w:r w:rsidR="00742E60">
        <w:t>’</w:t>
      </w:r>
      <w:r>
        <w:t>est efforcé “de fournir des services consultatifs et d</w:t>
      </w:r>
      <w:r w:rsidR="00742E60">
        <w:t>’</w:t>
      </w:r>
      <w:r>
        <w:t>assistance technique aux fins du renforcement des capacités aux offices de propriété intellectuelle en entreprenant des projets relatifs à la diffusion de l</w:t>
      </w:r>
      <w:r w:rsidR="00742E60">
        <w:t>’</w:t>
      </w:r>
      <w:r>
        <w:t xml:space="preserve">information en matière de normes de propriété intellectuelle” (voir le </w:t>
      </w:r>
      <w:r w:rsidR="00742E60">
        <w:t>paragraphe 1</w:t>
      </w:r>
      <w:r>
        <w:t>90 du document WO/GA/40/19).  La liste complète de ces activités figure dans la base de données relative à l</w:t>
      </w:r>
      <w:r w:rsidR="00742E60">
        <w:t>’</w:t>
      </w:r>
      <w:r>
        <w:t>assistance technique (</w:t>
      </w:r>
      <w:hyperlink r:id="rId8" w:history="1">
        <w:r>
          <w:rPr>
            <w:rStyle w:val="Hyperlink"/>
          </w:rPr>
          <w:t>www.wipo.int/tad</w:t>
        </w:r>
      </w:hyperlink>
      <w:r>
        <w:t>).</w:t>
      </w:r>
    </w:p>
    <w:p w:rsidR="00E917D8" w:rsidRPr="00A6078A" w:rsidRDefault="00E917D8" w:rsidP="00E07E63">
      <w:pPr>
        <w:pStyle w:val="ONUMFS"/>
      </w:pPr>
      <w:r>
        <w:t>Les normes de l</w:t>
      </w:r>
      <w:r w:rsidR="00742E60">
        <w:t>’</w:t>
      </w:r>
      <w:r>
        <w:t>OMPI étant appliquées dans divers systèmes et outils de l</w:t>
      </w:r>
      <w:r w:rsidR="00742E60">
        <w:t>’</w:t>
      </w:r>
      <w:r>
        <w:t>Organisation, tels que les Solutions opérationnelles de l</w:t>
      </w:r>
      <w:r w:rsidR="00742E60">
        <w:t>’</w:t>
      </w:r>
      <w:r>
        <w:t>OMPI à l</w:t>
      </w:r>
      <w:r w:rsidR="00742E60">
        <w:t>’</w:t>
      </w:r>
      <w:r>
        <w:t>intention des offices de propriété intellectuelle ou WIPO Sequence, les activités indiquées ci</w:t>
      </w:r>
      <w:r w:rsidR="00742E60">
        <w:t>-</w:t>
      </w:r>
      <w:r>
        <w:t>après portent aussi implicitement sur la diffusion d</w:t>
      </w:r>
      <w:r w:rsidR="00742E60">
        <w:t>’</w:t>
      </w:r>
      <w:r>
        <w:t>informations pertinentes en matière de normes de propriété intellectuelle.</w:t>
      </w:r>
    </w:p>
    <w:p w:rsidR="00E917D8" w:rsidRPr="00A6078A" w:rsidRDefault="00E917D8" w:rsidP="00E07E63">
      <w:pPr>
        <w:pStyle w:val="Heading2"/>
      </w:pPr>
      <w:r>
        <w:t>Formation à l</w:t>
      </w:r>
      <w:r w:rsidR="00742E60">
        <w:t>’</w:t>
      </w:r>
      <w:r>
        <w:t>utilisation des normes de l</w:t>
      </w:r>
      <w:r w:rsidR="00742E60">
        <w:t>’</w:t>
      </w:r>
      <w:r>
        <w:t>OMPI et services consultatifs connexes</w:t>
      </w:r>
    </w:p>
    <w:p w:rsidR="00E917D8" w:rsidRDefault="00742E60" w:rsidP="00E07E63">
      <w:pPr>
        <w:pStyle w:val="ONUMFS"/>
      </w:pPr>
      <w:r>
        <w:t>En 2021</w:t>
      </w:r>
      <w:r w:rsidR="00E917D8">
        <w:t>, malgré la pandémie de COVID</w:t>
      </w:r>
      <w:r>
        <w:t>-</w:t>
      </w:r>
      <w:r w:rsidR="00E917D8">
        <w:t>19, le Bureau international a fourni des services consultatifs aux offices de propriété industrielle afin d</w:t>
      </w:r>
      <w:r>
        <w:t>’</w:t>
      </w:r>
      <w:r w:rsidR="00E917D8">
        <w:t>aider ces derniers et leurs utilisateurs à utiliser les normes de l</w:t>
      </w:r>
      <w:r>
        <w:t>’</w:t>
      </w:r>
      <w:r w:rsidR="00E917D8">
        <w:t>OMPI, cela au moyen de courriers électroniques et lors de conférences en ligne.</w:t>
      </w:r>
    </w:p>
    <w:p w:rsidR="00E917D8" w:rsidRDefault="00E917D8" w:rsidP="00E07E63">
      <w:pPr>
        <w:pStyle w:val="ONUMFS"/>
      </w:pPr>
      <w:r>
        <w:lastRenderedPageBreak/>
        <w:t>Le Secrétariat a reçu une série de demandes d</w:t>
      </w:r>
      <w:r w:rsidR="00742E60">
        <w:t>’</w:t>
      </w:r>
      <w:r>
        <w:t xml:space="preserve">assistance technique et de formation </w:t>
      </w:r>
      <w:r w:rsidR="00742E60">
        <w:t>en 2021</w:t>
      </w:r>
      <w:r>
        <w:t>, concernant le soutien à la mise en œuvre des normes</w:t>
      </w:r>
      <w:r w:rsidR="00626F52">
        <w:t> </w:t>
      </w:r>
      <w:r>
        <w:t>ST.26 et ST.96 de l</w:t>
      </w:r>
      <w:r w:rsidR="00742E60">
        <w:t>’</w:t>
      </w:r>
      <w:r>
        <w:t>O</w:t>
      </w:r>
      <w:r w:rsidR="00532ECD">
        <w:t>MPI.  Po</w:t>
      </w:r>
      <w:r>
        <w:t>ur aider les offices et les déposants à mettre en œuvre la norme</w:t>
      </w:r>
      <w:r w:rsidR="00626F52">
        <w:t> </w:t>
      </w:r>
      <w:r>
        <w:t>ST.26, le Bureau international a élaboré la suite logicielle WIPO Sequence Suite en collaboration étroite avec les offices de propriété intellectuelle et les groupes d</w:t>
      </w:r>
      <w:r w:rsidR="00742E60">
        <w:t>’</w:t>
      </w:r>
      <w:r>
        <w:t>utilisateurs fina</w:t>
      </w:r>
      <w:r w:rsidR="00532ECD">
        <w:t>ux.  On</w:t>
      </w:r>
      <w:r>
        <w:t xml:space="preserve"> trouvera de plus amples sur cette suite logicielle sur le site</w:t>
      </w:r>
      <w:r w:rsidR="00626F52">
        <w:t> </w:t>
      </w:r>
      <w:r>
        <w:t>Web de l</w:t>
      </w:r>
      <w:r w:rsidR="00742E60">
        <w:t>’</w:t>
      </w:r>
      <w:r>
        <w:t>OMPI, à l</w:t>
      </w:r>
      <w:r w:rsidR="00742E60">
        <w:t>’</w:t>
      </w:r>
      <w:r>
        <w:t>adresse</w:t>
      </w:r>
      <w:r w:rsidR="00532ECD">
        <w:t xml:space="preserve"> suivante</w:t>
      </w:r>
      <w:r w:rsidR="00742E60">
        <w:t> :</w:t>
      </w:r>
      <w:r>
        <w:t xml:space="preserve"> </w:t>
      </w:r>
      <w:hyperlink r:id="rId9" w:history="1">
        <w:r>
          <w:rPr>
            <w:rStyle w:val="Hyperlink"/>
          </w:rPr>
          <w:t>https://www.wipo.int/standards/fr/sequence/index.html</w:t>
        </w:r>
      </w:hyperlink>
      <w:r>
        <w:t>.  En réponse à la demande de formation concernant la norme</w:t>
      </w:r>
      <w:r w:rsidR="00626F52">
        <w:t> </w:t>
      </w:r>
      <w:r>
        <w:t>ST.26 de l</w:t>
      </w:r>
      <w:r w:rsidR="00742E60">
        <w:t>’</w:t>
      </w:r>
      <w:r>
        <w:t>OMPI et la suite logicielle WIPO Sequence, le Bureau international a organisé 17 séminaires de formation en ligne qui se sont tenus dans huit</w:t>
      </w:r>
      <w:r w:rsidR="00626F52">
        <w:t> </w:t>
      </w:r>
      <w:r>
        <w:t>langues</w:t>
      </w:r>
      <w:r w:rsidR="00742E60">
        <w:t xml:space="preserve"> du PCT</w:t>
      </w:r>
      <w:r>
        <w:t xml:space="preserve"> </w:t>
      </w:r>
      <w:r w:rsidR="00742E60">
        <w:t>en 2021</w:t>
      </w:r>
      <w:r>
        <w:t>.  On trouvera de plus amples informations sur les formations ou les webinaires relatifs à l</w:t>
      </w:r>
      <w:r w:rsidR="00742E60">
        <w:t>’</w:t>
      </w:r>
      <w:r>
        <w:t>utilisation des normes de l</w:t>
      </w:r>
      <w:r w:rsidR="00742E60">
        <w:t>’</w:t>
      </w:r>
      <w:r>
        <w:t>OMPI sur le site</w:t>
      </w:r>
      <w:r w:rsidR="00626F52">
        <w:t> </w:t>
      </w:r>
      <w:r>
        <w:t>Web, à l</w:t>
      </w:r>
      <w:r w:rsidR="00742E60">
        <w:t>’</w:t>
      </w:r>
      <w:r>
        <w:t>adresse</w:t>
      </w:r>
      <w:r w:rsidR="00532ECD">
        <w:t xml:space="preserve"> suivante</w:t>
      </w:r>
      <w:r w:rsidR="00742E60">
        <w:t> :</w:t>
      </w:r>
      <w:r>
        <w:t xml:space="preserve"> </w:t>
      </w:r>
      <w:hyperlink r:id="rId10" w:history="1">
        <w:r>
          <w:rPr>
            <w:rStyle w:val="Hyperlink"/>
          </w:rPr>
          <w:t>https://www.wipo.int/cws/fr/trainings.html</w:t>
        </w:r>
      </w:hyperlink>
      <w:r>
        <w:t>.  S</w:t>
      </w:r>
      <w:r w:rsidR="00742E60">
        <w:t>’</w:t>
      </w:r>
      <w:r>
        <w:t>agissant de la demande de formation concernant la norme</w:t>
      </w:r>
      <w:r w:rsidR="00626F52">
        <w:t> </w:t>
      </w:r>
      <w:r>
        <w:t>ST.96 de l</w:t>
      </w:r>
      <w:r w:rsidR="00742E60">
        <w:t>’</w:t>
      </w:r>
      <w:r>
        <w:t>OMPI, le Bureau international, en collaboration avec l</w:t>
      </w:r>
      <w:r w:rsidR="00742E60">
        <w:t>’</w:t>
      </w:r>
      <w:r>
        <w:t>Équipe d</w:t>
      </w:r>
      <w:r w:rsidR="00742E60">
        <w:t>’</w:t>
      </w:r>
      <w:r>
        <w:t>experts chargée de la norme</w:t>
      </w:r>
      <w:r w:rsidR="00626F52">
        <w:t> </w:t>
      </w:r>
      <w:r>
        <w:t xml:space="preserve">XML4IP, a proposé de créer un guide intitulé </w:t>
      </w:r>
      <w:r w:rsidR="00742E60">
        <w:t>“D</w:t>
      </w:r>
      <w:r>
        <w:t>émarrer avec la norme</w:t>
      </w:r>
      <w:r w:rsidR="00626F52">
        <w:t> </w:t>
      </w:r>
      <w:r>
        <w:t>ST.9</w:t>
      </w:r>
      <w:r w:rsidR="00742E60">
        <w:t>6”</w:t>
      </w:r>
      <w:r>
        <w:t>.  Le Secrétariat continue de s</w:t>
      </w:r>
      <w:r w:rsidR="00742E60">
        <w:t>’</w:t>
      </w:r>
      <w:r>
        <w:t>engager à fournir une assistance technique et à dispenser des formations concernant les normes de l</w:t>
      </w:r>
      <w:r w:rsidR="00742E60">
        <w:t>’</w:t>
      </w:r>
      <w:r>
        <w:t>OMPI à la demande, en fonction de la disponibilité des ressources.</w:t>
      </w:r>
    </w:p>
    <w:p w:rsidR="00E917D8" w:rsidRPr="00A6078A" w:rsidRDefault="00E917D8" w:rsidP="00E07E63">
      <w:pPr>
        <w:pStyle w:val="Heading2"/>
      </w:pPr>
      <w:r>
        <w:t>Assistance technique aux fins du renforcement des infrastructures des institutions de propriété industrielle utilisant les normes de l</w:t>
      </w:r>
      <w:r w:rsidR="00742E60">
        <w:t>’</w:t>
      </w:r>
      <w:r>
        <w:t>OMPI</w:t>
      </w:r>
    </w:p>
    <w:p w:rsidR="00E917D8" w:rsidRPr="00A6078A" w:rsidRDefault="00E917D8" w:rsidP="00E07E63">
      <w:pPr>
        <w:pStyle w:val="ONUMFS"/>
      </w:pPr>
      <w:r>
        <w:t>Le programme de l</w:t>
      </w:r>
      <w:r w:rsidR="00742E60">
        <w:t>’</w:t>
      </w:r>
      <w:r>
        <w:t>OMPI de Solutions opérationnelles à l</w:t>
      </w:r>
      <w:r w:rsidR="00742E60">
        <w:t>’</w:t>
      </w:r>
      <w:r>
        <w:t>intention des offices de propriété intellectuelle a pour objectif de renforcer les systèmes de traitement et les infrastructures techniques des offices de propriété industrielle nationaux et régionaux afin qu</w:t>
      </w:r>
      <w:r w:rsidR="00742E60">
        <w:t>’</w:t>
      </w:r>
      <w:r>
        <w:t>ils puissent assurer des services offrant un meilleur rapport coût/efficacité et de plus grande qualité à leurs parties prenant</w:t>
      </w:r>
      <w:r w:rsidR="00532ECD">
        <w:t>es.  L’a</w:t>
      </w:r>
      <w:r>
        <w:t>ssistance fournie est conforme aux recommandations du Plan d</w:t>
      </w:r>
      <w:r w:rsidR="00742E60">
        <w:t>’</w:t>
      </w:r>
      <w:r>
        <w:t>action pour le développement visant à renforcer les infrastructures institutionnelles et techniques des offices et d</w:t>
      </w:r>
      <w:r w:rsidR="00742E60">
        <w:t>’</w:t>
      </w:r>
      <w:r>
        <w:t>autres institutions de propriété industriel</w:t>
      </w:r>
      <w:r w:rsidR="00532ECD">
        <w:t>le.  Le</w:t>
      </w:r>
      <w:r>
        <w:t>s services comprennent notamment la fourniture de conseils techniques, l</w:t>
      </w:r>
      <w:r w:rsidR="00742E60">
        <w:t>’</w:t>
      </w:r>
      <w:r>
        <w:t>évaluation des besoins opérationnels, la définition de la portée et la planification des projets, l</w:t>
      </w:r>
      <w:r w:rsidR="00742E60">
        <w:t>’</w:t>
      </w:r>
      <w:r>
        <w:t>analyse du processus opérationnel, le développement et le déploiement continus des solutions opérationnelles spécialement adaptées à l</w:t>
      </w:r>
      <w:r w:rsidR="00742E60">
        <w:t>’</w:t>
      </w:r>
      <w:r>
        <w:t>administration des droits de propriété intellectuelle et à l</w:t>
      </w:r>
      <w:r w:rsidR="00742E60">
        <w:t>’</w:t>
      </w:r>
      <w:r>
        <w:t>échange des documents de priorité et des résultats des recherches et des examens, l</w:t>
      </w:r>
      <w:r w:rsidR="00742E60">
        <w:t>’</w:t>
      </w:r>
      <w:r>
        <w:t>établissement de bases de données sur la propriété intellectuelle, l</w:t>
      </w:r>
      <w:r w:rsidR="00742E60">
        <w:t>’</w:t>
      </w:r>
      <w:r>
        <w:t>assistance à la numérisation des dossiers de propriété intellectuelle et à la préparation des données pour la publication en ligne et l</w:t>
      </w:r>
      <w:r w:rsidR="00742E60">
        <w:t>’</w:t>
      </w:r>
      <w:r>
        <w:t>échange électronique des données, la formation et le transfert de connaissances au personnel des institutions de propriété industrielle, et l</w:t>
      </w:r>
      <w:r w:rsidR="00742E60">
        <w:t>’</w:t>
      </w:r>
      <w:r>
        <w:t>appui aux systèmes fournis par l</w:t>
      </w:r>
      <w:r w:rsidR="00742E60">
        <w:t>’</w:t>
      </w:r>
      <w:r>
        <w:t>O</w:t>
      </w:r>
      <w:r w:rsidR="00532ECD">
        <w:t>MPI.  Le</w:t>
      </w:r>
      <w:r>
        <w:t xml:space="preserve"> cas échéant, l</w:t>
      </w:r>
      <w:r w:rsidR="00742E60">
        <w:t>’</w:t>
      </w:r>
      <w:r>
        <w:t>assistance porte sur les normes de l</w:t>
      </w:r>
      <w:r w:rsidR="00742E60">
        <w:t>’</w:t>
      </w:r>
      <w:r>
        <w:t>OMPI sur les données et l</w:t>
      </w:r>
      <w:r w:rsidR="00742E60">
        <w:t>’</w:t>
      </w:r>
      <w:r>
        <w:t>information en matière de propriété intellectuel</w:t>
      </w:r>
      <w:r w:rsidR="00532ECD">
        <w:t>le.  Le</w:t>
      </w:r>
      <w:r>
        <w:t>s formations sur le terrain ou virtuelles, le parrainage et les ateliers régionaux de formation représentent une partie significative des activités et jouent un rôle essentiel dans l</w:t>
      </w:r>
      <w:r w:rsidR="00742E60">
        <w:t>’</w:t>
      </w:r>
      <w:r>
        <w:t>obtention des résultats escomptés.</w:t>
      </w:r>
    </w:p>
    <w:p w:rsidR="00E917D8" w:rsidRDefault="00E917D8" w:rsidP="00E07E63">
      <w:pPr>
        <w:pStyle w:val="ONUMFS"/>
      </w:pPr>
      <w:r>
        <w:t xml:space="preserve">À la fin </w:t>
      </w:r>
      <w:r w:rsidR="00742E60">
        <w:t>de 2021</w:t>
      </w:r>
      <w:r>
        <w:t>, 90 offices de propriété intellectuelle de pays en développement de toutes les régions utilisaient activement les Solutions opérationnelles de l</w:t>
      </w:r>
      <w:r w:rsidR="00742E60">
        <w:t>’</w:t>
      </w:r>
      <w:r>
        <w:t>OMPI à l</w:t>
      </w:r>
      <w:r w:rsidR="00742E60">
        <w:t>’</w:t>
      </w:r>
      <w:r>
        <w:t>intention des offices de propriété intellectuelle pour l</w:t>
      </w:r>
      <w:r w:rsidR="00742E60">
        <w:t>’</w:t>
      </w:r>
      <w:r>
        <w:t>administration de leurs droits de propriété intellectuelle, dans lesquelles les normes de l</w:t>
      </w:r>
      <w:r w:rsidR="00742E60">
        <w:t>’</w:t>
      </w:r>
      <w:r>
        <w:t>OMPI sont intégré</w:t>
      </w:r>
      <w:r w:rsidR="00532ECD">
        <w:t>es.  Ci</w:t>
      </w:r>
      <w:r>
        <w:t>nquante et un offices de propriété intellectuelle participaient à l</w:t>
      </w:r>
      <w:r w:rsidR="00742E60">
        <w:t>’</w:t>
      </w:r>
      <w:r>
        <w:t>une des plateformes d</w:t>
      </w:r>
      <w:r w:rsidR="00742E60">
        <w:t>’</w:t>
      </w:r>
      <w:r>
        <w:t>échange en ligne proposées par l</w:t>
      </w:r>
      <w:r w:rsidR="00742E60">
        <w:t>’</w:t>
      </w:r>
      <w:r>
        <w:t>OMPI (au système d</w:t>
      </w:r>
      <w:r w:rsidR="00742E60">
        <w:t>’</w:t>
      </w:r>
      <w:r>
        <w:t>accès centralisé aux résultats de la recherche et de l</w:t>
      </w:r>
      <w:r w:rsidR="00742E60">
        <w:t>’</w:t>
      </w:r>
      <w:r>
        <w:t>examen et au service d</w:t>
      </w:r>
      <w:r w:rsidR="00742E60">
        <w:t>’</w:t>
      </w:r>
      <w:r>
        <w:t>accès numérique aux documents de priori</w:t>
      </w:r>
      <w:r w:rsidR="00532ECD">
        <w:t>té).  Un</w:t>
      </w:r>
      <w:r>
        <w:t xml:space="preserve"> élément essentiel consiste à améliorer le niveau de service des offices en les aidant à proposer davantage de services en ligne pour le dépôt des demandes et la diffusion de l</w:t>
      </w:r>
      <w:r w:rsidR="00742E60">
        <w:t>’</w:t>
      </w:r>
      <w:r>
        <w:t>information en matière de propriété intellectuel</w:t>
      </w:r>
      <w:r w:rsidR="00532ECD">
        <w:t>le.  On</w:t>
      </w:r>
      <w:r>
        <w:t xml:space="preserve"> trouvera davantage d</w:t>
      </w:r>
      <w:r w:rsidR="00742E60">
        <w:t>’</w:t>
      </w:r>
      <w:r>
        <w:t>informations sur le site</w:t>
      </w:r>
      <w:r w:rsidR="00626F52">
        <w:t> </w:t>
      </w:r>
      <w:r>
        <w:t>Web du programme d</w:t>
      </w:r>
      <w:r w:rsidR="00742E60">
        <w:t>’</w:t>
      </w:r>
      <w:r>
        <w:t>assistance technique de l</w:t>
      </w:r>
      <w:r w:rsidR="00742E60">
        <w:t>’</w:t>
      </w:r>
      <w:r>
        <w:t>OMPI à l</w:t>
      </w:r>
      <w:r w:rsidR="00742E60">
        <w:t>’</w:t>
      </w:r>
      <w:r>
        <w:t>intention des offices de propriété industrielle à l</w:t>
      </w:r>
      <w:r w:rsidR="00742E60">
        <w:t>’</w:t>
      </w:r>
      <w:r>
        <w:t>adresse</w:t>
      </w:r>
      <w:r w:rsidR="00532ECD">
        <w:t xml:space="preserve"> suivante</w:t>
      </w:r>
      <w:r w:rsidR="00742E60">
        <w:t> :</w:t>
      </w:r>
      <w:r>
        <w:t xml:space="preserve">  </w:t>
      </w:r>
      <w:hyperlink r:id="rId11" w:history="1">
        <w:r>
          <w:rPr>
            <w:rStyle w:val="Hyperlink"/>
          </w:rPr>
          <w:t>https://www.wipo.int/global_ip/fr/activities/ip_office_business_solutions/</w:t>
        </w:r>
      </w:hyperlink>
      <w:r w:rsidR="00030CFA" w:rsidRPr="00030CFA">
        <w:rPr>
          <w:rStyle w:val="Hyperlink"/>
          <w:color w:val="auto"/>
          <w:u w:val="none"/>
        </w:rPr>
        <w:t>.</w:t>
      </w:r>
    </w:p>
    <w:p w:rsidR="00E917D8" w:rsidRDefault="00E917D8" w:rsidP="00E07E63">
      <w:pPr>
        <w:pStyle w:val="ONUMFS"/>
        <w:rPr>
          <w:color w:val="000000"/>
        </w:rPr>
      </w:pPr>
      <w:r>
        <w:t>En outre, dans le cadre du programme de l</w:t>
      </w:r>
      <w:r w:rsidR="00742E60">
        <w:t>’</w:t>
      </w:r>
      <w:r>
        <w:t>OMPI sur les bases de données mondiales, le Bureau international a mené un projet en collaboration avec l</w:t>
      </w:r>
      <w:r w:rsidR="00742E60">
        <w:t>’</w:t>
      </w:r>
      <w:r>
        <w:t>Office européen des brevets (OEB) afin d</w:t>
      </w:r>
      <w:r w:rsidR="00742E60">
        <w:t>’</w:t>
      </w:r>
      <w:r>
        <w:t>aider les offices de propriété industrielle à produire des textes intégraux se prêtant à la recherche pour les fichiers courants de leurs publications en matière de brevets dans le format XML de la norme</w:t>
      </w:r>
      <w:r w:rsidR="00626F52">
        <w:t> </w:t>
      </w:r>
      <w:r>
        <w:t>ST.36 de l</w:t>
      </w:r>
      <w:r w:rsidR="00742E60">
        <w:t>’</w:t>
      </w:r>
      <w:r>
        <w:t>OMPI avec des images TIFF intégré</w:t>
      </w:r>
      <w:r w:rsidR="00532ECD">
        <w:t xml:space="preserve">es.  </w:t>
      </w:r>
      <w:r w:rsidR="00532ECD">
        <w:rPr>
          <w:color w:val="000000"/>
        </w:rPr>
        <w:t>Le</w:t>
      </w:r>
      <w:r>
        <w:rPr>
          <w:color w:val="000000"/>
        </w:rPr>
        <w:t xml:space="preserve"> Bureau international a adapté son outil de reconnaissance optique de caractères aux besoins spécifiques de chaque office, notamment en ce qui concerne la langue, la présentation et les signe</w:t>
      </w:r>
      <w:r w:rsidR="00532ECD">
        <w:rPr>
          <w:color w:val="000000"/>
        </w:rPr>
        <w:t>ts.  Tr</w:t>
      </w:r>
      <w:r>
        <w:rPr>
          <w:color w:val="000000"/>
        </w:rPr>
        <w:t>ente</w:t>
      </w:r>
      <w:r w:rsidR="00742E60">
        <w:rPr>
          <w:color w:val="000000"/>
        </w:rPr>
        <w:t>-</w:t>
      </w:r>
      <w:r>
        <w:rPr>
          <w:color w:val="000000"/>
        </w:rPr>
        <w:t>cinq offices de propriété intellectuelle ont reçu le logiciel et ont été formés à l</w:t>
      </w:r>
      <w:r w:rsidR="00742E60">
        <w:rPr>
          <w:color w:val="000000"/>
        </w:rPr>
        <w:t>’</w:t>
      </w:r>
      <w:r>
        <w:rPr>
          <w:color w:val="000000"/>
        </w:rPr>
        <w:t>utiliser ces quatre</w:t>
      </w:r>
      <w:r w:rsidR="00626F52">
        <w:rPr>
          <w:color w:val="000000"/>
        </w:rPr>
        <w:t> </w:t>
      </w:r>
      <w:r>
        <w:rPr>
          <w:color w:val="000000"/>
        </w:rPr>
        <w:t>dernières années (à l</w:t>
      </w:r>
      <w:r w:rsidR="00742E60">
        <w:rPr>
          <w:color w:val="000000"/>
        </w:rPr>
        <w:t>’</w:t>
      </w:r>
      <w:r>
        <w:rPr>
          <w:color w:val="000000"/>
        </w:rPr>
        <w:t>exception d</w:t>
      </w:r>
      <w:r w:rsidR="00742E60">
        <w:rPr>
          <w:color w:val="000000"/>
        </w:rPr>
        <w:t>’</w:t>
      </w:r>
      <w:r>
        <w:rPr>
          <w:color w:val="000000"/>
        </w:rPr>
        <w:t>un office de propriété intellectuelle pour lequel une formation sera organisée en temps voulu) et 12 d</w:t>
      </w:r>
      <w:r w:rsidR="00742E60">
        <w:rPr>
          <w:color w:val="000000"/>
        </w:rPr>
        <w:t>’</w:t>
      </w:r>
      <w:r>
        <w:rPr>
          <w:color w:val="000000"/>
        </w:rPr>
        <w:t>entre eux l</w:t>
      </w:r>
      <w:r w:rsidR="00742E60">
        <w:rPr>
          <w:color w:val="000000"/>
        </w:rPr>
        <w:t>’</w:t>
      </w:r>
      <w:r>
        <w:rPr>
          <w:color w:val="000000"/>
        </w:rPr>
        <w:t>ont intégré à leurs servic</w:t>
      </w:r>
      <w:r w:rsidR="00532ECD">
        <w:rPr>
          <w:color w:val="000000"/>
        </w:rPr>
        <w:t>es.  En</w:t>
      </w:r>
      <w:r>
        <w:rPr>
          <w:color w:val="000000"/>
        </w:rPr>
        <w:t xml:space="preserve"> conséquence, les documents en texte intégral publiés sont inclus et consultables aussi bien dans la base de données PATENTSCOPE de l</w:t>
      </w:r>
      <w:r w:rsidR="00742E60">
        <w:rPr>
          <w:color w:val="000000"/>
        </w:rPr>
        <w:t>’</w:t>
      </w:r>
      <w:r>
        <w:rPr>
          <w:color w:val="000000"/>
        </w:rPr>
        <w:t xml:space="preserve">OMPI que dans la base </w:t>
      </w:r>
      <w:proofErr w:type="spellStart"/>
      <w:r>
        <w:rPr>
          <w:color w:val="000000"/>
        </w:rPr>
        <w:t>Espacenet</w:t>
      </w:r>
      <w:proofErr w:type="spellEnd"/>
      <w:r>
        <w:rPr>
          <w:color w:val="000000"/>
        </w:rPr>
        <w:t xml:space="preserve"> de l</w:t>
      </w:r>
      <w:r w:rsidR="00742E60">
        <w:rPr>
          <w:color w:val="000000"/>
        </w:rPr>
        <w:t>’</w:t>
      </w:r>
      <w:r w:rsidR="00532ECD">
        <w:rPr>
          <w:color w:val="000000"/>
        </w:rPr>
        <w:t>OEB.  En</w:t>
      </w:r>
      <w:r>
        <w:rPr>
          <w:color w:val="000000"/>
        </w:rPr>
        <w:t xml:space="preserve"> raison de la pandémie de COVID</w:t>
      </w:r>
      <w:r w:rsidR="00742E60">
        <w:rPr>
          <w:color w:val="000000"/>
        </w:rPr>
        <w:t>-</w:t>
      </w:r>
      <w:r>
        <w:rPr>
          <w:color w:val="000000"/>
        </w:rPr>
        <w:t>19, aucune formation individuelle n</w:t>
      </w:r>
      <w:r w:rsidR="00742E60">
        <w:rPr>
          <w:color w:val="000000"/>
        </w:rPr>
        <w:t>’</w:t>
      </w:r>
      <w:r>
        <w:rPr>
          <w:color w:val="000000"/>
        </w:rPr>
        <w:t>a pu être organis</w:t>
      </w:r>
      <w:r w:rsidR="00532ECD">
        <w:rPr>
          <w:color w:val="000000"/>
        </w:rPr>
        <w:t>ée.  Un</w:t>
      </w:r>
      <w:r>
        <w:rPr>
          <w:color w:val="000000"/>
        </w:rPr>
        <w:t>e formation pilote en ligne a eu lieu avec trois</w:t>
      </w:r>
      <w:r w:rsidR="00626F52">
        <w:rPr>
          <w:color w:val="000000"/>
        </w:rPr>
        <w:t> </w:t>
      </w:r>
      <w:r>
        <w:rPr>
          <w:color w:val="000000"/>
        </w:rPr>
        <w:t>offices ayant déjà été formés dans le passé mais qui n</w:t>
      </w:r>
      <w:r w:rsidR="00742E60">
        <w:rPr>
          <w:color w:val="000000"/>
        </w:rPr>
        <w:t>’</w:t>
      </w:r>
      <w:r>
        <w:rPr>
          <w:color w:val="000000"/>
        </w:rPr>
        <w:t>avaient pas pu démarrer le projet en production par manque de ressourc</w:t>
      </w:r>
      <w:r w:rsidR="00532ECD">
        <w:rPr>
          <w:color w:val="000000"/>
        </w:rPr>
        <w:t>es.  La</w:t>
      </w:r>
      <w:r>
        <w:rPr>
          <w:color w:val="000000"/>
        </w:rPr>
        <w:t xml:space="preserve"> formation à l</w:t>
      </w:r>
      <w:r w:rsidR="00742E60">
        <w:rPr>
          <w:color w:val="000000"/>
        </w:rPr>
        <w:t>’</w:t>
      </w:r>
      <w:r>
        <w:rPr>
          <w:color w:val="000000"/>
        </w:rPr>
        <w:t>utilisation d</w:t>
      </w:r>
      <w:r w:rsidR="00742E60">
        <w:rPr>
          <w:color w:val="000000"/>
        </w:rPr>
        <w:t>’</w:t>
      </w:r>
      <w:r>
        <w:rPr>
          <w:color w:val="000000"/>
        </w:rPr>
        <w:t>une interface utilisateur avancée à distance avec de nombreux cas particuliers dus aux données sources a été un défi et il reste à voir si un ou plusieurs de ces offices parviendront à lancer la production par la suite.</w:t>
      </w:r>
    </w:p>
    <w:p w:rsidR="00E917D8" w:rsidRDefault="00E917D8" w:rsidP="00E07E63">
      <w:pPr>
        <w:pStyle w:val="Heading2"/>
      </w:pPr>
      <w:r>
        <w:t>Renforcement des capacités des agents des offices de propriété industrielle et des examinateurs aux fins de l</w:t>
      </w:r>
      <w:r w:rsidR="00742E60">
        <w:t>’</w:t>
      </w:r>
      <w:r>
        <w:t>utilisation des instruments internationaux</w:t>
      </w:r>
    </w:p>
    <w:p w:rsidR="00742E60" w:rsidRDefault="00E917D8" w:rsidP="00E07E63">
      <w:pPr>
        <w:pStyle w:val="ONUMFS"/>
      </w:pPr>
      <w:r>
        <w:t>En collaboration avec les Offices de l</w:t>
      </w:r>
      <w:r w:rsidR="00742E60">
        <w:t>’</w:t>
      </w:r>
      <w:r>
        <w:t>Équipe d</w:t>
      </w:r>
      <w:r w:rsidR="00742E60">
        <w:t>’</w:t>
      </w:r>
      <w:r>
        <w:t>experts</w:t>
      </w:r>
      <w:r w:rsidR="00742E60">
        <w:t xml:space="preserve"> du CWS</w:t>
      </w:r>
      <w:r>
        <w:t xml:space="preserve"> chargée de la norme relative aux listages des séquences, le Bureau international a amélioré la suite WIPO Sequence, outil logiciel commun gratuit, ce qui permettra aux déposants de demandes de brevet du monde entier de préparer un listage des séquences de nucléotides et d</w:t>
      </w:r>
      <w:r w:rsidR="00742E60">
        <w:t>’</w:t>
      </w:r>
      <w:r>
        <w:t>acides aminés conformément à la norme</w:t>
      </w:r>
      <w:r w:rsidR="00626F52">
        <w:t> </w:t>
      </w:r>
      <w:r>
        <w:t>ST.26 de l</w:t>
      </w:r>
      <w:r w:rsidR="00742E60">
        <w:t>’</w:t>
      </w:r>
      <w:r>
        <w:t>OMPI et aidera les offices de propriété industrielle à valider les listages de séquences afin de s</w:t>
      </w:r>
      <w:r w:rsidR="00742E60">
        <w:t>’</w:t>
      </w:r>
      <w:r>
        <w:t>assurer de leur conformité avec la norme</w:t>
      </w:r>
      <w:r w:rsidR="00626F52">
        <w:t> </w:t>
      </w:r>
      <w:r>
        <w:t>ST.26 de l</w:t>
      </w:r>
      <w:r w:rsidR="00742E60">
        <w:t>’</w:t>
      </w:r>
      <w:r>
        <w:t>OMPI.  L</w:t>
      </w:r>
      <w:r w:rsidR="00742E60">
        <w:t>’</w:t>
      </w:r>
      <w:r>
        <w:t>outil WIPO Sequence est disponible sur site</w:t>
      </w:r>
      <w:r w:rsidR="00626F52">
        <w:t> </w:t>
      </w:r>
      <w:r>
        <w:t>Web de l</w:t>
      </w:r>
      <w:r w:rsidR="00742E60">
        <w:t>’</w:t>
      </w:r>
      <w:r>
        <w:t>OMPI à l</w:t>
      </w:r>
      <w:r w:rsidR="00742E60">
        <w:t>’</w:t>
      </w:r>
      <w:r>
        <w:t>adresse</w:t>
      </w:r>
      <w:r w:rsidR="00532ECD">
        <w:t xml:space="preserve"> suivante</w:t>
      </w:r>
      <w:r w:rsidR="00742E60">
        <w:t> :</w:t>
      </w:r>
      <w:r>
        <w:t xml:space="preserve">  </w:t>
      </w:r>
      <w:hyperlink r:id="rId12" w:history="1">
        <w:r>
          <w:rPr>
            <w:rStyle w:val="Hyperlink"/>
          </w:rPr>
          <w:t>https://www.wipo.int/standards/fr/sequence/index.html</w:t>
        </w:r>
      </w:hyperlink>
      <w:r w:rsidR="00030CFA" w:rsidRPr="00030CFA">
        <w:rPr>
          <w:rStyle w:val="Hyperlink"/>
          <w:color w:val="auto"/>
          <w:u w:val="none"/>
        </w:rPr>
        <w:t>.</w:t>
      </w:r>
    </w:p>
    <w:p w:rsidR="00E917D8" w:rsidRPr="00030CFA" w:rsidRDefault="00E917D8" w:rsidP="00E07E63">
      <w:pPr>
        <w:pStyle w:val="ONUMFS"/>
        <w:rPr>
          <w:rFonts w:eastAsia="MS Mincho"/>
          <w:szCs w:val="22"/>
        </w:rPr>
      </w:pPr>
      <w:r w:rsidRPr="00030CFA">
        <w:t xml:space="preserve">À la suite de </w:t>
      </w:r>
      <w:r w:rsidRPr="00030CFA">
        <w:rPr>
          <w:szCs w:val="22"/>
        </w:rPr>
        <w:t xml:space="preserve">ces demandes, le Bureau international a organisé des séminaires de formation via une plateforme en ligne sur la </w:t>
      </w:r>
      <w:r w:rsidRPr="00030CFA">
        <w:rPr>
          <w:szCs w:val="22"/>
          <w:shd w:val="clear" w:color="auto" w:fill="FFFFFF"/>
        </w:rPr>
        <w:t>classification internationale des brevets</w:t>
      </w:r>
      <w:r w:rsidRPr="00030CFA">
        <w:rPr>
          <w:szCs w:val="22"/>
        </w:rPr>
        <w:t xml:space="preserve"> (CIB) à l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>intention de fonctionnaires et d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 xml:space="preserve">examinateurs du Département de la propriété industrielle, Organisation centrale de normalisation et de contrôle de la qualité (COSQC), Ministère de la planification (Iraq), les 5 et </w:t>
      </w:r>
      <w:r w:rsidR="00742E60" w:rsidRPr="00030CFA">
        <w:rPr>
          <w:szCs w:val="22"/>
        </w:rPr>
        <w:t>6 juillet 20</w:t>
      </w:r>
      <w:r w:rsidRPr="00030CFA">
        <w:rPr>
          <w:szCs w:val="22"/>
        </w:rPr>
        <w:t>21, et de fonctionnaires et d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>examinateurs de la Division de la propriété industrielle, Ministère de l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>économie nationale (Palestine), les 11 et 1</w:t>
      </w:r>
      <w:r w:rsidR="00742E60" w:rsidRPr="00030CFA">
        <w:rPr>
          <w:szCs w:val="22"/>
        </w:rPr>
        <w:t>2 octobre 20</w:t>
      </w:r>
      <w:r w:rsidRPr="00030CFA">
        <w:rPr>
          <w:szCs w:val="22"/>
        </w:rPr>
        <w:t>21.  Le programme de formation portait notamment sur l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>utilisation des normes pertinentes de l</w:t>
      </w:r>
      <w:r w:rsidR="00742E60" w:rsidRPr="00030CFA">
        <w:rPr>
          <w:szCs w:val="22"/>
        </w:rPr>
        <w:t>’</w:t>
      </w:r>
      <w:r w:rsidRPr="00030CFA">
        <w:rPr>
          <w:szCs w:val="22"/>
        </w:rPr>
        <w:t>OMPI.</w:t>
      </w:r>
    </w:p>
    <w:p w:rsidR="00E917D8" w:rsidRPr="00E351E2" w:rsidRDefault="00E917D8" w:rsidP="00E07E63">
      <w:pPr>
        <w:pStyle w:val="ONUMFS"/>
        <w:rPr>
          <w:rFonts w:eastAsia="MS Mincho"/>
          <w:szCs w:val="22"/>
        </w:rPr>
      </w:pPr>
      <w:r>
        <w:t>Suite à des demandes, les cours et séminaires de formation ci</w:t>
      </w:r>
      <w:r w:rsidR="00742E60">
        <w:t>-</w:t>
      </w:r>
      <w:r>
        <w:t>après sur l</w:t>
      </w:r>
      <w:r w:rsidR="00742E60">
        <w:t>’</w:t>
      </w:r>
      <w:r>
        <w:t xml:space="preserve">utilisation des classifications internationales pour les marques et les dessins et modèles industriels ont été organisés de façon virtuelle </w:t>
      </w:r>
      <w:r w:rsidR="00742E60">
        <w:t>en 2021</w:t>
      </w:r>
      <w:r>
        <w:t xml:space="preserve"> à l</w:t>
      </w:r>
      <w:r w:rsidR="00742E60">
        <w:t>’</w:t>
      </w:r>
      <w:r>
        <w:t>intention des fonctionnaires et examinateurs des offices de propriété intellectuel</w:t>
      </w:r>
      <w:r w:rsidR="00532ECD">
        <w:t>le.  Da</w:t>
      </w:r>
      <w:r>
        <w:t>ns le cadre des manifestations ci</w:t>
      </w:r>
      <w:r w:rsidR="00742E60">
        <w:t>-</w:t>
      </w:r>
      <w:r>
        <w:t>après, la pertinence des normes de l</w:t>
      </w:r>
      <w:r w:rsidR="00742E60">
        <w:t>’</w:t>
      </w:r>
      <w:r>
        <w:t>OMPI concernées a fait l</w:t>
      </w:r>
      <w:r w:rsidR="00742E60">
        <w:t>’</w:t>
      </w:r>
      <w:r>
        <w:t>objet d</w:t>
      </w:r>
      <w:r w:rsidR="00742E60">
        <w:t>’</w:t>
      </w:r>
      <w:r>
        <w:t>un exposé</w:t>
      </w:r>
      <w:r w:rsidR="00742E60">
        <w:t> :</w:t>
      </w:r>
    </w:p>
    <w:p w:rsidR="00E917D8" w:rsidRPr="00D91D30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  <w:rPr>
          <w:rFonts w:eastAsia="MS Mincho"/>
          <w:szCs w:val="22"/>
        </w:rPr>
      </w:pPr>
      <w:r>
        <w:t>Formation sur la classification de Vienne à l</w:t>
      </w:r>
      <w:r w:rsidR="00742E60">
        <w:t>’</w:t>
      </w:r>
      <w:r>
        <w:t>intention des examinateurs de marques de l</w:t>
      </w:r>
      <w:r w:rsidR="00742E60">
        <w:t>’</w:t>
      </w:r>
      <w:r>
        <w:t>Office de la propriété intellectuelle de l</w:t>
      </w:r>
      <w:r w:rsidR="00030CFA">
        <w:t>a République islamique d</w:t>
      </w:r>
      <w:r w:rsidR="00742E60">
        <w:t>’</w:t>
      </w:r>
      <w:r>
        <w:t>Iran, du 6 au 1</w:t>
      </w:r>
      <w:r w:rsidR="00742E60">
        <w:t>2 juillet 20</w:t>
      </w:r>
      <w:r>
        <w:t>21;</w:t>
      </w:r>
    </w:p>
    <w:p w:rsidR="00E917D8" w:rsidRPr="00D91D30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  <w:rPr>
          <w:rFonts w:eastAsia="MS Mincho"/>
          <w:szCs w:val="22"/>
        </w:rPr>
      </w:pPr>
      <w:r>
        <w:t>Formation sur la classification de Vienne à l</w:t>
      </w:r>
      <w:r w:rsidR="00742E60">
        <w:t>’</w:t>
      </w:r>
      <w:r>
        <w:t>intention des examinateurs de marques de l</w:t>
      </w:r>
      <w:r w:rsidR="00742E60">
        <w:t>’</w:t>
      </w:r>
      <w:r>
        <w:t>Office de la propriété intellectuelle de la Namibie, le 1</w:t>
      </w:r>
      <w:r w:rsidR="00742E60">
        <w:t>8 août 20</w:t>
      </w:r>
      <w:r>
        <w:t>21;</w:t>
      </w:r>
    </w:p>
    <w:p w:rsidR="00742E60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</w:pPr>
      <w:r>
        <w:t>Formation sur les classifications de Nice et de Vienne à l</w:t>
      </w:r>
      <w:r w:rsidR="00742E60">
        <w:t>’</w:t>
      </w:r>
      <w:r>
        <w:t>intention des examinateurs de marques de l</w:t>
      </w:r>
      <w:r w:rsidR="00742E60">
        <w:t>’</w:t>
      </w:r>
      <w:r>
        <w:t>Office kényan de la propriété intellectuelle, du 20 au 2</w:t>
      </w:r>
      <w:r w:rsidR="00742E60">
        <w:t>2 septembre 20</w:t>
      </w:r>
      <w:r>
        <w:t>21;</w:t>
      </w:r>
    </w:p>
    <w:p w:rsidR="00E917D8" w:rsidRPr="00D91D30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  <w:rPr>
          <w:rFonts w:eastAsia="MS Mincho"/>
          <w:szCs w:val="22"/>
        </w:rPr>
      </w:pPr>
      <w:r>
        <w:t>Formation sur les classifications de Nice et de Vienne, Palestine, 1</w:t>
      </w:r>
      <w:r w:rsidR="00742E60">
        <w:t>3 octobre 20</w:t>
      </w:r>
      <w:r>
        <w:t>21;</w:t>
      </w:r>
    </w:p>
    <w:p w:rsidR="00E917D8" w:rsidRPr="00A9216D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  <w:rPr>
          <w:rFonts w:eastAsia="MS Mincho"/>
          <w:szCs w:val="22"/>
        </w:rPr>
      </w:pPr>
      <w:r>
        <w:t>Formation sur la classification de Locarno à l</w:t>
      </w:r>
      <w:r w:rsidR="00742E60">
        <w:t>’</w:t>
      </w:r>
      <w:r>
        <w:t>intention des examinateurs de dessins et modèles, de l</w:t>
      </w:r>
      <w:r w:rsidR="00742E60">
        <w:t>’</w:t>
      </w:r>
      <w:r>
        <w:t>Office de la propriété intellectuelle de l</w:t>
      </w:r>
      <w:r w:rsidR="00742E60">
        <w:t>’</w:t>
      </w:r>
      <w:r>
        <w:t>Indonésie, le 2</w:t>
      </w:r>
      <w:r w:rsidR="00742E60">
        <w:t>1 octobre 20</w:t>
      </w:r>
      <w:r>
        <w:t>21;</w:t>
      </w:r>
    </w:p>
    <w:p w:rsidR="00742E60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spacing w:after="120"/>
        <w:ind w:left="1134" w:hanging="567"/>
      </w:pPr>
      <w:r>
        <w:t>Formation sur les classifications de Locarno et de Vienne à l</w:t>
      </w:r>
      <w:r w:rsidR="00742E60">
        <w:t>’</w:t>
      </w:r>
      <w:r>
        <w:t>intention des examinateurs de marques et de dessins et modèles de l</w:t>
      </w:r>
      <w:r w:rsidR="00742E60">
        <w:t>’</w:t>
      </w:r>
      <w:r>
        <w:t>Office de la propriété intellectuelle de l</w:t>
      </w:r>
      <w:r w:rsidR="00742E60">
        <w:t>’</w:t>
      </w:r>
      <w:r>
        <w:t xml:space="preserve">Égypte, le </w:t>
      </w:r>
      <w:r w:rsidR="00742E60">
        <w:t>3 novembre </w:t>
      </w:r>
      <w:proofErr w:type="gramStart"/>
      <w:r w:rsidR="00742E60">
        <w:t>20</w:t>
      </w:r>
      <w:r>
        <w:t xml:space="preserve">21; </w:t>
      </w:r>
      <w:r w:rsidR="00626F52">
        <w:t xml:space="preserve"> </w:t>
      </w:r>
      <w:r>
        <w:t>et</w:t>
      </w:r>
      <w:proofErr w:type="gramEnd"/>
    </w:p>
    <w:p w:rsidR="00E917D8" w:rsidRDefault="00E917D8" w:rsidP="00E07E63">
      <w:pPr>
        <w:pStyle w:val="ONUMFS"/>
        <w:numPr>
          <w:ilvl w:val="0"/>
          <w:numId w:val="8"/>
        </w:numPr>
        <w:tabs>
          <w:tab w:val="clear" w:pos="567"/>
          <w:tab w:val="num" w:pos="1134"/>
        </w:tabs>
        <w:ind w:left="1134" w:hanging="567"/>
        <w:rPr>
          <w:rFonts w:eastAsia="MS Mincho"/>
          <w:szCs w:val="22"/>
        </w:rPr>
      </w:pPr>
      <w:r>
        <w:t>Formation sur la classification de Nice à l</w:t>
      </w:r>
      <w:r w:rsidR="00742E60">
        <w:t>’</w:t>
      </w:r>
      <w:r>
        <w:t>intention des examinateurs de marques de l</w:t>
      </w:r>
      <w:r w:rsidR="00742E60">
        <w:t>’</w:t>
      </w:r>
      <w:r>
        <w:t>Office de la propriété intellectuelle du Cambodge, du 10 au 1</w:t>
      </w:r>
      <w:r w:rsidR="00742E60">
        <w:t>2 novembre 20</w:t>
      </w:r>
      <w:r>
        <w:t>21.</w:t>
      </w:r>
    </w:p>
    <w:p w:rsidR="00E917D8" w:rsidRPr="001B28FE" w:rsidRDefault="00E917D8" w:rsidP="00E07E63">
      <w:pPr>
        <w:pStyle w:val="Heading2"/>
      </w:pPr>
      <w:r>
        <w:t>Faire mieux connaître les normes de l</w:t>
      </w:r>
      <w:r w:rsidR="00742E60">
        <w:t>’</w:t>
      </w:r>
      <w:r>
        <w:t>OMPI</w:t>
      </w:r>
    </w:p>
    <w:p w:rsidR="00E917D8" w:rsidRDefault="00E917D8" w:rsidP="00E07E63">
      <w:pPr>
        <w:pStyle w:val="ONUMFS"/>
      </w:pPr>
      <w:r>
        <w:t>Afin de faire mieux connaître les normes de l</w:t>
      </w:r>
      <w:r w:rsidR="00742E60">
        <w:t>’</w:t>
      </w:r>
      <w:r>
        <w:t>OMPI dans les pays en développement et de faciliter la participation physique d</w:t>
      </w:r>
      <w:r w:rsidR="00742E60">
        <w:t>’</w:t>
      </w:r>
      <w:r>
        <w:t>un plus grand nombre de ces pays à l</w:t>
      </w:r>
      <w:r w:rsidR="00742E60">
        <w:t>’</w:t>
      </w:r>
      <w:r>
        <w:t>élaboration d</w:t>
      </w:r>
      <w:r w:rsidR="00742E60">
        <w:t>’</w:t>
      </w:r>
      <w:r>
        <w:t>une ou plusieurs normes de l</w:t>
      </w:r>
      <w:r w:rsidR="00742E60">
        <w:t>’</w:t>
      </w:r>
      <w:r>
        <w:t>OMPI nouvelles ou révisées, comme suite à la décision prise par l</w:t>
      </w:r>
      <w:r w:rsidR="00742E60">
        <w:t>’</w:t>
      </w:r>
      <w:r>
        <w:t xml:space="preserve">Assemblée générale en </w:t>
      </w:r>
      <w:r w:rsidR="00742E60">
        <w:t>octobre 20</w:t>
      </w:r>
      <w:r>
        <w:t>11, la participation à la sept</w:t>
      </w:r>
      <w:r w:rsidR="00742E60">
        <w:t>ième session du CWS</w:t>
      </w:r>
      <w:r>
        <w:t xml:space="preserve"> de sept</w:t>
      </w:r>
      <w:r w:rsidR="00626F52">
        <w:t> </w:t>
      </w:r>
      <w:r>
        <w:t>pays en développement ou parmi les moins avancés (PMA) a été financée par le Bureau international.</w:t>
      </w:r>
    </w:p>
    <w:p w:rsidR="00E917D8" w:rsidRDefault="00E917D8" w:rsidP="00E07E63">
      <w:pPr>
        <w:pStyle w:val="Heading2"/>
      </w:pPr>
      <w:r>
        <w:t>Échange de données en matière de propriété intellectuelle</w:t>
      </w:r>
    </w:p>
    <w:p w:rsidR="00E917D8" w:rsidRDefault="00E917D8" w:rsidP="00E07E63">
      <w:pPr>
        <w:pStyle w:val="ONUMFS"/>
      </w:pPr>
      <w:r>
        <w:t>Le Bureau international a collaboré avec de nombreux offices de propriété industrielle, notamment dans certains groupes de pays en développement, pour promouvoir l</w:t>
      </w:r>
      <w:r w:rsidR="00742E60">
        <w:t>’</w:t>
      </w:r>
      <w:r>
        <w:t>échange de données en matière de propriété intellectuelle en vue d</w:t>
      </w:r>
      <w:r w:rsidR="00742E60">
        <w:t>’</w:t>
      </w:r>
      <w:r>
        <w:t>améliorer l</w:t>
      </w:r>
      <w:r w:rsidR="00742E60">
        <w:t>’</w:t>
      </w:r>
      <w:r>
        <w:t>accès des utilisateurs de ces pays à l</w:t>
      </w:r>
      <w:r w:rsidR="00742E60">
        <w:t>’</w:t>
      </w:r>
      <w:r>
        <w:t>information en matière de propriété intellectuelle provenant de ces offic</w:t>
      </w:r>
      <w:r w:rsidR="00532ECD">
        <w:t>es.  L’é</w:t>
      </w:r>
      <w:r>
        <w:t>change de données en matière de propriété intellectuelle a été organisé conformément aux normes applicables de l</w:t>
      </w:r>
      <w:r w:rsidR="00742E60">
        <w:t>’</w:t>
      </w:r>
      <w:r>
        <w:t>O</w:t>
      </w:r>
      <w:r w:rsidR="00532ECD">
        <w:t>MPI.  Le</w:t>
      </w:r>
      <w:r>
        <w:t>s collections de marque des pays ci</w:t>
      </w:r>
      <w:r w:rsidR="00742E60">
        <w:t>-</w:t>
      </w:r>
      <w:r>
        <w:t>après ont été intégrées à la Base de données mondiale sur les marques au cours de l</w:t>
      </w:r>
      <w:r w:rsidR="00742E60">
        <w:t>’</w:t>
      </w:r>
      <w:r>
        <w:t>année 2021 dans l</w:t>
      </w:r>
      <w:r w:rsidR="00742E60">
        <w:t>’</w:t>
      </w:r>
      <w:r>
        <w:t>ordre chronologique</w:t>
      </w:r>
      <w:r w:rsidR="00742E60">
        <w:t> :</w:t>
      </w:r>
      <w:r>
        <w:rPr>
          <w:color w:val="000000"/>
        </w:rPr>
        <w:t xml:space="preserve"> </w:t>
      </w:r>
      <w:r>
        <w:t xml:space="preserve">Cuba, Kirghizistan, Vanuatu et </w:t>
      </w:r>
      <w:proofErr w:type="gramStart"/>
      <w:r>
        <w:t xml:space="preserve">Zambie; </w:t>
      </w:r>
      <w:r w:rsidR="00626F52">
        <w:t xml:space="preserve"> </w:t>
      </w:r>
      <w:r>
        <w:t>les</w:t>
      </w:r>
      <w:proofErr w:type="gramEnd"/>
      <w:r>
        <w:t xml:space="preserve"> collections de brevets des pays ci</w:t>
      </w:r>
      <w:r w:rsidR="00742E60">
        <w:t>-</w:t>
      </w:r>
      <w:r>
        <w:t>après ont été intégrées à la base de données PATENTSCOPE au cours de l</w:t>
      </w:r>
      <w:r w:rsidR="00742E60">
        <w:t>’</w:t>
      </w:r>
      <w:r>
        <w:t>année 2021</w:t>
      </w:r>
      <w:r w:rsidR="00742E60">
        <w:t> :</w:t>
      </w:r>
      <w:r>
        <w:t xml:space="preserve"> Finlande, Kazakhstan, Nouvelle</w:t>
      </w:r>
      <w:r w:rsidR="00742E60">
        <w:t>-</w:t>
      </w:r>
      <w:r>
        <w:t>Zélande et Polog</w:t>
      </w:r>
      <w:r w:rsidR="00532ECD">
        <w:t>ne.  Le</w:t>
      </w:r>
      <w:r>
        <w:t>s collections de dessins et modèles industriels de Cuba, de l</w:t>
      </w:r>
      <w:r w:rsidR="00742E60">
        <w:t>’</w:t>
      </w:r>
      <w:r>
        <w:t>Indonésie, du Pérou, de Singapour et du Viet</w:t>
      </w:r>
      <w:r w:rsidR="00626F52">
        <w:t> </w:t>
      </w:r>
      <w:r>
        <w:t>Nam ont également été ajoutées à la Base de données mondiale sur les dessins et modèles de l</w:t>
      </w:r>
      <w:r w:rsidR="00742E60">
        <w:t>’</w:t>
      </w:r>
      <w:r>
        <w:t xml:space="preserve">OMPI </w:t>
      </w:r>
      <w:r w:rsidR="00742E60">
        <w:t>en 2021</w:t>
      </w:r>
      <w:r>
        <w:t>.</w:t>
      </w:r>
    </w:p>
    <w:p w:rsidR="00E917D8" w:rsidRPr="00030CFA" w:rsidRDefault="00E917D8" w:rsidP="00E07E63">
      <w:pPr>
        <w:pStyle w:val="ONUMFS"/>
        <w:ind w:left="5533"/>
        <w:rPr>
          <w:i/>
          <w:spacing w:val="-4"/>
        </w:rPr>
      </w:pPr>
      <w:r w:rsidRPr="00030CFA">
        <w:rPr>
          <w:i/>
          <w:spacing w:val="-4"/>
        </w:rPr>
        <w:t xml:space="preserve">Le CWS est invité à prendre note des activités menées par le Bureau international </w:t>
      </w:r>
      <w:r w:rsidR="00742E60" w:rsidRPr="00030CFA">
        <w:rPr>
          <w:i/>
          <w:spacing w:val="-4"/>
        </w:rPr>
        <w:t>en 2021</w:t>
      </w:r>
      <w:r w:rsidRPr="00030CFA">
        <w:rPr>
          <w:i/>
          <w:spacing w:val="-4"/>
        </w:rPr>
        <w:t xml:space="preserve"> en ce qui concerne la prestation de services consultatifs et d</w:t>
      </w:r>
      <w:r w:rsidR="00742E60" w:rsidRPr="00030CFA">
        <w:rPr>
          <w:i/>
          <w:spacing w:val="-4"/>
        </w:rPr>
        <w:t>’</w:t>
      </w:r>
      <w:r w:rsidRPr="00030CFA">
        <w:rPr>
          <w:i/>
          <w:spacing w:val="-4"/>
        </w:rPr>
        <w:t>assistance technique aux fins du renforcement des capacités des offices de propriété industrielle portant sur la diffusion de l</w:t>
      </w:r>
      <w:r w:rsidR="00742E60" w:rsidRPr="00030CFA">
        <w:rPr>
          <w:i/>
          <w:spacing w:val="-4"/>
        </w:rPr>
        <w:t>’</w:t>
      </w:r>
      <w:r w:rsidRPr="00030CFA">
        <w:rPr>
          <w:i/>
          <w:spacing w:val="-4"/>
        </w:rPr>
        <w:t>information en matière de normes de propriété intellectuel</w:t>
      </w:r>
      <w:r w:rsidR="00532ECD" w:rsidRPr="00030CFA">
        <w:rPr>
          <w:i/>
          <w:spacing w:val="-4"/>
        </w:rPr>
        <w:t>le.  Le</w:t>
      </w:r>
      <w:r w:rsidRPr="00030CFA">
        <w:rPr>
          <w:i/>
          <w:spacing w:val="-4"/>
        </w:rPr>
        <w:t xml:space="preserve"> présent document servira de base au rapport qui sera présenté à l</w:t>
      </w:r>
      <w:r w:rsidR="00742E60" w:rsidRPr="00030CFA">
        <w:rPr>
          <w:i/>
          <w:spacing w:val="-4"/>
        </w:rPr>
        <w:t>’</w:t>
      </w:r>
      <w:r w:rsidRPr="00030CFA">
        <w:rPr>
          <w:i/>
          <w:spacing w:val="-4"/>
        </w:rPr>
        <w:t>Assemblée générale de l</w:t>
      </w:r>
      <w:r w:rsidR="00742E60" w:rsidRPr="00030CFA">
        <w:rPr>
          <w:i/>
          <w:spacing w:val="-4"/>
        </w:rPr>
        <w:t>’</w:t>
      </w:r>
      <w:r w:rsidRPr="00030CFA">
        <w:rPr>
          <w:i/>
          <w:spacing w:val="-4"/>
        </w:rPr>
        <w:t xml:space="preserve">OMPI à sa session </w:t>
      </w:r>
      <w:r w:rsidR="00742E60" w:rsidRPr="00030CFA">
        <w:rPr>
          <w:i/>
          <w:spacing w:val="-4"/>
        </w:rPr>
        <w:t>de 2023</w:t>
      </w:r>
      <w:r w:rsidRPr="00030CFA">
        <w:rPr>
          <w:i/>
          <w:spacing w:val="-4"/>
        </w:rPr>
        <w:t>, conformément à la demande formulée par cette dernière à sa quarant</w:t>
      </w:r>
      <w:r w:rsidR="00742E60" w:rsidRPr="00030CFA">
        <w:rPr>
          <w:i/>
          <w:spacing w:val="-4"/>
        </w:rPr>
        <w:t>ième session</w:t>
      </w:r>
      <w:r w:rsidRPr="00030CFA">
        <w:rPr>
          <w:i/>
          <w:spacing w:val="-4"/>
        </w:rPr>
        <w:t xml:space="preserve"> tenue en </w:t>
      </w:r>
      <w:r w:rsidR="00742E60" w:rsidRPr="00030CFA">
        <w:rPr>
          <w:i/>
          <w:spacing w:val="-4"/>
        </w:rPr>
        <w:t>octobre 20</w:t>
      </w:r>
      <w:r w:rsidRPr="00030CFA">
        <w:rPr>
          <w:i/>
          <w:spacing w:val="-4"/>
        </w:rPr>
        <w:t xml:space="preserve">11 (voir le </w:t>
      </w:r>
      <w:r w:rsidR="00742E60" w:rsidRPr="00030CFA">
        <w:rPr>
          <w:i/>
          <w:spacing w:val="-4"/>
        </w:rPr>
        <w:t>paragraphe 1</w:t>
      </w:r>
      <w:r w:rsidR="00030CFA">
        <w:rPr>
          <w:i/>
          <w:spacing w:val="-4"/>
        </w:rPr>
        <w:t>90 du document WO/GA/40/19).</w:t>
      </w:r>
    </w:p>
    <w:p w:rsidR="000F5E56" w:rsidRPr="00E07E63" w:rsidRDefault="00E917D8" w:rsidP="00E07E63">
      <w:pPr>
        <w:pStyle w:val="Endofdocument-Annex"/>
      </w:pPr>
      <w:r w:rsidRPr="00E07E63">
        <w:t>[Fin du document]</w:t>
      </w:r>
    </w:p>
    <w:sectPr w:rsidR="000F5E56" w:rsidRPr="00E07E63" w:rsidSect="00E07E63">
      <w:headerReference w:type="default" r:id="rId13"/>
      <w:foot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BA" w:rsidRDefault="006D6ABA">
      <w:r>
        <w:separator/>
      </w:r>
    </w:p>
  </w:endnote>
  <w:endnote w:type="continuationSeparator" w:id="0">
    <w:p w:rsidR="006D6ABA" w:rsidRPr="009D30E6" w:rsidRDefault="006D6AB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6ABA" w:rsidRPr="009D30E6" w:rsidRDefault="006D6AB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D6ABA" w:rsidRPr="009D30E6" w:rsidRDefault="006D6AB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CD" w:rsidRDefault="0053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BA" w:rsidRDefault="006D6ABA">
      <w:r>
        <w:separator/>
      </w:r>
    </w:p>
  </w:footnote>
  <w:footnote w:type="continuationSeparator" w:id="0">
    <w:p w:rsidR="006D6ABA" w:rsidRDefault="006D6ABA" w:rsidP="007461F1">
      <w:r>
        <w:separator/>
      </w:r>
    </w:p>
    <w:p w:rsidR="006D6ABA" w:rsidRPr="009D30E6" w:rsidRDefault="006D6AB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D6ABA" w:rsidRPr="009D30E6" w:rsidRDefault="006D6AB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917D8" w:rsidP="00477D6B">
    <w:pPr>
      <w:jc w:val="right"/>
    </w:pPr>
    <w:bookmarkStart w:id="6" w:name="Code2"/>
    <w:bookmarkEnd w:id="6"/>
    <w:r>
      <w:t>CWS/10/20</w:t>
    </w:r>
  </w:p>
  <w:p w:rsidR="004F4E31" w:rsidRDefault="00F16975" w:rsidP="00E07E63">
    <w:pPr>
      <w:spacing w:after="480"/>
      <w:jc w:val="right"/>
    </w:pPr>
    <w:r>
      <w:t>page</w:t>
    </w:r>
    <w:r w:rsidR="00E07E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45E8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751"/>
    <w:multiLevelType w:val="multilevel"/>
    <w:tmpl w:val="985EC1CE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D8"/>
    <w:rsid w:val="00011B7D"/>
    <w:rsid w:val="00030CFA"/>
    <w:rsid w:val="00075432"/>
    <w:rsid w:val="000F5E56"/>
    <w:rsid w:val="001362EE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32ECD"/>
    <w:rsid w:val="00547476"/>
    <w:rsid w:val="00561DB8"/>
    <w:rsid w:val="00567A4C"/>
    <w:rsid w:val="005E6516"/>
    <w:rsid w:val="00605827"/>
    <w:rsid w:val="00626F52"/>
    <w:rsid w:val="00645E8C"/>
    <w:rsid w:val="00676936"/>
    <w:rsid w:val="006B0DB5"/>
    <w:rsid w:val="006D6ABA"/>
    <w:rsid w:val="006E4243"/>
    <w:rsid w:val="00742E60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66A22"/>
    <w:rsid w:val="00974CD6"/>
    <w:rsid w:val="009D30E6"/>
    <w:rsid w:val="009D7C15"/>
    <w:rsid w:val="009E3F6F"/>
    <w:rsid w:val="009F499F"/>
    <w:rsid w:val="00A02BD3"/>
    <w:rsid w:val="00AA1F20"/>
    <w:rsid w:val="00AC0AE4"/>
    <w:rsid w:val="00AD61DB"/>
    <w:rsid w:val="00B87BCF"/>
    <w:rsid w:val="00BA62D4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07E63"/>
    <w:rsid w:val="00E203AA"/>
    <w:rsid w:val="00E527A5"/>
    <w:rsid w:val="00E76456"/>
    <w:rsid w:val="00E917D8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639256-AF61-464A-879A-69A0EB16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07E63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E917D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917D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917D8"/>
    <w:pPr>
      <w:ind w:left="5534"/>
    </w:pPr>
    <w:rPr>
      <w:lang w:val="fr-FR"/>
    </w:rPr>
  </w:style>
  <w:style w:type="character" w:styleId="Hyperlink">
    <w:name w:val="Hyperlink"/>
    <w:rsid w:val="00E917D8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E917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917D8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a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po.int/standards/fr/sequence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global_ip/fr/activities/ip_office_business_solution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cws/fr/train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fr/sequence/index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CWS_10 (F)</Template>
  <TotalTime>0</TotalTime>
  <Pages>4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CWS/10/20</vt:lpstr>
    </vt:vector>
  </TitlesOfParts>
  <Company>WIPO</Company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CWS/10/20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2022-10-12T12:21:00Z</dcterms:created>
  <dcterms:modified xsi:type="dcterms:W3CDTF">2022-10-12T12:21:00Z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