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674D01" w:rsidRDefault="00DB0349" w:rsidP="00DB0349">
      <w:pPr>
        <w:spacing w:after="120"/>
        <w:jc w:val="right"/>
        <w:rPr>
          <w:lang w:val="fr-FR"/>
        </w:rPr>
      </w:pPr>
      <w:r w:rsidRPr="00674D01">
        <w:rPr>
          <w:noProof/>
          <w:lang w:val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74D01">
        <w:rPr>
          <w:rFonts w:ascii="Arial Black" w:hAnsi="Arial Black"/>
          <w:caps/>
          <w:noProof/>
          <w:sz w:val="15"/>
          <w:szCs w:val="15"/>
          <w:lang w:val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67BE2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674D01" w:rsidRDefault="00197881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74D01">
        <w:rPr>
          <w:rFonts w:ascii="Arial Black" w:hAnsi="Arial Black"/>
          <w:caps/>
          <w:sz w:val="15"/>
          <w:szCs w:val="15"/>
          <w:lang w:val="fr-FR"/>
        </w:rPr>
        <w:t>CWS/10/</w:t>
      </w:r>
      <w:bookmarkStart w:id="0" w:name="Code"/>
      <w:bookmarkEnd w:id="0"/>
      <w:r w:rsidR="00790045" w:rsidRPr="00674D01">
        <w:rPr>
          <w:rFonts w:ascii="Arial Black" w:hAnsi="Arial Black"/>
          <w:caps/>
          <w:sz w:val="15"/>
          <w:szCs w:val="15"/>
          <w:lang w:val="fr-FR"/>
        </w:rPr>
        <w:t>2</w:t>
      </w:r>
    </w:p>
    <w:p w:rsidR="008B2CC1" w:rsidRPr="00674D01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74D01">
        <w:rPr>
          <w:rFonts w:ascii="Arial Black" w:hAnsi="Arial Black"/>
          <w:caps/>
          <w:sz w:val="15"/>
          <w:szCs w:val="15"/>
          <w:lang w:val="fr-FR"/>
        </w:rPr>
        <w:t>Original</w:t>
      </w:r>
      <w:r w:rsidR="00AB1CCD" w:rsidRPr="00674D01">
        <w:rPr>
          <w:rFonts w:ascii="Arial Black" w:hAnsi="Arial Black"/>
          <w:caps/>
          <w:sz w:val="15"/>
          <w:szCs w:val="15"/>
          <w:lang w:val="fr-FR"/>
        </w:rPr>
        <w:t> :</w:t>
      </w:r>
      <w:r w:rsidRPr="00674D0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790045" w:rsidRPr="00674D01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674D01" w:rsidRDefault="00DB0349" w:rsidP="00DB0349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r w:rsidRPr="00674D01">
        <w:rPr>
          <w:rFonts w:ascii="Arial Black" w:hAnsi="Arial Black"/>
          <w:caps/>
          <w:sz w:val="15"/>
          <w:szCs w:val="15"/>
          <w:lang w:val="fr-FR"/>
        </w:rPr>
        <w:t>date</w:t>
      </w:r>
      <w:r w:rsidR="00AB1CCD" w:rsidRPr="00674D01">
        <w:rPr>
          <w:rFonts w:ascii="Arial Black" w:hAnsi="Arial Black"/>
          <w:caps/>
          <w:sz w:val="15"/>
          <w:szCs w:val="15"/>
          <w:lang w:val="fr-FR"/>
        </w:rPr>
        <w:t> :</w:t>
      </w:r>
      <w:r w:rsidRPr="00674D01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790045" w:rsidRPr="00674D01">
        <w:rPr>
          <w:rFonts w:ascii="Arial Black" w:hAnsi="Arial Black"/>
          <w:caps/>
          <w:sz w:val="15"/>
          <w:szCs w:val="15"/>
          <w:lang w:val="fr-FR"/>
        </w:rPr>
        <w:t>26 septembre 2022</w:t>
      </w:r>
    </w:p>
    <w:p w:rsidR="00C40E15" w:rsidRPr="00674D01" w:rsidRDefault="00197881" w:rsidP="00DB0349">
      <w:pPr>
        <w:spacing w:after="600"/>
        <w:rPr>
          <w:b/>
          <w:sz w:val="28"/>
          <w:szCs w:val="28"/>
          <w:lang w:val="fr-FR"/>
        </w:rPr>
      </w:pPr>
      <w:bookmarkStart w:id="3" w:name="_GoBack"/>
      <w:bookmarkEnd w:id="2"/>
      <w:bookmarkEnd w:id="3"/>
      <w:r w:rsidRPr="00674D01">
        <w:rPr>
          <w:b/>
          <w:sz w:val="28"/>
          <w:szCs w:val="28"/>
          <w:lang w:val="fr-FR"/>
        </w:rPr>
        <w:t>Comité des normes de l</w:t>
      </w:r>
      <w:r w:rsidR="00AB1CCD" w:rsidRPr="00674D01">
        <w:rPr>
          <w:b/>
          <w:sz w:val="28"/>
          <w:szCs w:val="28"/>
          <w:lang w:val="fr-FR"/>
        </w:rPr>
        <w:t>’</w:t>
      </w:r>
      <w:r w:rsidRPr="00674D01">
        <w:rPr>
          <w:b/>
          <w:sz w:val="28"/>
          <w:szCs w:val="28"/>
          <w:lang w:val="fr-FR"/>
        </w:rPr>
        <w:t>OMPI (CWS)</w:t>
      </w:r>
    </w:p>
    <w:p w:rsidR="008B2CC1" w:rsidRPr="00674D01" w:rsidRDefault="00197881" w:rsidP="008B2CC1">
      <w:pPr>
        <w:rPr>
          <w:b/>
          <w:sz w:val="28"/>
          <w:szCs w:val="24"/>
          <w:lang w:val="fr-FR"/>
        </w:rPr>
      </w:pPr>
      <w:r w:rsidRPr="00674D01">
        <w:rPr>
          <w:b/>
          <w:sz w:val="24"/>
          <w:lang w:val="fr-FR"/>
        </w:rPr>
        <w:t>Dix</w:t>
      </w:r>
      <w:r w:rsidR="00AB1CCD" w:rsidRPr="00674D01">
        <w:rPr>
          <w:b/>
          <w:sz w:val="24"/>
          <w:lang w:val="fr-FR"/>
        </w:rPr>
        <w:t>ième session</w:t>
      </w:r>
    </w:p>
    <w:p w:rsidR="008B2CC1" w:rsidRPr="00674D01" w:rsidRDefault="00197881" w:rsidP="00DB0349">
      <w:pPr>
        <w:spacing w:after="720"/>
        <w:rPr>
          <w:b/>
          <w:sz w:val="28"/>
          <w:szCs w:val="24"/>
          <w:lang w:val="fr-FR"/>
        </w:rPr>
      </w:pPr>
      <w:r w:rsidRPr="00674D01">
        <w:rPr>
          <w:b/>
          <w:sz w:val="24"/>
          <w:lang w:val="fr-FR"/>
        </w:rPr>
        <w:t>Genève, 21</w:t>
      </w:r>
      <w:r w:rsidR="008236DE" w:rsidRPr="00674D01">
        <w:rPr>
          <w:b/>
          <w:sz w:val="24"/>
          <w:lang w:val="fr-FR"/>
        </w:rPr>
        <w:t xml:space="preserve"> </w:t>
      </w:r>
      <w:r w:rsidRPr="00674D01">
        <w:rPr>
          <w:b/>
          <w:sz w:val="24"/>
          <w:lang w:val="fr-FR"/>
        </w:rPr>
        <w:t>– 2</w:t>
      </w:r>
      <w:r w:rsidR="00AB1CCD" w:rsidRPr="00674D01">
        <w:rPr>
          <w:b/>
          <w:sz w:val="24"/>
          <w:lang w:val="fr-FR"/>
        </w:rPr>
        <w:t>5 novembre 20</w:t>
      </w:r>
      <w:r w:rsidRPr="00674D01">
        <w:rPr>
          <w:b/>
          <w:sz w:val="24"/>
          <w:lang w:val="fr-FR"/>
        </w:rPr>
        <w:t>22</w:t>
      </w:r>
    </w:p>
    <w:p w:rsidR="008B2CC1" w:rsidRPr="00674D01" w:rsidRDefault="00790045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674D01">
        <w:rPr>
          <w:caps/>
          <w:sz w:val="24"/>
          <w:lang w:val="fr-FR"/>
        </w:rPr>
        <w:t>Questions d</w:t>
      </w:r>
      <w:r w:rsidR="00AB1CCD" w:rsidRPr="00674D01">
        <w:rPr>
          <w:caps/>
          <w:sz w:val="24"/>
          <w:lang w:val="fr-FR"/>
        </w:rPr>
        <w:t>’</w:t>
      </w:r>
      <w:r w:rsidRPr="00674D01">
        <w:rPr>
          <w:caps/>
          <w:sz w:val="24"/>
          <w:lang w:val="fr-FR"/>
        </w:rPr>
        <w:t>organisation et règlement intérieur particulier</w:t>
      </w:r>
    </w:p>
    <w:p w:rsidR="00525B63" w:rsidRPr="00674D01" w:rsidRDefault="00790045" w:rsidP="00DB0349">
      <w:pPr>
        <w:spacing w:after="960"/>
        <w:rPr>
          <w:i/>
          <w:lang w:val="fr-FR"/>
        </w:rPr>
      </w:pPr>
      <w:bookmarkStart w:id="5" w:name="Prepared"/>
      <w:bookmarkEnd w:id="4"/>
      <w:r w:rsidRPr="00674D01">
        <w:rPr>
          <w:i/>
          <w:lang w:val="fr-FR"/>
        </w:rPr>
        <w:t>Document établi par le Secrétariat</w:t>
      </w:r>
    </w:p>
    <w:bookmarkEnd w:id="5"/>
    <w:p w:rsidR="00790045" w:rsidRPr="00674D01" w:rsidRDefault="00BB49D3" w:rsidP="00BB49D3">
      <w:pPr>
        <w:pStyle w:val="Heading2"/>
        <w:rPr>
          <w:rFonts w:eastAsia="Malgun Gothic"/>
          <w:lang w:val="fr-FR"/>
        </w:rPr>
      </w:pPr>
      <w:r w:rsidRPr="00674D01">
        <w:rPr>
          <w:lang w:val="fr-FR"/>
        </w:rPr>
        <w:t>Rappel</w:t>
      </w:r>
    </w:p>
    <w:p w:rsidR="00790045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>À sa trente</w:t>
      </w:r>
      <w:r w:rsidR="00BB49D3">
        <w:rPr>
          <w:lang w:val="fr-FR"/>
        </w:rPr>
        <w:noBreakHyphen/>
      </w:r>
      <w:r w:rsidRPr="00674D01">
        <w:rPr>
          <w:lang w:val="fr-FR"/>
        </w:rPr>
        <w:t>huit</w:t>
      </w:r>
      <w:r w:rsidR="00AB1CCD" w:rsidRPr="00674D01">
        <w:rPr>
          <w:lang w:val="fr-FR"/>
        </w:rPr>
        <w:t>ième session</w:t>
      </w:r>
      <w:r w:rsidRPr="00674D01">
        <w:rPr>
          <w:lang w:val="fr-FR"/>
        </w:rPr>
        <w:t xml:space="preserve"> tenue en </w:t>
      </w:r>
      <w:r w:rsidR="00AB1CCD" w:rsidRPr="00674D01">
        <w:rPr>
          <w:lang w:val="fr-FR"/>
        </w:rPr>
        <w:t>septembre 20</w:t>
      </w:r>
      <w:r w:rsidRPr="00674D01">
        <w:rPr>
          <w:lang w:val="fr-FR"/>
        </w:rPr>
        <w:t>09,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Assemblée générale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OMPI a approuvé la création du Comité des normes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 xml:space="preserve">OMPI (CWS). </w:t>
      </w:r>
      <w:r w:rsidR="00AB1CCD" w:rsidRPr="00674D01">
        <w:rPr>
          <w:lang w:val="fr-FR"/>
        </w:rPr>
        <w:t xml:space="preserve"> Le CWS</w:t>
      </w:r>
      <w:r w:rsidRPr="00674D01">
        <w:rPr>
          <w:lang w:val="fr-FR"/>
        </w:rPr>
        <w:t xml:space="preserve"> remplace le Groupe de travail sur les normes et la documentation (SDWG) du Comité permanent des techniques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information (SCIT).  Les méthodes de travail et les procédures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ancien SCIT, avec les modifications nécessaires mais en conservant les points principaux, doivent être appliquées</w:t>
      </w:r>
      <w:r w:rsidR="00AB1CCD" w:rsidRPr="00674D01">
        <w:rPr>
          <w:lang w:val="fr-FR"/>
        </w:rPr>
        <w:t xml:space="preserve"> au </w:t>
      </w:r>
      <w:r w:rsidR="00674D01" w:rsidRPr="00674D01">
        <w:rPr>
          <w:lang w:val="fr-FR"/>
        </w:rPr>
        <w:t>CWS.  En</w:t>
      </w:r>
      <w:r w:rsidRPr="00674D01">
        <w:rPr>
          <w:lang w:val="fr-FR"/>
        </w:rPr>
        <w:t xml:space="preserve"> principe,</w:t>
      </w:r>
      <w:r w:rsidR="00AB1CCD" w:rsidRPr="00674D01">
        <w:rPr>
          <w:lang w:val="fr-FR"/>
        </w:rPr>
        <w:t xml:space="preserve"> le CWS</w:t>
      </w:r>
      <w:r w:rsidRPr="00674D01">
        <w:rPr>
          <w:lang w:val="fr-FR"/>
        </w:rPr>
        <w:t xml:space="preserve"> se réunira une fois par an (voir le document WO/GA/38/10 et les paragraphes 236 à 249 du document WO/GA/38/20).</w:t>
      </w:r>
    </w:p>
    <w:p w:rsidR="00AB1CCD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>À sa quarant</w:t>
      </w:r>
      <w:r w:rsidR="00AB1CCD" w:rsidRPr="00674D01">
        <w:rPr>
          <w:lang w:val="fr-FR"/>
        </w:rPr>
        <w:t>ième session</w:t>
      </w:r>
      <w:r w:rsidRPr="00674D01">
        <w:rPr>
          <w:lang w:val="fr-FR"/>
        </w:rPr>
        <w:t xml:space="preserve"> tenue en septembre 2011,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Assemblée générale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OMPI a précisé le mandat du CWS (voir le document WO/GA/40/17) dans les termes suivants</w:t>
      </w:r>
      <w:r w:rsidR="00AB1CCD" w:rsidRPr="00674D01">
        <w:rPr>
          <w:lang w:val="fr-FR"/>
        </w:rPr>
        <w:t> :</w:t>
      </w:r>
    </w:p>
    <w:p w:rsidR="00790045" w:rsidRPr="00674D01" w:rsidRDefault="00790045" w:rsidP="00BB49D3">
      <w:pPr>
        <w:pStyle w:val="ONUMFS"/>
        <w:numPr>
          <w:ilvl w:val="0"/>
          <w:numId w:val="0"/>
        </w:numPr>
        <w:ind w:left="567"/>
        <w:rPr>
          <w:color w:val="000000"/>
          <w:lang w:val="fr-FR"/>
        </w:rPr>
      </w:pPr>
      <w:r w:rsidRPr="00674D01">
        <w:rPr>
          <w:color w:val="000000"/>
          <w:lang w:val="fr-FR"/>
        </w:rPr>
        <w:t>“À sa quarant</w:t>
      </w:r>
      <w:r w:rsidR="00AB1CCD" w:rsidRPr="00674D01">
        <w:rPr>
          <w:color w:val="000000"/>
          <w:lang w:val="fr-FR"/>
        </w:rPr>
        <w:t>ième session</w:t>
      </w:r>
      <w:r w:rsidRPr="00674D01">
        <w:rPr>
          <w:color w:val="000000"/>
          <w:lang w:val="fr-FR"/>
        </w:rPr>
        <w:t>, 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Assemblée générale de 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OMPI a réaffirmé et précisé la décision concernant la création et le mandat CWS qu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elle avait prise à sa trente</w:t>
      </w:r>
      <w:r w:rsidR="00BB49D3">
        <w:rPr>
          <w:color w:val="000000"/>
          <w:lang w:val="fr-FR"/>
        </w:rPr>
        <w:noBreakHyphen/>
      </w:r>
      <w:r w:rsidRPr="00674D01">
        <w:rPr>
          <w:color w:val="000000"/>
          <w:lang w:val="fr-FR"/>
        </w:rPr>
        <w:t>huit</w:t>
      </w:r>
      <w:r w:rsidR="00AB1CCD" w:rsidRPr="00674D01">
        <w:rPr>
          <w:color w:val="000000"/>
          <w:lang w:val="fr-FR"/>
        </w:rPr>
        <w:t>ième session</w:t>
      </w:r>
      <w:r w:rsidRPr="00674D01">
        <w:rPr>
          <w:color w:val="000000"/>
          <w:lang w:val="fr-FR"/>
        </w:rPr>
        <w:t xml:space="preserve"> </w:t>
      </w:r>
      <w:r w:rsidR="00AB1CCD" w:rsidRPr="00674D01">
        <w:rPr>
          <w:color w:val="000000"/>
          <w:lang w:val="fr-FR"/>
        </w:rPr>
        <w:t>en 2009</w:t>
      </w:r>
      <w:r w:rsidRPr="00674D01">
        <w:rPr>
          <w:color w:val="000000"/>
          <w:lang w:val="fr-FR"/>
        </w:rPr>
        <w:t>, telle qu</w:t>
      </w:r>
      <w:r w:rsidR="00AB1CCD" w:rsidRPr="00674D01">
        <w:rPr>
          <w:color w:val="000000"/>
          <w:lang w:val="fr-FR"/>
        </w:rPr>
        <w:t>’</w:t>
      </w:r>
      <w:r w:rsidR="00870DEA">
        <w:rPr>
          <w:color w:val="000000"/>
          <w:lang w:val="fr-FR"/>
        </w:rPr>
        <w:t>elle figure au paragraphe 24</w:t>
      </w:r>
      <w:r w:rsidRPr="00674D01">
        <w:rPr>
          <w:color w:val="000000"/>
          <w:lang w:val="fr-FR"/>
        </w:rPr>
        <w:t>9 du document WO/GA/38/20</w:t>
      </w:r>
      <w:r w:rsidR="00870DEA">
        <w:rPr>
          <w:color w:val="000000"/>
          <w:lang w:val="fr-FR"/>
        </w:rPr>
        <w:t xml:space="preserve">. </w:t>
      </w:r>
      <w:r w:rsidRPr="00674D01">
        <w:rPr>
          <w:color w:val="000000"/>
          <w:lang w:val="fr-FR"/>
        </w:rPr>
        <w:t xml:space="preserve"> 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Assemblée générale a également confirmé et précisé que le mandat fondamental du comité est cel</w:t>
      </w:r>
      <w:r w:rsidR="00BB49D3">
        <w:rPr>
          <w:color w:val="000000"/>
          <w:lang w:val="fr-FR"/>
        </w:rPr>
        <w:t>ui indiqué aux paragraphes 11 à </w:t>
      </w:r>
      <w:r w:rsidRPr="00674D01">
        <w:rPr>
          <w:color w:val="000000"/>
          <w:lang w:val="fr-FR"/>
        </w:rPr>
        <w:t>16 du document WO/GA/38/10 et elle est convenue en outre que, sur demande des États membres, le Secrétariat s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efforcera de fournir des services consultatifs et d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assistance technique aux fins du renforcement des capacités aux offices de propriété intellectuelle en entreprenant des projets relatifs à la diffusion de 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information en matière de normes de propriété intellectuel</w:t>
      </w:r>
      <w:r w:rsidR="00674D01" w:rsidRPr="00674D01">
        <w:rPr>
          <w:color w:val="000000"/>
          <w:lang w:val="fr-FR"/>
        </w:rPr>
        <w:t>le.  Le</w:t>
      </w:r>
      <w:r w:rsidRPr="00674D01">
        <w:rPr>
          <w:color w:val="000000"/>
          <w:lang w:val="fr-FR"/>
        </w:rPr>
        <w:t xml:space="preserve"> Secrétariat soumettra régulièrement des rapports écrits</w:t>
      </w:r>
      <w:r w:rsidR="00AB1CCD" w:rsidRPr="00674D01">
        <w:rPr>
          <w:color w:val="000000"/>
          <w:lang w:val="fr-FR"/>
        </w:rPr>
        <w:t xml:space="preserve"> au CWS</w:t>
      </w:r>
      <w:r w:rsidRPr="00674D01">
        <w:rPr>
          <w:color w:val="000000"/>
          <w:lang w:val="fr-FR"/>
        </w:rPr>
        <w:t xml:space="preserve"> sur le détail de ces activités, ainsi que de toute autre activité d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assistance technique et de renforcement des capacités qu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il entreprend en relation avec ce mandat, et les communiquera également à 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 xml:space="preserve">Assemblée générale. </w:t>
      </w:r>
      <w:r w:rsidR="00E25ABD" w:rsidRPr="00674D01">
        <w:rPr>
          <w:color w:val="000000"/>
          <w:lang w:val="fr-FR"/>
        </w:rPr>
        <w:t xml:space="preserve"> </w:t>
      </w:r>
      <w:r w:rsidRPr="00674D01">
        <w:rPr>
          <w:color w:val="000000"/>
          <w:lang w:val="fr-FR"/>
        </w:rPr>
        <w:t>L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 xml:space="preserve">Assemblée générale a décidé que, </w:t>
      </w:r>
      <w:r w:rsidRPr="00674D01">
        <w:rPr>
          <w:color w:val="000000"/>
          <w:lang w:val="fr-FR"/>
        </w:rPr>
        <w:lastRenderedPageBreak/>
        <w:t>pour encourager et faciliter la participation d</w:t>
      </w:r>
      <w:r w:rsidR="00AB1CCD" w:rsidRPr="00674D01">
        <w:rPr>
          <w:color w:val="000000"/>
          <w:lang w:val="fr-FR"/>
        </w:rPr>
        <w:t>’</w:t>
      </w:r>
      <w:r w:rsidRPr="00674D01">
        <w:rPr>
          <w:color w:val="000000"/>
          <w:lang w:val="fr-FR"/>
        </w:rPr>
        <w:t>experts techniques de pays en développement et de PMA aux réunions</w:t>
      </w:r>
      <w:r w:rsidR="00AB1CCD" w:rsidRPr="00674D01">
        <w:rPr>
          <w:color w:val="000000"/>
          <w:lang w:val="fr-FR"/>
        </w:rPr>
        <w:t xml:space="preserve"> du CWS</w:t>
      </w:r>
      <w:r w:rsidRPr="00674D01">
        <w:rPr>
          <w:color w:val="000000"/>
          <w:lang w:val="fr-FR"/>
        </w:rPr>
        <w:t>, le Secrétariat offrira une assistance financière pour la participation</w:t>
      </w:r>
      <w:r w:rsidR="00AB1CCD" w:rsidRPr="00674D01">
        <w:rPr>
          <w:color w:val="000000"/>
          <w:lang w:val="fr-FR"/>
        </w:rPr>
        <w:t xml:space="preserve"> des PMA</w:t>
      </w:r>
      <w:r w:rsidRPr="00674D01">
        <w:rPr>
          <w:color w:val="000000"/>
          <w:lang w:val="fr-FR"/>
        </w:rPr>
        <w:t xml:space="preserve"> et des pays en développement, dans les limites des ressources budgétaires existantes” (voir les paragraphes 182 à 190 du document WO/GA/40/19).</w:t>
      </w:r>
    </w:p>
    <w:p w:rsidR="00790045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 xml:space="preserve">À </w:t>
      </w:r>
      <w:proofErr w:type="gramStart"/>
      <w:r w:rsidRPr="00674D01">
        <w:rPr>
          <w:lang w:val="fr-FR"/>
        </w:rPr>
        <w:t>ses première et deux</w:t>
      </w:r>
      <w:r w:rsidR="00AB1CCD" w:rsidRPr="00674D01">
        <w:rPr>
          <w:lang w:val="fr-FR"/>
        </w:rPr>
        <w:t>ième session</w:t>
      </w:r>
      <w:r w:rsidRPr="00674D01">
        <w:rPr>
          <w:lang w:val="fr-FR"/>
        </w:rPr>
        <w:t>s</w:t>
      </w:r>
      <w:proofErr w:type="gramEnd"/>
      <w:r w:rsidRPr="00674D01">
        <w:rPr>
          <w:lang w:val="fr-FR"/>
        </w:rPr>
        <w:t xml:space="preserve"> </w:t>
      </w:r>
      <w:r w:rsidR="00AB1CCD" w:rsidRPr="00674D01">
        <w:rPr>
          <w:lang w:val="fr-FR"/>
        </w:rPr>
        <w:t>en 2010</w:t>
      </w:r>
      <w:r w:rsidR="00BB49D3">
        <w:rPr>
          <w:lang w:val="fr-FR"/>
        </w:rPr>
        <w:t xml:space="preserve"> et </w:t>
      </w:r>
      <w:r w:rsidRPr="00674D01">
        <w:rPr>
          <w:lang w:val="fr-FR"/>
        </w:rPr>
        <w:t>2011,</w:t>
      </w:r>
      <w:r w:rsidR="00AB1CCD" w:rsidRPr="00674D01">
        <w:rPr>
          <w:lang w:val="fr-FR"/>
        </w:rPr>
        <w:t xml:space="preserve"> le CWS</w:t>
      </w:r>
      <w:r w:rsidRPr="00674D01">
        <w:rPr>
          <w:lang w:val="fr-FR"/>
        </w:rPr>
        <w:t xml:space="preserve"> a examiné des propositions relatives aux questions d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organisation et au règlement intérieur particulier portant notamment sur le mandat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>, qui figurent à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annexe des documents CWS/1/2 et CWS/2/2.  Les questions d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organisation et le règlement intérieur particulier n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ayant pas été adoptés,</w:t>
      </w:r>
      <w:r w:rsidR="00AB1CCD" w:rsidRPr="00674D01">
        <w:rPr>
          <w:lang w:val="fr-FR"/>
        </w:rPr>
        <w:t xml:space="preserve"> le CWS</w:t>
      </w:r>
      <w:r w:rsidRPr="00674D01">
        <w:rPr>
          <w:lang w:val="fr-FR"/>
        </w:rPr>
        <w:t xml:space="preserve"> a travaillé en se fondant sur les </w:t>
      </w:r>
      <w:r w:rsidR="00E25ABD" w:rsidRPr="00674D01">
        <w:rPr>
          <w:lang w:val="fr-FR"/>
        </w:rPr>
        <w:t>Règles</w:t>
      </w:r>
      <w:r w:rsidRPr="00674D01">
        <w:rPr>
          <w:lang w:val="fr-FR"/>
        </w:rPr>
        <w:t xml:space="preserve"> générales de procédure de l</w:t>
      </w:r>
      <w:r w:rsidR="00AB1CCD" w:rsidRPr="00674D01">
        <w:rPr>
          <w:lang w:val="fr-FR"/>
        </w:rPr>
        <w:t>’</w:t>
      </w:r>
      <w:r w:rsidR="00BB49D3">
        <w:rPr>
          <w:lang w:val="fr-FR"/>
        </w:rPr>
        <w:t>OMPI </w:t>
      </w:r>
      <w:r w:rsidRPr="00674D01">
        <w:rPr>
          <w:lang w:val="fr-FR"/>
        </w:rPr>
        <w:t>(GRP) et les pratiques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ancien SCIT et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ancien SDWG (voir le paragraphe 15 du document CWS/2/14).</w:t>
      </w:r>
    </w:p>
    <w:p w:rsidR="00790045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 xml:space="preserve">Le </w:t>
      </w:r>
      <w:hyperlink r:id="rId8" w:history="1">
        <w:r w:rsidRPr="00BB49D3">
          <w:rPr>
            <w:rStyle w:val="Hyperlink"/>
            <w:szCs w:val="22"/>
            <w:lang w:val="fr-FR"/>
          </w:rPr>
          <w:t>rapport sur l</w:t>
        </w:r>
        <w:r w:rsidR="00AB1CCD" w:rsidRPr="00BB49D3">
          <w:rPr>
            <w:rStyle w:val="Hyperlink"/>
            <w:szCs w:val="22"/>
            <w:lang w:val="fr-FR"/>
          </w:rPr>
          <w:t>’</w:t>
        </w:r>
        <w:r w:rsidRPr="00BB49D3">
          <w:rPr>
            <w:rStyle w:val="Hyperlink"/>
            <w:szCs w:val="22"/>
            <w:lang w:val="fr-FR"/>
          </w:rPr>
          <w:t>évaluation des comités permanents de l</w:t>
        </w:r>
        <w:r w:rsidR="00AB1CCD" w:rsidRPr="00BB49D3">
          <w:rPr>
            <w:rStyle w:val="Hyperlink"/>
            <w:szCs w:val="22"/>
            <w:lang w:val="fr-FR"/>
          </w:rPr>
          <w:t>’</w:t>
        </w:r>
        <w:r w:rsidRPr="00BB49D3">
          <w:rPr>
            <w:rStyle w:val="Hyperlink"/>
            <w:szCs w:val="22"/>
            <w:lang w:val="fr-FR"/>
          </w:rPr>
          <w:t>OMPI établi par la Division de la supervision interne</w:t>
        </w:r>
      </w:hyperlink>
      <w:r w:rsidRPr="00674D01">
        <w:rPr>
          <w:lang w:val="fr-FR"/>
        </w:rPr>
        <w:t xml:space="preserve"> formule six</w:t>
      </w:r>
      <w:r w:rsidR="00E25ABD" w:rsidRPr="00674D01">
        <w:rPr>
          <w:lang w:val="fr-FR"/>
        </w:rPr>
        <w:t> </w:t>
      </w:r>
      <w:r w:rsidRPr="00674D01">
        <w:rPr>
          <w:lang w:val="fr-FR"/>
        </w:rPr>
        <w:t>recommandations et la recommandation n</w:t>
      </w:r>
      <w:r w:rsidR="00BB49D3">
        <w:rPr>
          <w:lang w:val="fr-FR"/>
        </w:rPr>
        <w:t>° </w:t>
      </w:r>
      <w:r w:rsidRPr="00674D01">
        <w:rPr>
          <w:lang w:val="fr-FR"/>
        </w:rPr>
        <w:t>2 propose de “recenser les procédures du comité permanent afin de préciser les rôles et les processus”.  Toutefois, aucune documentation claire portant sur les questions d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organisation et les procédures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 xml:space="preserve"> n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est proposée aux États membres et aux observateurs.</w:t>
      </w:r>
    </w:p>
    <w:p w:rsidR="00790045" w:rsidRPr="00674D01" w:rsidRDefault="00BB49D3" w:rsidP="00BB49D3">
      <w:pPr>
        <w:pStyle w:val="Heading2"/>
        <w:rPr>
          <w:lang w:val="fr-FR"/>
        </w:rPr>
      </w:pPr>
      <w:r>
        <w:rPr>
          <w:lang w:val="fr-FR"/>
        </w:rPr>
        <w:t>P</w:t>
      </w:r>
      <w:r w:rsidRPr="00674D01">
        <w:rPr>
          <w:lang w:val="fr-FR"/>
        </w:rPr>
        <w:t>roposition relative aux questions d’organisation et au règlement intérieur particulier</w:t>
      </w:r>
    </w:p>
    <w:p w:rsidR="00AB1CCD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 xml:space="preserve">Bien que les </w:t>
      </w:r>
      <w:r w:rsidR="00E25ABD" w:rsidRPr="00674D01">
        <w:rPr>
          <w:lang w:val="fr-FR"/>
        </w:rPr>
        <w:t>Règles</w:t>
      </w:r>
      <w:r w:rsidRPr="00674D01">
        <w:rPr>
          <w:lang w:val="fr-FR"/>
        </w:rPr>
        <w:t xml:space="preserve"> générales de procédure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OMPI proposent des orientations générales pour les travaux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>, elles ne couvrent pas les procédures spécifiques propres</w:t>
      </w:r>
      <w:r w:rsidR="00AB1CCD" w:rsidRPr="00674D01">
        <w:rPr>
          <w:lang w:val="fr-FR"/>
        </w:rPr>
        <w:t xml:space="preserve"> au CWS</w:t>
      </w:r>
      <w:r w:rsidRPr="00674D01">
        <w:rPr>
          <w:lang w:val="fr-FR"/>
        </w:rPr>
        <w:t>, notamment en ce qui concerne la composition et les méthodes de travail du comi</w:t>
      </w:r>
      <w:r w:rsidR="00674D01" w:rsidRPr="00674D01">
        <w:rPr>
          <w:lang w:val="fr-FR"/>
        </w:rPr>
        <w:t>té.  Le</w:t>
      </w:r>
      <w:r w:rsidRPr="00674D01">
        <w:rPr>
          <w:lang w:val="fr-FR"/>
        </w:rPr>
        <w:t>s procédures spécifiques n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 xml:space="preserve">étant pas prévues dans les </w:t>
      </w:r>
      <w:r w:rsidR="00E25ABD" w:rsidRPr="00674D01">
        <w:rPr>
          <w:lang w:val="fr-FR"/>
        </w:rPr>
        <w:t>Règles</w:t>
      </w:r>
      <w:r w:rsidRPr="00674D01">
        <w:rPr>
          <w:lang w:val="fr-FR"/>
        </w:rPr>
        <w:t xml:space="preserve"> générales de procédure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 xml:space="preserve">OMPI, chaque comité permanent, </w:t>
      </w:r>
      <w:r w:rsidR="00AB1CCD" w:rsidRPr="00674D01">
        <w:rPr>
          <w:lang w:val="fr-FR"/>
        </w:rPr>
        <w:t>à savoir</w:t>
      </w:r>
      <w:r w:rsidRPr="00674D01">
        <w:rPr>
          <w:lang w:val="fr-FR"/>
        </w:rPr>
        <w:t xml:space="preserve"> le Comité permanent du droit d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auteur et des droits connexes</w:t>
      </w:r>
      <w:r w:rsidR="00BB49D3">
        <w:rPr>
          <w:lang w:val="fr-FR"/>
        </w:rPr>
        <w:t> </w:t>
      </w:r>
      <w:r w:rsidRPr="00674D01">
        <w:rPr>
          <w:lang w:val="fr-FR"/>
        </w:rPr>
        <w:t>(SCCR), le Comité permanent du droit des brevets</w:t>
      </w:r>
      <w:r w:rsidR="00BB49D3">
        <w:rPr>
          <w:lang w:val="fr-FR"/>
        </w:rPr>
        <w:t> </w:t>
      </w:r>
      <w:r w:rsidRPr="00674D01">
        <w:rPr>
          <w:lang w:val="fr-FR"/>
        </w:rPr>
        <w:t>(SCP) et le Comité permanent du droit des marques, des dessins et modèles industriels et des indications géographiques</w:t>
      </w:r>
      <w:r w:rsidR="00BB49D3">
        <w:rPr>
          <w:lang w:val="fr-FR"/>
        </w:rPr>
        <w:t> </w:t>
      </w:r>
      <w:r w:rsidRPr="00674D01">
        <w:rPr>
          <w:lang w:val="fr-FR"/>
        </w:rPr>
        <w:t>(SCT), dispose de son propre règlement intérieur.</w:t>
      </w:r>
    </w:p>
    <w:p w:rsidR="00AB1CCD" w:rsidRPr="00674D01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>Une proposition relative aux questions d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 xml:space="preserve">organisation et au règlement intérieur particulier, </w:t>
      </w:r>
      <w:r w:rsidR="00AB1CCD" w:rsidRPr="00674D01">
        <w:rPr>
          <w:lang w:val="fr-FR"/>
        </w:rPr>
        <w:t>y compris</w:t>
      </w:r>
      <w:r w:rsidRPr="00674D01">
        <w:rPr>
          <w:lang w:val="fr-FR"/>
        </w:rPr>
        <w:t xml:space="preserve"> le mandat et les méthodes de travail, concernant le présent comité fait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objet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annexe du présent document pour examen par</w:t>
      </w:r>
      <w:r w:rsidR="00AB1CCD" w:rsidRPr="00674D01">
        <w:rPr>
          <w:lang w:val="fr-FR"/>
        </w:rPr>
        <w:t xml:space="preserve"> le </w:t>
      </w:r>
      <w:r w:rsidR="00674D01" w:rsidRPr="00674D01">
        <w:rPr>
          <w:lang w:val="fr-FR"/>
        </w:rPr>
        <w:t>CWS.  La</w:t>
      </w:r>
      <w:r w:rsidRPr="00674D01">
        <w:rPr>
          <w:lang w:val="fr-FR"/>
        </w:rPr>
        <w:t xml:space="preserve"> proposition repose sur des propositions antérieures présentées aux première et deux</w:t>
      </w:r>
      <w:r w:rsidR="00AB1CCD" w:rsidRPr="00674D01">
        <w:rPr>
          <w:lang w:val="fr-FR"/>
        </w:rPr>
        <w:t>ième session</w:t>
      </w:r>
      <w:r w:rsidRPr="00674D01">
        <w:rPr>
          <w:lang w:val="fr-FR"/>
        </w:rPr>
        <w:t>s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>, ainsi que sur les décisions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Assemblée générale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OMPI susmentionné</w:t>
      </w:r>
      <w:r w:rsidR="00674D01" w:rsidRPr="00674D01">
        <w:rPr>
          <w:lang w:val="fr-FR"/>
        </w:rPr>
        <w:t>es.  El</w:t>
      </w:r>
      <w:r w:rsidRPr="00674D01">
        <w:rPr>
          <w:lang w:val="fr-FR"/>
        </w:rPr>
        <w:t>le tient également compte des pratiques en vigueur au sein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 xml:space="preserve"> depuis la première session du comité.</w:t>
      </w:r>
    </w:p>
    <w:p w:rsidR="00DD6E46" w:rsidRDefault="00790045" w:rsidP="00BB49D3">
      <w:pPr>
        <w:pStyle w:val="ONUMFS"/>
        <w:rPr>
          <w:lang w:val="fr-FR"/>
        </w:rPr>
      </w:pPr>
      <w:r w:rsidRPr="00674D01">
        <w:rPr>
          <w:lang w:val="fr-FR"/>
        </w:rPr>
        <w:t>En particulier, le mandat</w:t>
      </w:r>
      <w:r w:rsidR="00AB1CCD" w:rsidRPr="00674D01">
        <w:rPr>
          <w:lang w:val="fr-FR"/>
        </w:rPr>
        <w:t xml:space="preserve"> du CWS</w:t>
      </w:r>
      <w:r w:rsidRPr="00674D01">
        <w:rPr>
          <w:lang w:val="fr-FR"/>
        </w:rPr>
        <w:t xml:space="preserve"> est directement intégré à la proposition, qui cite également les décisions prises par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Assemblée générale de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</w:t>
      </w:r>
      <w:r w:rsidR="00674D01" w:rsidRPr="00674D01">
        <w:rPr>
          <w:lang w:val="fr-FR"/>
        </w:rPr>
        <w:t>MPI.  Le</w:t>
      </w:r>
      <w:r w:rsidRPr="00674D01">
        <w:rPr>
          <w:lang w:val="fr-FR"/>
        </w:rPr>
        <w:t xml:space="preserve"> texte proposé pour le mandat est le texte adopté par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Assemblée générale auquel ont été apportées les modifications nécessaires, notamment la suppression des références obsolètes à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ancien S</w:t>
      </w:r>
      <w:r w:rsidR="00674D01" w:rsidRPr="00674D01">
        <w:rPr>
          <w:lang w:val="fr-FR"/>
        </w:rPr>
        <w:t>CIT.  De</w:t>
      </w:r>
      <w:r w:rsidRPr="00674D01">
        <w:rPr>
          <w:lang w:val="fr-FR"/>
        </w:rPr>
        <w:t>s informations supplémentaires relatives à la proposition font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objet de notes et de notes de bas de page figurant dans l</w:t>
      </w:r>
      <w:r w:rsidR="00AB1CCD" w:rsidRPr="00674D01">
        <w:rPr>
          <w:lang w:val="fr-FR"/>
        </w:rPr>
        <w:t>’</w:t>
      </w:r>
      <w:r w:rsidRPr="00674D01">
        <w:rPr>
          <w:lang w:val="fr-FR"/>
        </w:rPr>
        <w:t>anne</w:t>
      </w:r>
      <w:r w:rsidR="00674D01" w:rsidRPr="00674D01">
        <w:rPr>
          <w:lang w:val="fr-FR"/>
        </w:rPr>
        <w:t>xe.  Ét</w:t>
      </w:r>
      <w:r w:rsidRPr="00674D01">
        <w:rPr>
          <w:lang w:val="fr-FR"/>
        </w:rPr>
        <w:t>ant donné leur caractère purement informatif, les notes et les notes de bas de page seront retirées avant publication, après adoption de la proposition par</w:t>
      </w:r>
      <w:r w:rsidR="00AB1CCD" w:rsidRPr="00674D01">
        <w:rPr>
          <w:lang w:val="fr-FR"/>
        </w:rPr>
        <w:t xml:space="preserve"> le CWS</w:t>
      </w:r>
      <w:r w:rsidRPr="00674D01">
        <w:rPr>
          <w:lang w:val="fr-FR"/>
        </w:rPr>
        <w:t>.</w:t>
      </w:r>
    </w:p>
    <w:p w:rsidR="00AB1CCD" w:rsidRPr="00674D01" w:rsidRDefault="00DD6E46" w:rsidP="00DD6E46">
      <w:pPr>
        <w:rPr>
          <w:lang w:val="fr-FR"/>
        </w:rPr>
      </w:pPr>
      <w:r>
        <w:rPr>
          <w:lang w:val="fr-FR"/>
        </w:rPr>
        <w:br w:type="page"/>
      </w:r>
    </w:p>
    <w:p w:rsidR="00AB1CCD" w:rsidRPr="00BB49D3" w:rsidRDefault="00790045" w:rsidP="00BB49D3">
      <w:pPr>
        <w:pStyle w:val="ONUMFS"/>
        <w:ind w:left="5533"/>
        <w:rPr>
          <w:i/>
        </w:rPr>
      </w:pPr>
      <w:r w:rsidRPr="00BB49D3">
        <w:rPr>
          <w:i/>
        </w:rPr>
        <w:t>Le CWS est invité</w:t>
      </w:r>
    </w:p>
    <w:p w:rsidR="00AB1CCD" w:rsidRPr="00BB49D3" w:rsidRDefault="00790045" w:rsidP="00BB49D3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</w:rPr>
      </w:pPr>
      <w:proofErr w:type="gramStart"/>
      <w:r w:rsidRPr="00BB49D3">
        <w:rPr>
          <w:i/>
        </w:rPr>
        <w:t>à</w:t>
      </w:r>
      <w:proofErr w:type="gramEnd"/>
      <w:r w:rsidRPr="00BB49D3">
        <w:rPr>
          <w:i/>
        </w:rPr>
        <w:t xml:space="preserve"> prendre note du contenu du présent document et de l</w:t>
      </w:r>
      <w:r w:rsidR="00AB1CCD" w:rsidRPr="00BB49D3">
        <w:rPr>
          <w:i/>
        </w:rPr>
        <w:t>’</w:t>
      </w:r>
      <w:r w:rsidR="00BB49D3" w:rsidRPr="00BB49D3">
        <w:rPr>
          <w:i/>
        </w:rPr>
        <w:t>annexe du présent document</w:t>
      </w:r>
      <w:r w:rsidR="00E25ABD" w:rsidRPr="00BB49D3">
        <w:rPr>
          <w:i/>
        </w:rPr>
        <w:t xml:space="preserve"> </w:t>
      </w:r>
      <w:r w:rsidRPr="00BB49D3">
        <w:rPr>
          <w:i/>
        </w:rPr>
        <w:t>et</w:t>
      </w:r>
    </w:p>
    <w:p w:rsidR="00AB1CCD" w:rsidRPr="00BB49D3" w:rsidRDefault="00790045" w:rsidP="00BB49D3">
      <w:pPr>
        <w:pStyle w:val="ONUMFS"/>
        <w:keepLines/>
        <w:numPr>
          <w:ilvl w:val="1"/>
          <w:numId w:val="6"/>
        </w:numPr>
        <w:tabs>
          <w:tab w:val="left" w:pos="6804"/>
        </w:tabs>
        <w:ind w:left="5533" w:firstLine="704"/>
        <w:rPr>
          <w:i/>
        </w:rPr>
      </w:pPr>
      <w:proofErr w:type="gramStart"/>
      <w:r w:rsidRPr="00BB49D3">
        <w:rPr>
          <w:i/>
        </w:rPr>
        <w:t>à</w:t>
      </w:r>
      <w:proofErr w:type="gramEnd"/>
      <w:r w:rsidRPr="00BB49D3">
        <w:rPr>
          <w:i/>
        </w:rPr>
        <w:t xml:space="preserve"> examiner et à adopter les questions d</w:t>
      </w:r>
      <w:r w:rsidR="00AB1CCD" w:rsidRPr="00BB49D3">
        <w:rPr>
          <w:i/>
        </w:rPr>
        <w:t>’</w:t>
      </w:r>
      <w:r w:rsidRPr="00BB49D3">
        <w:rPr>
          <w:i/>
        </w:rPr>
        <w:t>organisation et le règlement intérieur particulier qui sont présentés aux paragraphes 5 et 6 ci</w:t>
      </w:r>
      <w:r w:rsidR="00BB49D3">
        <w:rPr>
          <w:i/>
        </w:rPr>
        <w:noBreakHyphen/>
      </w:r>
      <w:r w:rsidRPr="00BB49D3">
        <w:rPr>
          <w:i/>
        </w:rPr>
        <w:t>dessus et qui font l</w:t>
      </w:r>
      <w:r w:rsidR="00AB1CCD" w:rsidRPr="00BB49D3">
        <w:rPr>
          <w:i/>
        </w:rPr>
        <w:t>’</w:t>
      </w:r>
      <w:r w:rsidRPr="00BB49D3">
        <w:rPr>
          <w:i/>
        </w:rPr>
        <w:t>objet de l</w:t>
      </w:r>
      <w:r w:rsidR="00AB1CCD" w:rsidRPr="00BB49D3">
        <w:rPr>
          <w:i/>
        </w:rPr>
        <w:t>’</w:t>
      </w:r>
      <w:r w:rsidRPr="00BB49D3">
        <w:rPr>
          <w:i/>
        </w:rPr>
        <w:t>annexe du présent document.</w:t>
      </w:r>
    </w:p>
    <w:p w:rsidR="000F5E56" w:rsidRPr="00674D01" w:rsidRDefault="00790045" w:rsidP="00790045">
      <w:pPr>
        <w:pStyle w:val="Endofdocument-Annex"/>
      </w:pPr>
      <w:r w:rsidRPr="00674D01">
        <w:t>[L</w:t>
      </w:r>
      <w:r w:rsidR="00AB1CCD" w:rsidRPr="00674D01">
        <w:t>’</w:t>
      </w:r>
      <w:r w:rsidRPr="00674D01">
        <w:t>annexe suit]</w:t>
      </w:r>
    </w:p>
    <w:sectPr w:rsidR="000F5E56" w:rsidRPr="00674D01" w:rsidSect="0079004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D5" w:rsidRDefault="008B18D5">
      <w:r>
        <w:separator/>
      </w:r>
    </w:p>
  </w:endnote>
  <w:endnote w:type="continuationSeparator" w:id="0">
    <w:p w:rsidR="008B18D5" w:rsidRPr="009D30E6" w:rsidRDefault="008B18D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B18D5" w:rsidRPr="009D30E6" w:rsidRDefault="008B18D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B18D5" w:rsidRPr="009D30E6" w:rsidRDefault="008B18D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D5" w:rsidRDefault="008B18D5">
      <w:r>
        <w:separator/>
      </w:r>
    </w:p>
  </w:footnote>
  <w:footnote w:type="continuationSeparator" w:id="0">
    <w:p w:rsidR="008B18D5" w:rsidRDefault="008B18D5" w:rsidP="007461F1">
      <w:r>
        <w:separator/>
      </w:r>
    </w:p>
    <w:p w:rsidR="008B18D5" w:rsidRPr="009D30E6" w:rsidRDefault="008B18D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B18D5" w:rsidRPr="009D30E6" w:rsidRDefault="008B18D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790045" w:rsidP="00477D6B">
    <w:pPr>
      <w:jc w:val="right"/>
    </w:pPr>
    <w:bookmarkStart w:id="6" w:name="Code2"/>
    <w:bookmarkEnd w:id="6"/>
    <w:r>
      <w:t>CWS/10/2</w:t>
    </w:r>
  </w:p>
  <w:p w:rsidR="004F4E31" w:rsidRDefault="00790045" w:rsidP="00790045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DD6E46">
      <w:rPr>
        <w:noProof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06B16"/>
    <w:multiLevelType w:val="hybridMultilevel"/>
    <w:tmpl w:val="A2AADF42"/>
    <w:lvl w:ilvl="0" w:tplc="0C0A0017">
      <w:start w:val="1"/>
      <w:numFmt w:val="lowerLetter"/>
      <w:lvlText w:val="%1)"/>
      <w:lvlJc w:val="left"/>
      <w:pPr>
        <w:ind w:left="671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0" w:hanging="360"/>
      </w:pPr>
    </w:lvl>
    <w:lvl w:ilvl="2" w:tplc="0409001B" w:tentative="1">
      <w:start w:val="1"/>
      <w:numFmt w:val="lowerRoman"/>
      <w:lvlText w:val="%3."/>
      <w:lvlJc w:val="right"/>
      <w:pPr>
        <w:ind w:left="7960" w:hanging="180"/>
      </w:pPr>
    </w:lvl>
    <w:lvl w:ilvl="3" w:tplc="0409000F" w:tentative="1">
      <w:start w:val="1"/>
      <w:numFmt w:val="decimal"/>
      <w:lvlText w:val="%4."/>
      <w:lvlJc w:val="left"/>
      <w:pPr>
        <w:ind w:left="8680" w:hanging="360"/>
      </w:pPr>
    </w:lvl>
    <w:lvl w:ilvl="4" w:tplc="04090019" w:tentative="1">
      <w:start w:val="1"/>
      <w:numFmt w:val="lowerLetter"/>
      <w:lvlText w:val="%5."/>
      <w:lvlJc w:val="left"/>
      <w:pPr>
        <w:ind w:left="9400" w:hanging="360"/>
      </w:pPr>
    </w:lvl>
    <w:lvl w:ilvl="5" w:tplc="0409001B" w:tentative="1">
      <w:start w:val="1"/>
      <w:numFmt w:val="lowerRoman"/>
      <w:lvlText w:val="%6."/>
      <w:lvlJc w:val="right"/>
      <w:pPr>
        <w:ind w:left="10120" w:hanging="180"/>
      </w:pPr>
    </w:lvl>
    <w:lvl w:ilvl="6" w:tplc="0409000F" w:tentative="1">
      <w:start w:val="1"/>
      <w:numFmt w:val="decimal"/>
      <w:lvlText w:val="%7."/>
      <w:lvlJc w:val="left"/>
      <w:pPr>
        <w:ind w:left="10840" w:hanging="360"/>
      </w:pPr>
    </w:lvl>
    <w:lvl w:ilvl="7" w:tplc="04090019" w:tentative="1">
      <w:start w:val="1"/>
      <w:numFmt w:val="lowerLetter"/>
      <w:lvlText w:val="%8."/>
      <w:lvlJc w:val="left"/>
      <w:pPr>
        <w:ind w:left="11560" w:hanging="360"/>
      </w:pPr>
    </w:lvl>
    <w:lvl w:ilvl="8" w:tplc="0409001B" w:tentative="1">
      <w:start w:val="1"/>
      <w:numFmt w:val="lowerRoman"/>
      <w:lvlText w:val="%9."/>
      <w:lvlJc w:val="right"/>
      <w:pPr>
        <w:ind w:left="122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45"/>
    <w:rsid w:val="00011B7D"/>
    <w:rsid w:val="00075432"/>
    <w:rsid w:val="000F5E56"/>
    <w:rsid w:val="001362EE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4D01"/>
    <w:rsid w:val="00676936"/>
    <w:rsid w:val="006B0DB5"/>
    <w:rsid w:val="006E4243"/>
    <w:rsid w:val="007461F1"/>
    <w:rsid w:val="00790045"/>
    <w:rsid w:val="007D6961"/>
    <w:rsid w:val="007F07CB"/>
    <w:rsid w:val="00810CEF"/>
    <w:rsid w:val="0081208D"/>
    <w:rsid w:val="008236DE"/>
    <w:rsid w:val="00842A13"/>
    <w:rsid w:val="00870DEA"/>
    <w:rsid w:val="008B18D5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B1CCD"/>
    <w:rsid w:val="00AC0AE4"/>
    <w:rsid w:val="00AD61DB"/>
    <w:rsid w:val="00B87BCF"/>
    <w:rsid w:val="00BA62D4"/>
    <w:rsid w:val="00BB49D3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DD6E46"/>
    <w:rsid w:val="00E0091A"/>
    <w:rsid w:val="00E203AA"/>
    <w:rsid w:val="00E25ABD"/>
    <w:rsid w:val="00E527A5"/>
    <w:rsid w:val="00E76456"/>
    <w:rsid w:val="00EE71CB"/>
    <w:rsid w:val="00F16975"/>
    <w:rsid w:val="00F66152"/>
    <w:rsid w:val="00FF4371"/>
    <w:rsid w:val="00FF5FC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482D3"/>
  <w15:docId w15:val="{427F3EAA-3B17-461A-A4FA-92BF9343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790045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uiPriority w:val="99"/>
    <w:unhideWhenUsed/>
    <w:rsid w:val="007900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9004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790045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790045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790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FollowedHyperlink">
    <w:name w:val="FollowedHyperlink"/>
    <w:basedOn w:val="DefaultParagraphFont"/>
    <w:semiHidden/>
    <w:unhideWhenUsed/>
    <w:rsid w:val="00BB4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about-wipo/en/oversight/iaod/evaluation/pdf/220216-evaluation-WIPO-standing-committe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CWS_10 (F)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CWS/10/2</vt:lpstr>
    </vt:vector>
  </TitlesOfParts>
  <Company>WIPO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CWS/10/2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2022-10-13T08:33:00Z</dcterms:created>
  <dcterms:modified xsi:type="dcterms:W3CDTF">2022-10-13T08:33:00Z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