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E0584" w14:textId="14865445" w:rsidR="00975CFC" w:rsidRPr="00722A69" w:rsidRDefault="00722A69" w:rsidP="00722A69">
      <w:pPr>
        <w:spacing w:after="480"/>
        <w:jc w:val="center"/>
        <w:rPr>
          <w:b/>
          <w:caps/>
          <w:sz w:val="20"/>
        </w:rPr>
      </w:pPr>
      <w:bookmarkStart w:id="0" w:name="_GoBack"/>
      <w:bookmarkEnd w:id="0"/>
      <w:r w:rsidRPr="00722A69">
        <w:rPr>
          <w:b/>
          <w:caps/>
          <w:sz w:val="20"/>
        </w:rPr>
        <w:t>Questions d</w:t>
      </w:r>
      <w:r w:rsidR="00AB59CB">
        <w:rPr>
          <w:b/>
          <w:caps/>
          <w:sz w:val="20"/>
        </w:rPr>
        <w:t>’</w:t>
      </w:r>
      <w:r w:rsidRPr="00722A69">
        <w:rPr>
          <w:b/>
          <w:caps/>
          <w:sz w:val="20"/>
        </w:rPr>
        <w:t xml:space="preserve">organisation et règlement intérieur particulier du </w:t>
      </w:r>
      <w:r w:rsidRPr="00722A69">
        <w:rPr>
          <w:b/>
          <w:caps/>
          <w:sz w:val="20"/>
        </w:rPr>
        <w:br/>
        <w:t>Comité des normes de l</w:t>
      </w:r>
      <w:r w:rsidR="00AB59CB">
        <w:rPr>
          <w:b/>
          <w:caps/>
          <w:sz w:val="20"/>
        </w:rPr>
        <w:t>’</w:t>
      </w:r>
      <w:r w:rsidRPr="00722A69">
        <w:rPr>
          <w:b/>
          <w:caps/>
          <w:sz w:val="20"/>
        </w:rPr>
        <w:t>OMPI (CWS)</w:t>
      </w:r>
    </w:p>
    <w:p w14:paraId="4AF5FDBA" w14:textId="4FC26041" w:rsidR="00975CFC" w:rsidRPr="00515DD2" w:rsidRDefault="00975CFC" w:rsidP="00722A69">
      <w:pPr>
        <w:pStyle w:val="ONUMFS"/>
      </w:pPr>
      <w:r>
        <w:t>Sous réserve des questions d</w:t>
      </w:r>
      <w:r w:rsidR="00AB59CB">
        <w:t>’</w:t>
      </w:r>
      <w:r>
        <w:t>organisation et du règlement intérieur particulier ci</w:t>
      </w:r>
      <w:r w:rsidR="00F47033">
        <w:noBreakHyphen/>
      </w:r>
      <w:r>
        <w:t xml:space="preserve">après, les </w:t>
      </w:r>
      <w:r w:rsidR="002353A1">
        <w:t>Règles</w:t>
      </w:r>
      <w:r>
        <w:t xml:space="preserve"> générales de procédure de l</w:t>
      </w:r>
      <w:r w:rsidR="00AB59CB">
        <w:t>’</w:t>
      </w:r>
      <w:r>
        <w:t>OMPI s</w:t>
      </w:r>
      <w:r w:rsidR="00AB59CB">
        <w:t>’</w:t>
      </w:r>
      <w:r>
        <w:t>appliquent</w:t>
      </w:r>
      <w:r w:rsidR="00722A69">
        <w:t xml:space="preserve"> au Comité des normes de l</w:t>
      </w:r>
      <w:r w:rsidR="00AB59CB">
        <w:t>’</w:t>
      </w:r>
      <w:r w:rsidR="00722A69">
        <w:t>OMPI </w:t>
      </w:r>
      <w:r>
        <w:t>(CWS).</w:t>
      </w:r>
    </w:p>
    <w:p w14:paraId="5A13B06B" w14:textId="2302C76C" w:rsidR="00975CFC" w:rsidRPr="00C14100" w:rsidRDefault="00975CFC" w:rsidP="00722A69">
      <w:pPr>
        <w:pStyle w:val="ONUMFS"/>
      </w:pPr>
      <w:r>
        <w:t>Le CWS fait rapport à l</w:t>
      </w:r>
      <w:r w:rsidR="00AB59CB">
        <w:t>’</w:t>
      </w:r>
      <w:r>
        <w:t>Assemblée générale de l</w:t>
      </w:r>
      <w:r w:rsidR="00AB59CB">
        <w:t>’</w:t>
      </w:r>
      <w:r>
        <w:t>OMPI au moins une fois tous les deux</w:t>
      </w:r>
      <w:r w:rsidR="002353A1">
        <w:t> </w:t>
      </w:r>
      <w:r>
        <w:t>ans.</w:t>
      </w:r>
    </w:p>
    <w:p w14:paraId="4063EFA2" w14:textId="6674925B" w:rsidR="00975CFC" w:rsidRPr="00C14100" w:rsidRDefault="00975CFC" w:rsidP="00722A69">
      <w:pPr>
        <w:pStyle w:val="ONUMFS"/>
      </w:pPr>
      <w:r>
        <w:t>Les recommandations et propositions émanant</w:t>
      </w:r>
      <w:r w:rsidR="00AB59CB">
        <w:t xml:space="preserve"> du CWS</w:t>
      </w:r>
      <w:r>
        <w:t xml:space="preserve"> peuvent être transmises à l</w:t>
      </w:r>
      <w:r w:rsidR="00AB59CB">
        <w:t>’</w:t>
      </w:r>
      <w:r>
        <w:t>Assemblée générale de l</w:t>
      </w:r>
      <w:r w:rsidR="00AB59CB">
        <w:t>’</w:t>
      </w:r>
      <w:r>
        <w:t>OMPI, au Comité du programme et budget ou directement au Directeur général, selon qu</w:t>
      </w:r>
      <w:r w:rsidR="00AB59CB">
        <w:t>’</w:t>
      </w:r>
      <w:r>
        <w:t>il conviendra.</w:t>
      </w:r>
    </w:p>
    <w:p w14:paraId="54ECEFDE" w14:textId="0CEC71AE" w:rsidR="00975CFC" w:rsidRPr="002C2A81" w:rsidRDefault="00975CFC" w:rsidP="00722A69">
      <w:pPr>
        <w:pStyle w:val="ONUMFS"/>
        <w:rPr>
          <w:spacing w:val="-2"/>
        </w:rPr>
      </w:pPr>
      <w:r w:rsidRPr="002C2A81">
        <w:rPr>
          <w:spacing w:val="-2"/>
        </w:rPr>
        <w:t>Le CWS établit son programme de travail et définit ses priorités et ses méthodes de travail.</w:t>
      </w:r>
    </w:p>
    <w:p w14:paraId="20BB0592" w14:textId="0CB4B115" w:rsidR="00975CFC" w:rsidRPr="007C73B5" w:rsidRDefault="00975CFC" w:rsidP="00722A69">
      <w:pPr>
        <w:pStyle w:val="ONUMFS"/>
      </w:pPr>
      <w:r>
        <w:t>Les décisions adoptées par</w:t>
      </w:r>
      <w:r w:rsidR="00AB59CB">
        <w:t xml:space="preserve"> le CWS</w:t>
      </w:r>
      <w:r>
        <w:t xml:space="preserve"> sont considérées comme des recommandations adressées aux États membres, en particulier à leurs offices nationaux et régionaux de la propriété intellectuelle, au Bureau international de l</w:t>
      </w:r>
      <w:r w:rsidR="00AB59CB">
        <w:t>’</w:t>
      </w:r>
      <w:r>
        <w:t>OMPI, aux organisations internationales et à tout autre organisme national ou international s</w:t>
      </w:r>
      <w:r w:rsidR="00AB59CB">
        <w:t>’</w:t>
      </w:r>
      <w:r>
        <w:t>occupant de questions de propriété intellectuelle.</w:t>
      </w:r>
    </w:p>
    <w:p w14:paraId="41D1776C" w14:textId="745926C9" w:rsidR="00975CFC" w:rsidRPr="007C73B5" w:rsidRDefault="00975CFC" w:rsidP="00722A69">
      <w:pPr>
        <w:pStyle w:val="ONUMFS"/>
      </w:pPr>
      <w:r>
        <w:t>Le CWS peut créer des équipes d</w:t>
      </w:r>
      <w:r w:rsidR="00AB59CB">
        <w:t>’</w:t>
      </w:r>
      <w:r>
        <w:t>experts ou les dissoud</w:t>
      </w:r>
      <w:r w:rsidR="0064519D">
        <w:t>re.  Le</w:t>
      </w:r>
      <w:r>
        <w:t>s équipes d</w:t>
      </w:r>
      <w:r w:rsidR="00AB59CB">
        <w:t>’</w:t>
      </w:r>
      <w:r>
        <w:t>experts accomplissent des tâches spécifiques selon les besoins et sont soumises aux règles énoncées aux paragraphes</w:t>
      </w:r>
      <w:r w:rsidR="00881EE2">
        <w:t> </w:t>
      </w:r>
      <w:r>
        <w:t>23 à 29 de la présente annexe.</w:t>
      </w:r>
    </w:p>
    <w:p w14:paraId="1BDF4BB8" w14:textId="77777777" w:rsidR="00975CFC" w:rsidRPr="007C73B5" w:rsidRDefault="00975CFC" w:rsidP="00722A69">
      <w:pPr>
        <w:pStyle w:val="Heading2"/>
      </w:pPr>
      <w:r>
        <w:t>Composition</w:t>
      </w:r>
    </w:p>
    <w:p w14:paraId="60689162" w14:textId="25F37917" w:rsidR="00975CFC" w:rsidRPr="007C73B5" w:rsidRDefault="00975CFC" w:rsidP="00722A69">
      <w:pPr>
        <w:pStyle w:val="ONUMFS"/>
      </w:pPr>
      <w:r>
        <w:t>Sont membres</w:t>
      </w:r>
      <w:r w:rsidR="00AB59CB">
        <w:t xml:space="preserve"> du CWS</w:t>
      </w:r>
      <w:r>
        <w:t xml:space="preserve"> tous les États membres de l</w:t>
      </w:r>
      <w:r w:rsidR="00AB59CB">
        <w:t>’</w:t>
      </w:r>
      <w:r>
        <w:t>OMPI et les États membres de l</w:t>
      </w:r>
      <w:r w:rsidR="00AB59CB">
        <w:t>’</w:t>
      </w:r>
      <w:r>
        <w:t>Union de Paris ou de l</w:t>
      </w:r>
      <w:r w:rsidR="00AB59CB">
        <w:t>’</w:t>
      </w:r>
      <w:r>
        <w:t>Union de Berne qui ne sont pas membres de l</w:t>
      </w:r>
      <w:r w:rsidR="00AB59CB">
        <w:t>’</w:t>
      </w:r>
      <w:r>
        <w:t>O</w:t>
      </w:r>
      <w:r w:rsidR="0064519D">
        <w:t>MPI.  So</w:t>
      </w:r>
      <w:r>
        <w:t>nt également membres</w:t>
      </w:r>
      <w:r w:rsidR="00AB59CB">
        <w:t xml:space="preserve"> du CWS</w:t>
      </w:r>
      <w:r>
        <w:t>, mais sans droit de vote, l</w:t>
      </w:r>
      <w:r w:rsidR="00AB59CB">
        <w:t>’</w:t>
      </w:r>
      <w:r>
        <w:t xml:space="preserve">Institut des brevets de </w:t>
      </w:r>
      <w:proofErr w:type="spellStart"/>
      <w:r>
        <w:t>Visegrad</w:t>
      </w:r>
      <w:proofErr w:type="spellEnd"/>
      <w:r>
        <w:t xml:space="preserve"> (VPI), l</w:t>
      </w:r>
      <w:r w:rsidR="00AB59CB">
        <w:t>’</w:t>
      </w:r>
      <w:r>
        <w:t>Institut nordique des brevets (NPI), l</w:t>
      </w:r>
      <w:r w:rsidR="00AB59CB">
        <w:t>’</w:t>
      </w:r>
      <w:r>
        <w:t>Office Benelux de la propriété intellectuelle (OBPI), l</w:t>
      </w:r>
      <w:r w:rsidR="00AB59CB">
        <w:t>’</w:t>
      </w:r>
      <w:r>
        <w:t>Office des brevets du Conseil de coopération des États arabes du Golfe (Office des brevets</w:t>
      </w:r>
      <w:r w:rsidR="00AB59CB">
        <w:t xml:space="preserve"> du CCG</w:t>
      </w:r>
      <w:r>
        <w:t>), l</w:t>
      </w:r>
      <w:r w:rsidR="00AB59CB">
        <w:t>’</w:t>
      </w:r>
      <w:r>
        <w:t>Organisation africaine de la propriété intellectuelle (OAPI), l</w:t>
      </w:r>
      <w:r w:rsidR="00AB59CB">
        <w:t>’</w:t>
      </w:r>
      <w:r>
        <w:t>Organisation eurasienne des brevets (OEAB), l</w:t>
      </w:r>
      <w:r w:rsidR="00AB59CB">
        <w:t>’</w:t>
      </w:r>
      <w:r>
        <w:t>Organisation européenne des brevets (OEB), l</w:t>
      </w:r>
      <w:r w:rsidR="00AB59CB">
        <w:t>’</w:t>
      </w:r>
      <w:r>
        <w:t>Organisation régionale africaine de la propriété intellectuelle (ARIPO), l</w:t>
      </w:r>
      <w:r w:rsidR="00AB59CB">
        <w:t>’</w:t>
      </w:r>
      <w:r>
        <w:t>Union européenne et l</w:t>
      </w:r>
      <w:r w:rsidR="00AB59CB">
        <w:t>’</w:t>
      </w:r>
      <w:r>
        <w:t>Union internationale pour la protection des obtentions végétales (UPOV).</w:t>
      </w:r>
    </w:p>
    <w:p w14:paraId="269E37A4" w14:textId="45F17B40" w:rsidR="00B72817" w:rsidRPr="00B72817" w:rsidRDefault="00975CFC" w:rsidP="00722A69">
      <w:pPr>
        <w:pStyle w:val="ONUMFS"/>
      </w:pPr>
      <w:r>
        <w:t>Le statut d</w:t>
      </w:r>
      <w:r w:rsidR="00AB59CB">
        <w:t>’</w:t>
      </w:r>
      <w:r>
        <w:t>observateur est étendu aux États membres de</w:t>
      </w:r>
      <w:r w:rsidR="006D2269">
        <w:t xml:space="preserve"> l</w:t>
      </w:r>
      <w:r w:rsidR="00AB59CB">
        <w:t>’</w:t>
      </w:r>
      <w:r w:rsidR="006D2269">
        <w:t>Organisation des</w:t>
      </w:r>
      <w:r>
        <w:t xml:space="preserve"> </w:t>
      </w:r>
      <w:r w:rsidR="00AB59CB">
        <w:t>Nations Unies</w:t>
      </w:r>
      <w:r>
        <w:t xml:space="preserve"> qui ne sont pas des États membres de l</w:t>
      </w:r>
      <w:r w:rsidR="00AB59CB">
        <w:t>’</w:t>
      </w:r>
      <w:r>
        <w:t>OMPI, de l</w:t>
      </w:r>
      <w:r w:rsidR="00AB59CB">
        <w:t>’</w:t>
      </w:r>
      <w:r>
        <w:t>Union de Paris ou de l</w:t>
      </w:r>
      <w:r w:rsidR="00AB59CB">
        <w:t>’</w:t>
      </w:r>
      <w:r>
        <w:t>Union de Ber</w:t>
      </w:r>
      <w:r w:rsidR="0064519D">
        <w:t>ne.  Le</w:t>
      </w:r>
      <w:r w:rsidR="00AB59CB">
        <w:t> CWS</w:t>
      </w:r>
      <w:r>
        <w:t xml:space="preserve"> détermine quelles organisations intergouvernementales et non gouvernementales sont admises à ses réunions en qualité d</w:t>
      </w:r>
      <w:r w:rsidR="00AB59CB">
        <w:t>’</w:t>
      </w:r>
      <w:r>
        <w:t>observatric</w:t>
      </w:r>
      <w:r w:rsidR="0064519D">
        <w:t>es.  Le</w:t>
      </w:r>
      <w:r>
        <w:t xml:space="preserve"> </w:t>
      </w:r>
      <w:r w:rsidR="002353A1">
        <w:t>Directeur</w:t>
      </w:r>
      <w:r>
        <w:t xml:space="preserve"> général de l</w:t>
      </w:r>
      <w:r w:rsidR="00AB59CB">
        <w:t>’</w:t>
      </w:r>
      <w:r>
        <w:t>OMPI invite, en qualité d</w:t>
      </w:r>
      <w:r w:rsidR="00AB59CB">
        <w:t>’</w:t>
      </w:r>
      <w:r>
        <w:t>observatrices, aux réunions</w:t>
      </w:r>
      <w:r w:rsidR="00AB59CB">
        <w:t xml:space="preserve"> du CWS</w:t>
      </w:r>
      <w:r>
        <w:t xml:space="preserve"> ces entités admises en qualité d</w:t>
      </w:r>
      <w:r w:rsidR="00AB59CB">
        <w:t>’</w:t>
      </w:r>
      <w:r>
        <w:t>observatrices par</w:t>
      </w:r>
      <w:r w:rsidR="00AB59CB">
        <w:t xml:space="preserve"> le </w:t>
      </w:r>
      <w:r w:rsidR="0064519D">
        <w:t>CWS.  En</w:t>
      </w:r>
      <w:r>
        <w:t xml:space="preserve"> outre, les observateurs admis par les assemblées des États membres de l</w:t>
      </w:r>
      <w:r w:rsidR="00AB59CB">
        <w:t>’</w:t>
      </w:r>
      <w:r>
        <w:t xml:space="preserve">OMPI sont invités par le </w:t>
      </w:r>
      <w:r w:rsidR="002353A1">
        <w:t>Directeur</w:t>
      </w:r>
      <w:r>
        <w:t xml:space="preserve"> général de l</w:t>
      </w:r>
      <w:r w:rsidR="00AB59CB">
        <w:t>’</w:t>
      </w:r>
      <w:r>
        <w:t>OMPI si le thème des réunions</w:t>
      </w:r>
      <w:r w:rsidR="00AB59CB">
        <w:t xml:space="preserve"> du CWS</w:t>
      </w:r>
      <w:r>
        <w:t xml:space="preserve"> semble présenter un intérêt direct pour ces observateurs.</w:t>
      </w:r>
    </w:p>
    <w:p w14:paraId="2DF456D9" w14:textId="77777777" w:rsidR="00975CFC" w:rsidRPr="007C73B5" w:rsidRDefault="00975CFC" w:rsidP="00722A69">
      <w:pPr>
        <w:pStyle w:val="Heading2"/>
      </w:pPr>
      <w:r>
        <w:t>Mandat</w:t>
      </w:r>
    </w:p>
    <w:p w14:paraId="20476F29" w14:textId="4845E354" w:rsidR="00AB59CB" w:rsidRDefault="00975CFC" w:rsidP="00722A69">
      <w:pPr>
        <w:pStyle w:val="ONUMFS"/>
      </w:pPr>
      <w:r>
        <w:t>Le CWS aura pour mandat de constituer un cadre pour l</w:t>
      </w:r>
      <w:r w:rsidR="00AB59CB">
        <w:t>’</w:t>
      </w:r>
      <w:r>
        <w:t>adoption de normes, lignes directrices, recommandations et déclarations de principe nouvelles ou révisées de l</w:t>
      </w:r>
      <w:r w:rsidR="00AB59CB">
        <w:t>’</w:t>
      </w:r>
      <w:r>
        <w:t>OMPI relatives aux données de propriété intellectuelle, aux questions en rapport avec le système mondial d</w:t>
      </w:r>
      <w:r w:rsidR="00AB59CB">
        <w:t>’</w:t>
      </w:r>
      <w:r>
        <w:t>information, à la prestation de services d</w:t>
      </w:r>
      <w:r w:rsidR="00AB59CB">
        <w:t>’</w:t>
      </w:r>
      <w:r>
        <w:t>information sur le système mondial, à la diffusion des données et à la documentation, qui pourront être promulguées ou transmises à l</w:t>
      </w:r>
      <w:r w:rsidR="00AB59CB">
        <w:t>’</w:t>
      </w:r>
      <w:r>
        <w:t>Assemblée générale de l</w:t>
      </w:r>
      <w:r w:rsidR="00AB59CB">
        <w:t>’</w:t>
      </w:r>
      <w:r>
        <w:t>OMPI pour examen ou approbation.</w:t>
      </w:r>
    </w:p>
    <w:p w14:paraId="272E7D98" w14:textId="08ECFE0E" w:rsidR="00AB59CB" w:rsidRDefault="00C57768" w:rsidP="00722A69">
      <w:pPr>
        <w:pStyle w:val="ONUMFS"/>
      </w:pPr>
      <w:r>
        <w:lastRenderedPageBreak/>
        <w:t>Le Secrétariat s</w:t>
      </w:r>
      <w:r w:rsidR="00AB59CB">
        <w:t>’</w:t>
      </w:r>
      <w:r>
        <w:t>efforcera de fournir des services consultatifs et d</w:t>
      </w:r>
      <w:r w:rsidR="00AB59CB">
        <w:t>’</w:t>
      </w:r>
      <w:r>
        <w:t>assistance technique aux fins du renforcement des capacités aux offices de propriété intellectuelle en entreprenant des projets relatifs à la diffusion de l</w:t>
      </w:r>
      <w:r w:rsidR="00AB59CB">
        <w:t>’</w:t>
      </w:r>
      <w:r>
        <w:t>information en matière de normes de propriété intellectuel</w:t>
      </w:r>
      <w:r w:rsidR="0064519D">
        <w:t>le.  Le</w:t>
      </w:r>
      <w:r>
        <w:t xml:space="preserve"> Secrétariat soumettra régulièrement des rapports écrits</w:t>
      </w:r>
      <w:r w:rsidR="00AB59CB">
        <w:t xml:space="preserve"> au CWS</w:t>
      </w:r>
      <w:r>
        <w:t xml:space="preserve"> sur le détail de ces activités, ainsi que de toute autre activité d</w:t>
      </w:r>
      <w:r w:rsidR="00AB59CB">
        <w:t>’</w:t>
      </w:r>
      <w:r>
        <w:t>assistance technique et de renforcement des capacités qu</w:t>
      </w:r>
      <w:r w:rsidR="00AB59CB">
        <w:t>’</w:t>
      </w:r>
      <w:r>
        <w:t>il entreprend en relation avec ce mandat, et les communiquera également à l</w:t>
      </w:r>
      <w:r w:rsidR="00AB59CB">
        <w:t>’</w:t>
      </w:r>
      <w:r>
        <w:t>Assemblée généra</w:t>
      </w:r>
      <w:r w:rsidR="0064519D">
        <w:t>le.  Le</w:t>
      </w:r>
      <w:r>
        <w:t xml:space="preserve"> Secrétariat offrira une assistance financière pour la participation</w:t>
      </w:r>
      <w:r w:rsidR="00AB59CB">
        <w:t xml:space="preserve"> des PMA</w:t>
      </w:r>
      <w:r>
        <w:t xml:space="preserve"> et des pays en développement, dans les limites des ressources budgétaires existantes, pour encourager et faciliter la participation d</w:t>
      </w:r>
      <w:r w:rsidR="00AB59CB">
        <w:t>’</w:t>
      </w:r>
      <w:r>
        <w:t>experts techniques de pays en développement et de PMA aux réunions</w:t>
      </w:r>
      <w:r w:rsidR="00AB59CB">
        <w:t xml:space="preserve"> du CWS</w:t>
      </w:r>
      <w:r>
        <w:t>.</w:t>
      </w:r>
    </w:p>
    <w:p w14:paraId="06018620" w14:textId="0D710C5C" w:rsidR="00672C97" w:rsidRDefault="00672C97" w:rsidP="00722A69">
      <w:pPr>
        <w:pStyle w:val="ONUMFS"/>
        <w:numPr>
          <w:ilvl w:val="0"/>
          <w:numId w:val="0"/>
        </w:numPr>
        <w:rPr>
          <w:i/>
          <w:szCs w:val="22"/>
        </w:rPr>
      </w:pPr>
      <w:r>
        <w:rPr>
          <w:i/>
          <w:szCs w:val="22"/>
        </w:rPr>
        <w:t>[Note</w:t>
      </w:r>
      <w:r w:rsidR="00AB59CB">
        <w:rPr>
          <w:i/>
          <w:szCs w:val="22"/>
        </w:rPr>
        <w:t> :</w:t>
      </w:r>
      <w:r>
        <w:rPr>
          <w:i/>
          <w:szCs w:val="22"/>
        </w:rPr>
        <w:t xml:space="preserve"> Le texte proposé est le texte</w:t>
      </w:r>
      <w:r w:rsidR="002223DA">
        <w:rPr>
          <w:rStyle w:val="FootnoteReference"/>
          <w:i/>
          <w:szCs w:val="22"/>
        </w:rPr>
        <w:footnoteReference w:id="2"/>
      </w:r>
      <w:r>
        <w:rPr>
          <w:i/>
          <w:szCs w:val="22"/>
        </w:rPr>
        <w:t xml:space="preserve"> adopté par l</w:t>
      </w:r>
      <w:r w:rsidR="00AB59CB">
        <w:rPr>
          <w:i/>
          <w:szCs w:val="22"/>
        </w:rPr>
        <w:t>’</w:t>
      </w:r>
      <w:r>
        <w:rPr>
          <w:i/>
          <w:szCs w:val="22"/>
        </w:rPr>
        <w:t xml:space="preserve">Assemblée générale auquel ont été apportées les </w:t>
      </w:r>
      <w:r w:rsidR="006D2269">
        <w:rPr>
          <w:i/>
          <w:szCs w:val="22"/>
        </w:rPr>
        <w:t>modifications</w:t>
      </w:r>
      <w:r>
        <w:rPr>
          <w:i/>
          <w:szCs w:val="22"/>
        </w:rPr>
        <w:t xml:space="preserve"> nécessaires, notamment la suppression des références obsolètes à l</w:t>
      </w:r>
      <w:r w:rsidR="00AB59CB">
        <w:rPr>
          <w:i/>
          <w:szCs w:val="22"/>
        </w:rPr>
        <w:t>’</w:t>
      </w:r>
      <w:r>
        <w:rPr>
          <w:i/>
          <w:szCs w:val="22"/>
        </w:rPr>
        <w:t>ancien S</w:t>
      </w:r>
      <w:r w:rsidR="0064519D">
        <w:rPr>
          <w:i/>
          <w:szCs w:val="22"/>
        </w:rPr>
        <w:t>CIT.  Po</w:t>
      </w:r>
      <w:r>
        <w:rPr>
          <w:i/>
          <w:szCs w:val="22"/>
        </w:rPr>
        <w:t>ur information, le mandat de l</w:t>
      </w:r>
      <w:r w:rsidR="00AB59CB">
        <w:rPr>
          <w:i/>
          <w:szCs w:val="22"/>
        </w:rPr>
        <w:t>’</w:t>
      </w:r>
      <w:r>
        <w:rPr>
          <w:i/>
          <w:szCs w:val="22"/>
        </w:rPr>
        <w:t>ancien SDWG mentionné, décrit dans le document SCIT/7/14, est reproduit ci</w:t>
      </w:r>
      <w:r w:rsidR="00F47033">
        <w:rPr>
          <w:i/>
          <w:szCs w:val="22"/>
        </w:rPr>
        <w:noBreakHyphen/>
      </w:r>
      <w:r>
        <w:rPr>
          <w:i/>
          <w:szCs w:val="22"/>
        </w:rPr>
        <w:t>apr</w:t>
      </w:r>
      <w:r w:rsidR="0064519D">
        <w:rPr>
          <w:i/>
          <w:szCs w:val="22"/>
        </w:rPr>
        <w:t>ès.  Il</w:t>
      </w:r>
      <w:r>
        <w:rPr>
          <w:i/>
          <w:szCs w:val="22"/>
        </w:rPr>
        <w:t xml:space="preserve"> convient de noter que la proposition relative à la création du Comité sur l</w:t>
      </w:r>
      <w:r w:rsidR="00AB59CB">
        <w:rPr>
          <w:i/>
          <w:szCs w:val="22"/>
        </w:rPr>
        <w:t>’</w:t>
      </w:r>
      <w:r>
        <w:rPr>
          <w:i/>
          <w:szCs w:val="22"/>
        </w:rPr>
        <w:t>infrastructure mondiale en matière de propriété intellectuelle (CGI) n</w:t>
      </w:r>
      <w:r w:rsidR="00AB59CB">
        <w:rPr>
          <w:i/>
          <w:szCs w:val="22"/>
        </w:rPr>
        <w:t>’</w:t>
      </w:r>
      <w:r>
        <w:rPr>
          <w:i/>
          <w:szCs w:val="22"/>
        </w:rPr>
        <w:t>a pas été adoptée par l</w:t>
      </w:r>
      <w:r w:rsidR="00AB59CB">
        <w:rPr>
          <w:i/>
          <w:szCs w:val="22"/>
        </w:rPr>
        <w:t>’</w:t>
      </w:r>
      <w:r>
        <w:rPr>
          <w:i/>
          <w:szCs w:val="22"/>
        </w:rPr>
        <w:t>Assemblée générale de l</w:t>
      </w:r>
      <w:r w:rsidR="00AB59CB">
        <w:rPr>
          <w:i/>
          <w:szCs w:val="22"/>
        </w:rPr>
        <w:t>’</w:t>
      </w:r>
      <w:r>
        <w:rPr>
          <w:i/>
          <w:szCs w:val="22"/>
        </w:rPr>
        <w:t>OMPI.</w:t>
      </w:r>
    </w:p>
    <w:p w14:paraId="03832BC2" w14:textId="66E41DE9" w:rsidR="00672C97" w:rsidRPr="00672C97" w:rsidRDefault="00672C97" w:rsidP="00722A69">
      <w:pPr>
        <w:pStyle w:val="ONUMFS"/>
        <w:numPr>
          <w:ilvl w:val="0"/>
          <w:numId w:val="0"/>
        </w:numPr>
        <w:ind w:left="567"/>
        <w:rPr>
          <w:i/>
          <w:szCs w:val="22"/>
        </w:rPr>
      </w:pPr>
      <w:r>
        <w:rPr>
          <w:i/>
        </w:rPr>
        <w:t>“Le Groupe de travail sur les normes et la documentation (SDWG) aura pour mandat de constituer un cadre pour l</w:t>
      </w:r>
      <w:r w:rsidR="00AB59CB">
        <w:rPr>
          <w:i/>
        </w:rPr>
        <w:t>’</w:t>
      </w:r>
      <w:r>
        <w:rPr>
          <w:i/>
        </w:rPr>
        <w:t>adoption de normes, lignes directrices, recommandations et déclarations de principe nouvelles ou révisées de l</w:t>
      </w:r>
      <w:r w:rsidR="00AB59CB">
        <w:rPr>
          <w:i/>
        </w:rPr>
        <w:t>’</w:t>
      </w:r>
      <w:r>
        <w:rPr>
          <w:i/>
        </w:rPr>
        <w:t>OMPI relatives aux données de propriété intellectuelle, aux questions en rapport avec le système mondial d</w:t>
      </w:r>
      <w:r w:rsidR="00AB59CB">
        <w:rPr>
          <w:i/>
        </w:rPr>
        <w:t>’</w:t>
      </w:r>
      <w:r>
        <w:rPr>
          <w:i/>
        </w:rPr>
        <w:t>information, à la prestation de services d</w:t>
      </w:r>
      <w:r w:rsidR="00AB59CB">
        <w:rPr>
          <w:i/>
        </w:rPr>
        <w:t>’</w:t>
      </w:r>
      <w:r>
        <w:rPr>
          <w:i/>
        </w:rPr>
        <w:t>information sur le système mondial, à la diffusion des données et à la documentation, qui pourront être promulguées sur décision</w:t>
      </w:r>
      <w:r w:rsidR="00AB59CB">
        <w:rPr>
          <w:i/>
        </w:rPr>
        <w:t xml:space="preserve"> du SCI</w:t>
      </w:r>
      <w:r>
        <w:rPr>
          <w:i/>
        </w:rPr>
        <w:t>T ou transmises pour approbation à l</w:t>
      </w:r>
      <w:r w:rsidR="00AB59CB">
        <w:rPr>
          <w:i/>
        </w:rPr>
        <w:t>’</w:t>
      </w:r>
      <w:r>
        <w:rPr>
          <w:i/>
        </w:rPr>
        <w:t>Assemblée générale de l</w:t>
      </w:r>
      <w:r w:rsidR="00AB59CB">
        <w:rPr>
          <w:i/>
        </w:rPr>
        <w:t>’</w:t>
      </w:r>
      <w:r>
        <w:rPr>
          <w:i/>
        </w:rPr>
        <w:t>OMPI, par l</w:t>
      </w:r>
      <w:r w:rsidR="00AB59CB">
        <w:rPr>
          <w:i/>
        </w:rPr>
        <w:t>’</w:t>
      </w:r>
      <w:r>
        <w:rPr>
          <w:i/>
        </w:rPr>
        <w:t>intermédiaire</w:t>
      </w:r>
      <w:r w:rsidR="00AB59CB">
        <w:rPr>
          <w:i/>
        </w:rPr>
        <w:t xml:space="preserve"> du SCI</w:t>
      </w:r>
      <w:r>
        <w:rPr>
          <w:i/>
        </w:rPr>
        <w:t>T.”</w:t>
      </w:r>
      <w:r>
        <w:rPr>
          <w:i/>
          <w:szCs w:val="22"/>
        </w:rPr>
        <w:t>]</w:t>
      </w:r>
    </w:p>
    <w:p w14:paraId="0C09C976" w14:textId="77777777" w:rsidR="00975CFC" w:rsidRPr="007C73B5" w:rsidRDefault="00975CFC" w:rsidP="00722A69">
      <w:pPr>
        <w:pStyle w:val="Heading2"/>
      </w:pPr>
      <w:r>
        <w:t>Sessions</w:t>
      </w:r>
    </w:p>
    <w:p w14:paraId="6E827248" w14:textId="420E570B" w:rsidR="00975CFC" w:rsidRPr="00BD01A8" w:rsidRDefault="00975CFC" w:rsidP="00722A69">
      <w:pPr>
        <w:pStyle w:val="ONUMFS"/>
      </w:pPr>
      <w:r>
        <w:t>Le CWS se réunit une fois par an et prend connaissance des rapports de situation annuels de ses organes subsidiaires.</w:t>
      </w:r>
    </w:p>
    <w:p w14:paraId="1D6719C3" w14:textId="77777777" w:rsidR="00975CFC" w:rsidRPr="00BD01A8" w:rsidRDefault="00975CFC" w:rsidP="00722A69">
      <w:pPr>
        <w:pStyle w:val="Heading2"/>
      </w:pPr>
      <w:r>
        <w:t>Bureau</w:t>
      </w:r>
    </w:p>
    <w:p w14:paraId="17540D02" w14:textId="683602D1" w:rsidR="00975CFC" w:rsidRPr="007C73B5" w:rsidRDefault="00975CFC" w:rsidP="00722A69">
      <w:pPr>
        <w:pStyle w:val="ONUMFS"/>
      </w:pPr>
      <w:r>
        <w:t>Le CWS a un président et deux vice</w:t>
      </w:r>
      <w:r w:rsidR="00F47033">
        <w:noBreakHyphen/>
      </w:r>
      <w:r>
        <w:t>présidents, qui sont élus pour deux</w:t>
      </w:r>
      <w:r w:rsidR="002353A1">
        <w:t> </w:t>
      </w:r>
      <w:r>
        <w:t>sessions consécutiv</w:t>
      </w:r>
      <w:r w:rsidR="0064519D">
        <w:t>es.  To</w:t>
      </w:r>
      <w:r>
        <w:t>ut président ou vice</w:t>
      </w:r>
      <w:r w:rsidR="00F47033">
        <w:noBreakHyphen/>
      </w:r>
      <w:r>
        <w:t>président sortant est rééligible immédiatement pour une session consécutive supplémentaire uniquement.</w:t>
      </w:r>
    </w:p>
    <w:p w14:paraId="0E83BDED" w14:textId="75DE470B" w:rsidR="00975CFC" w:rsidRPr="007C73B5" w:rsidRDefault="00722A69" w:rsidP="00722A69">
      <w:pPr>
        <w:pStyle w:val="Heading2"/>
      </w:pPr>
      <w:r>
        <w:t>Documentation des réunions</w:t>
      </w:r>
    </w:p>
    <w:p w14:paraId="6F19E96A" w14:textId="11B3250D" w:rsidR="00975CFC" w:rsidRPr="007C73B5" w:rsidRDefault="00975CFC" w:rsidP="00722A69">
      <w:pPr>
        <w:pStyle w:val="ONUMFS"/>
      </w:pPr>
      <w:r>
        <w:t>La documentation des réunions est publiée sur le site</w:t>
      </w:r>
      <w:r w:rsidR="002353A1">
        <w:t> </w:t>
      </w:r>
      <w:r>
        <w:t>Web de l</w:t>
      </w:r>
      <w:r w:rsidR="00AB59CB">
        <w:t>’</w:t>
      </w:r>
      <w:r>
        <w:t>O</w:t>
      </w:r>
      <w:r w:rsidR="0064519D">
        <w:t>MPI.  La</w:t>
      </w:r>
      <w:r>
        <w:t xml:space="preserve"> lettre d</w:t>
      </w:r>
      <w:r w:rsidR="00AB59CB">
        <w:t>’</w:t>
      </w:r>
      <w:r>
        <w:t>invitation et le projet d</w:t>
      </w:r>
      <w:r w:rsidR="00AB59CB">
        <w:t>’</w:t>
      </w:r>
      <w:r>
        <w:t>ordre du jour sont diffusés par voie électronique et publiés sur le site</w:t>
      </w:r>
      <w:r w:rsidR="002353A1">
        <w:t> </w:t>
      </w:r>
      <w:r>
        <w:t>Web de l</w:t>
      </w:r>
      <w:r w:rsidR="00AB59CB">
        <w:t>’</w:t>
      </w:r>
      <w:r>
        <w:t>OMPI</w:t>
      </w:r>
      <w:r w:rsidR="00881EE2">
        <w:t>.</w:t>
      </w:r>
    </w:p>
    <w:p w14:paraId="501C69D0" w14:textId="5D62CF08" w:rsidR="00975CFC" w:rsidRPr="007C73B5" w:rsidRDefault="00722A69" w:rsidP="00722A69">
      <w:pPr>
        <w:pStyle w:val="Heading2"/>
      </w:pPr>
      <w:r>
        <w:t>Définition et organisation des projets ou des tâches</w:t>
      </w:r>
    </w:p>
    <w:p w14:paraId="6D143663" w14:textId="68EF0FB6" w:rsidR="00975CFC" w:rsidRPr="007C73B5" w:rsidRDefault="00975CFC" w:rsidP="00722A69">
      <w:pPr>
        <w:pStyle w:val="ONUMFS"/>
      </w:pPr>
      <w:r>
        <w:t>Les tâches sont créées par</w:t>
      </w:r>
      <w:r w:rsidR="00AB59CB">
        <w:t xml:space="preserve"> le CWS</w:t>
      </w:r>
      <w:r>
        <w:t>.</w:t>
      </w:r>
    </w:p>
    <w:p w14:paraId="3B776E66" w14:textId="0AC3D07A" w:rsidR="00975CFC" w:rsidRPr="007C73B5" w:rsidRDefault="00975CFC" w:rsidP="00722A69">
      <w:pPr>
        <w:pStyle w:val="ONUMFS"/>
      </w:pPr>
      <w:r>
        <w:t xml:space="preserve">Une nouvelle proposition, un nouveau sujet ou une nouvelle activité, </w:t>
      </w:r>
      <w:r w:rsidR="00AB59CB">
        <w:t>y compris</w:t>
      </w:r>
      <w:r>
        <w:t xml:space="preserve"> des demandes de révision des normes de l</w:t>
      </w:r>
      <w:r w:rsidR="00AB59CB">
        <w:t>’</w:t>
      </w:r>
      <w:r>
        <w:t>OMPI existantes ou d</w:t>
      </w:r>
      <w:r w:rsidR="00AB59CB">
        <w:t>’</w:t>
      </w:r>
      <w:r>
        <w:t>élaboration de nouvelles normes, peut être examiné à l</w:t>
      </w:r>
      <w:r w:rsidR="00AB59CB">
        <w:t>’</w:t>
      </w:r>
      <w:r>
        <w:t>initiative de tout État membre, observateur ou équipe d</w:t>
      </w:r>
      <w:r w:rsidR="00AB59CB">
        <w:t>’</w:t>
      </w:r>
      <w:r>
        <w:t>experts ou du Bureau international, sur présentation au Secrétariat, par écrit, d</w:t>
      </w:r>
      <w:r w:rsidR="00AB59CB">
        <w:t>’</w:t>
      </w:r>
      <w:r>
        <w:t>un descriptif succinct du proj</w:t>
      </w:r>
      <w:r w:rsidR="0064519D">
        <w:t>et.  Ce</w:t>
      </w:r>
      <w:r>
        <w:t xml:space="preserve"> descriptif doit comporter un exposé clair du problème ou du besoin particulier à prendre en considération et indiquer la façon dont il a été détermi</w:t>
      </w:r>
      <w:r w:rsidR="0064519D">
        <w:t>né.  Le</w:t>
      </w:r>
      <w:r>
        <w:t xml:space="preserve"> descriptif du projet doit aussi préciser les objectifs de la tâche, les solutions à envisager et les avantages escomptés.</w:t>
      </w:r>
    </w:p>
    <w:p w14:paraId="6FD31166" w14:textId="116E54A9" w:rsidR="00975CFC" w:rsidRPr="007C73B5" w:rsidRDefault="00975CFC" w:rsidP="00722A69">
      <w:pPr>
        <w:pStyle w:val="ONUMFS"/>
      </w:pPr>
      <w:r>
        <w:t>Le Secrétariat présente pour examen les demandes et les descriptifs de projet qu</w:t>
      </w:r>
      <w:r w:rsidR="00AB59CB">
        <w:t>’</w:t>
      </w:r>
      <w:r>
        <w:t>il a reçus à la session suivante</w:t>
      </w:r>
      <w:r w:rsidR="00AB59CB">
        <w:t xml:space="preserve"> du CWS</w:t>
      </w:r>
      <w:r>
        <w:t xml:space="preserve"> accompagnés de certaines informations supplémentaires, notamment une estimation de coûts, l</w:t>
      </w:r>
      <w:r w:rsidR="00AB59CB">
        <w:t>’</w:t>
      </w:r>
      <w:r>
        <w:t>indication des ressources requises, une évaluation des risques, une liste des facteurs de réussite et les indications de la tâche en question sur les tâches</w:t>
      </w:r>
      <w:r w:rsidR="00AB59CB">
        <w:t xml:space="preserve"> du </w:t>
      </w:r>
      <w:r w:rsidR="0064519D">
        <w:t>CWS.  Le</w:t>
      </w:r>
      <w:r w:rsidR="00AB59CB">
        <w:t> CWS</w:t>
      </w:r>
      <w:r>
        <w:t xml:space="preserve"> détermine pour chaque demande spécifique si elle relève de son mandat et la suite qu</w:t>
      </w:r>
      <w:r w:rsidR="00AB59CB">
        <w:t>’</w:t>
      </w:r>
      <w:r>
        <w:t>il convient d</w:t>
      </w:r>
      <w:r w:rsidR="00AB59CB">
        <w:t>’</w:t>
      </w:r>
      <w:r>
        <w:t>y donn</w:t>
      </w:r>
      <w:r w:rsidR="0064519D">
        <w:t>er.  Il</w:t>
      </w:r>
      <w:r>
        <w:t xml:space="preserve"> décide également des mesures éventuelles à prendre, et notamment s</w:t>
      </w:r>
      <w:r w:rsidR="00AB59CB">
        <w:t>’</w:t>
      </w:r>
      <w:r>
        <w:t>il est nécessaire de créer une tâche et de constituer une équipe d</w:t>
      </w:r>
      <w:r w:rsidR="00AB59CB">
        <w:t>’</w:t>
      </w:r>
      <w:r>
        <w:t>experts chargée de la mener à bien.</w:t>
      </w:r>
    </w:p>
    <w:p w14:paraId="0F4F67CD" w14:textId="14C66971" w:rsidR="00975CFC" w:rsidRPr="007C73B5" w:rsidRDefault="00975CFC" w:rsidP="00722A69">
      <w:pPr>
        <w:pStyle w:val="ONUMFS"/>
      </w:pPr>
      <w:r>
        <w:t>Pour chaque demande adoptée sous la forme d</w:t>
      </w:r>
      <w:r w:rsidR="00AB59CB">
        <w:t>’</w:t>
      </w:r>
      <w:r>
        <w:t>une tâche à inscrire à son programme de travail,</w:t>
      </w:r>
      <w:r w:rsidR="00AB59CB">
        <w:t xml:space="preserve"> le CWS</w:t>
      </w:r>
      <w:r>
        <w:t xml:space="preserve"> établit la description de tâche correspondante et définit la priorité à accorder à cette tâche, </w:t>
      </w:r>
      <w:r w:rsidR="00AB59CB">
        <w:t>y compris</w:t>
      </w:r>
      <w:r>
        <w:t>, dans la mesure du possible, les mesures à prendre et les calendriers proposés.</w:t>
      </w:r>
    </w:p>
    <w:p w14:paraId="744DCCC1" w14:textId="1C998A2D" w:rsidR="00975CFC" w:rsidRPr="007C73B5" w:rsidRDefault="00975CFC" w:rsidP="00722A69">
      <w:pPr>
        <w:pStyle w:val="ONUMFS"/>
      </w:pPr>
      <w:r>
        <w:t>Le CWS désigne un responsable ou des coresponsables de l</w:t>
      </w:r>
      <w:r w:rsidR="00AB59CB">
        <w:t>’</w:t>
      </w:r>
      <w:r>
        <w:t>équipe d</w:t>
      </w:r>
      <w:r w:rsidR="00AB59CB">
        <w:t>’</w:t>
      </w:r>
      <w:r>
        <w:t>exper</w:t>
      </w:r>
      <w:r w:rsidR="0064519D">
        <w:t>ts.  Si</w:t>
      </w:r>
      <w:r>
        <w:t xml:space="preserve"> la tâche ne doit pas être attribuée à une équipe d</w:t>
      </w:r>
      <w:r w:rsidR="00AB59CB">
        <w:t>’</w:t>
      </w:r>
      <w:r>
        <w:t>experts donnée,</w:t>
      </w:r>
      <w:r w:rsidR="00AB59CB">
        <w:t xml:space="preserve"> le CWS</w:t>
      </w:r>
      <w:r>
        <w:t xml:space="preserve"> désigne un responsable chargé de cette tâc</w:t>
      </w:r>
      <w:r w:rsidR="0064519D">
        <w:t>he.  Si</w:t>
      </w:r>
      <w:r>
        <w:t xml:space="preserve"> les responsables de l</w:t>
      </w:r>
      <w:r w:rsidR="00AB59CB">
        <w:t>’</w:t>
      </w:r>
      <w:r>
        <w:t>équipe d</w:t>
      </w:r>
      <w:r w:rsidR="00AB59CB">
        <w:t>’</w:t>
      </w:r>
      <w:r>
        <w:t>experts en fonction informent le Secrétariat de leur démission, le Secrétariat communique cette information à la prochaine session</w:t>
      </w:r>
      <w:r w:rsidR="00AB59CB">
        <w:t xml:space="preserve"> du CWS</w:t>
      </w:r>
      <w:r>
        <w:t>.</w:t>
      </w:r>
    </w:p>
    <w:p w14:paraId="67B50B89" w14:textId="4FEA900F" w:rsidR="00975CFC" w:rsidRPr="007C73B5" w:rsidRDefault="00722A69" w:rsidP="00722A69">
      <w:pPr>
        <w:pStyle w:val="Heading2"/>
      </w:pPr>
      <w:r>
        <w:t>Méthodes de travail</w:t>
      </w:r>
    </w:p>
    <w:p w14:paraId="278877B0" w14:textId="5E8F5A03" w:rsidR="00975CFC" w:rsidRPr="007C73B5" w:rsidRDefault="00975CFC" w:rsidP="00722A69">
      <w:pPr>
        <w:pStyle w:val="ONUMFS"/>
      </w:pPr>
      <w:r>
        <w:t>Le CWS et plus particulièrement ses équipes d</w:t>
      </w:r>
      <w:r w:rsidR="00AB59CB">
        <w:t>’</w:t>
      </w:r>
      <w:r>
        <w:t>experts axent leurs méthodes de travail sur l</w:t>
      </w:r>
      <w:r w:rsidR="00AB59CB">
        <w:t>’</w:t>
      </w:r>
      <w:r>
        <w:t>utilisation intensive des moyens électroniques mis en place par le Secrétari</w:t>
      </w:r>
      <w:r w:rsidR="0064519D">
        <w:t>at.  Ce</w:t>
      </w:r>
      <w:r>
        <w:t>la permet au plus grand nombre possible de membres et d</w:t>
      </w:r>
      <w:r w:rsidR="00AB59CB">
        <w:t>’</w:t>
      </w:r>
      <w:r>
        <w:t>observateurs intéressés du monde entier de prendre part aux débats et d</w:t>
      </w:r>
      <w:r w:rsidR="00AB59CB">
        <w:t>’</w:t>
      </w:r>
      <w:r>
        <w:t>examiner les questions en jeu dans un délai restreint.</w:t>
      </w:r>
    </w:p>
    <w:p w14:paraId="235116AE" w14:textId="0701B8D0" w:rsidR="00945026" w:rsidRPr="007C73B5" w:rsidRDefault="00975CFC" w:rsidP="00722A69">
      <w:pPr>
        <w:pStyle w:val="ONUMFS"/>
      </w:pPr>
      <w:r>
        <w:t>Il appartient</w:t>
      </w:r>
      <w:r w:rsidR="00AB59CB">
        <w:t xml:space="preserve"> au CWS</w:t>
      </w:r>
      <w:r>
        <w:t xml:space="preserve"> d</w:t>
      </w:r>
      <w:r w:rsidR="00AB59CB">
        <w:t>’</w:t>
      </w:r>
      <w:r>
        <w:t>approuver l</w:t>
      </w:r>
      <w:r w:rsidR="00AB59CB">
        <w:t>’</w:t>
      </w:r>
      <w:r>
        <w:t>élaboration de nouvelles normes de l</w:t>
      </w:r>
      <w:r w:rsidR="00AB59CB">
        <w:t>’</w:t>
      </w:r>
      <w:r>
        <w:t>OMPI ou la révision de normes existantes de l</w:t>
      </w:r>
      <w:r w:rsidR="00AB59CB">
        <w:t>’</w:t>
      </w:r>
      <w:r>
        <w:t>O</w:t>
      </w:r>
      <w:r w:rsidR="0064519D">
        <w:t>MPI.  Le</w:t>
      </w:r>
      <w:r w:rsidR="00AB59CB">
        <w:t> CWS</w:t>
      </w:r>
      <w:r>
        <w:t xml:space="preserve"> peut toutefois établir un mécanisme de décision par voie électronique, en le mettant au besoin à la disposition de ses équipes d</w:t>
      </w:r>
      <w:r w:rsidR="00AB59CB">
        <w:t>’</w:t>
      </w:r>
      <w:r>
        <w:t>experts.</w:t>
      </w:r>
    </w:p>
    <w:p w14:paraId="5C56F9AE" w14:textId="20A121C4" w:rsidR="00975CFC" w:rsidRPr="007C73B5" w:rsidRDefault="00975CFC" w:rsidP="00722A69">
      <w:pPr>
        <w:pStyle w:val="ONUMFS"/>
      </w:pPr>
      <w:r>
        <w:t>Un résumé établi par le président est distribué aux participants à la fin de chaque session</w:t>
      </w:r>
      <w:r w:rsidR="00AB59CB">
        <w:t xml:space="preserve"> du </w:t>
      </w:r>
      <w:r w:rsidR="0064519D">
        <w:t>CWS.  Ce</w:t>
      </w:r>
      <w:r>
        <w:t xml:space="preserve"> résumé ne porte que sur les décisions prises par le comité et sur l</w:t>
      </w:r>
      <w:r w:rsidR="00AB59CB">
        <w:t>’</w:t>
      </w:r>
      <w:r>
        <w:t>état d</w:t>
      </w:r>
      <w:r w:rsidR="00AB59CB">
        <w:t>’</w:t>
      </w:r>
      <w:r>
        <w:t>avancement des tâch</w:t>
      </w:r>
      <w:r w:rsidR="0064519D">
        <w:t>es.  Un</w:t>
      </w:r>
      <w:r>
        <w:t xml:space="preserve"> rapport détaillé sur la session</w:t>
      </w:r>
      <w:r w:rsidR="00AB59CB">
        <w:t xml:space="preserve"> du CWS</w:t>
      </w:r>
      <w:r>
        <w:t xml:space="preserve"> est publié sur le site</w:t>
      </w:r>
      <w:r w:rsidR="002353A1">
        <w:t> </w:t>
      </w:r>
      <w:r>
        <w:t>Web de l</w:t>
      </w:r>
      <w:r w:rsidR="00AB59CB">
        <w:t>’</w:t>
      </w:r>
      <w:r>
        <w:t>OMPI aux fins de commentaires après clôture de la sessi</w:t>
      </w:r>
      <w:r w:rsidR="0064519D">
        <w:t>on.  L’a</w:t>
      </w:r>
      <w:r>
        <w:t>doption du rapport détaillé peut s</w:t>
      </w:r>
      <w:r w:rsidR="00AB59CB">
        <w:t>’</w:t>
      </w:r>
      <w:r>
        <w:t>effectuer par voie électroniq</w:t>
      </w:r>
      <w:r w:rsidR="0064519D">
        <w:t>ue.  En</w:t>
      </w:r>
      <w:r>
        <w:t xml:space="preserve"> cas d</w:t>
      </w:r>
      <w:r w:rsidR="00AB59CB">
        <w:t>’</w:t>
      </w:r>
      <w:r>
        <w:t>impossibilité de parvenir à un accord sur le rapport détaillé par voie électronique, l</w:t>
      </w:r>
      <w:r w:rsidR="00AB59CB">
        <w:t>’</w:t>
      </w:r>
      <w:r>
        <w:t>adoption dudit rapport est inscrite à l</w:t>
      </w:r>
      <w:r w:rsidR="00AB59CB">
        <w:t>’</w:t>
      </w:r>
      <w:r>
        <w:t>ordre du jour de la session suivante</w:t>
      </w:r>
      <w:r w:rsidR="00AB59CB">
        <w:t xml:space="preserve"> du CWS</w:t>
      </w:r>
      <w:r>
        <w:t>.</w:t>
      </w:r>
    </w:p>
    <w:p w14:paraId="0FB57D1A" w14:textId="74EC38B5" w:rsidR="00975CFC" w:rsidRPr="007C73B5" w:rsidRDefault="00975CFC" w:rsidP="00722A69">
      <w:pPr>
        <w:pStyle w:val="ONUMFS"/>
      </w:pPr>
      <w:r>
        <w:t>Les rapports détaillés sur les sessions</w:t>
      </w:r>
      <w:r w:rsidR="00AB59CB">
        <w:t xml:space="preserve"> du CWS</w:t>
      </w:r>
      <w:r>
        <w:t xml:space="preserve"> rendent compte uniquement des conclusions (décisions, recommandations, opinions, etc.)</w:t>
      </w:r>
      <w:r w:rsidR="00AB59CB">
        <w:t xml:space="preserve"> du CWS</w:t>
      </w:r>
      <w:r>
        <w:t xml:space="preserve"> sans rendre compte en particulier de déclarations </w:t>
      </w:r>
      <w:r w:rsidR="0080598F">
        <w:t>de</w:t>
      </w:r>
      <w:r>
        <w:t xml:space="preserve"> tel ou tel participant, excepté lorsqu</w:t>
      </w:r>
      <w:r w:rsidR="00AB59CB">
        <w:t>’</w:t>
      </w:r>
      <w:r>
        <w:t>une réserve relative à une conclusion particulière</w:t>
      </w:r>
      <w:r w:rsidR="00AB59CB">
        <w:t xml:space="preserve"> du CWS</w:t>
      </w:r>
      <w:r>
        <w:t xml:space="preserve"> a été émise ou réitérée après l</w:t>
      </w:r>
      <w:r w:rsidR="00AB59CB">
        <w:t>’</w:t>
      </w:r>
      <w:r>
        <w:t>adoption de cette conclusion.</w:t>
      </w:r>
    </w:p>
    <w:p w14:paraId="408D0FB5" w14:textId="580971AA" w:rsidR="00975CFC" w:rsidRPr="007C73B5" w:rsidRDefault="00975CFC" w:rsidP="00722A69">
      <w:pPr>
        <w:pStyle w:val="Heading2"/>
      </w:pPr>
      <w:r>
        <w:t>Équipes d</w:t>
      </w:r>
      <w:r w:rsidR="00AB59CB">
        <w:t>’</w:t>
      </w:r>
      <w:r>
        <w:t>experts</w:t>
      </w:r>
    </w:p>
    <w:p w14:paraId="7EA0749B" w14:textId="172016EF" w:rsidR="00975CFC" w:rsidRPr="007C73B5" w:rsidRDefault="00975CFC" w:rsidP="00722A69">
      <w:pPr>
        <w:pStyle w:val="ONUMFS"/>
      </w:pPr>
      <w:r>
        <w:t>Pour permettre l</w:t>
      </w:r>
      <w:r w:rsidR="00AB59CB">
        <w:t>’</w:t>
      </w:r>
      <w:r>
        <w:t>examen d</w:t>
      </w:r>
      <w:r w:rsidR="00AB59CB">
        <w:t>’</w:t>
      </w:r>
      <w:r>
        <w:t>un point particulier, une équipe d</w:t>
      </w:r>
      <w:r w:rsidR="00AB59CB">
        <w:t>’</w:t>
      </w:r>
      <w:r>
        <w:t>experts est constituée selon les principes suivants</w:t>
      </w:r>
      <w:r w:rsidR="00AB59CB">
        <w:t> :</w:t>
      </w:r>
    </w:p>
    <w:p w14:paraId="6CA6670D" w14:textId="3F3FBD6F" w:rsidR="00975CFC" w:rsidRPr="007C73B5" w:rsidRDefault="00975CFC" w:rsidP="00722A69">
      <w:pPr>
        <w:pStyle w:val="ONUMFS"/>
        <w:numPr>
          <w:ilvl w:val="1"/>
          <w:numId w:val="6"/>
        </w:numPr>
      </w:pPr>
      <w:proofErr w:type="gramStart"/>
      <w:r>
        <w:t>la</w:t>
      </w:r>
      <w:proofErr w:type="gramEnd"/>
      <w:r>
        <w:t xml:space="preserve"> demande de création d</w:t>
      </w:r>
      <w:r w:rsidR="00AB59CB">
        <w:t>’</w:t>
      </w:r>
      <w:r>
        <w:t>une équipe d</w:t>
      </w:r>
      <w:r w:rsidR="00AB59CB">
        <w:t>’</w:t>
      </w:r>
      <w:r>
        <w:t>experts peut émaner d</w:t>
      </w:r>
      <w:r w:rsidR="00AB59CB">
        <w:t>’</w:t>
      </w:r>
      <w:r>
        <w:t>un membre ou du Bureau international;</w:t>
      </w:r>
    </w:p>
    <w:p w14:paraId="46CC4A98" w14:textId="3D3EC038" w:rsidR="00975CFC" w:rsidRPr="007C73B5" w:rsidRDefault="00975CFC" w:rsidP="00722A69">
      <w:pPr>
        <w:pStyle w:val="ONUMFS"/>
        <w:numPr>
          <w:ilvl w:val="1"/>
          <w:numId w:val="6"/>
        </w:numPr>
      </w:pPr>
      <w:proofErr w:type="gramStart"/>
      <w:r>
        <w:t>un</w:t>
      </w:r>
      <w:proofErr w:type="gramEnd"/>
      <w:r>
        <w:t xml:space="preserve"> mandat clair est établi par</w:t>
      </w:r>
      <w:r w:rsidR="00AB59CB">
        <w:t xml:space="preserve"> le CWS</w:t>
      </w:r>
      <w:r>
        <w:t xml:space="preserve"> avant les premiers débats de l</w:t>
      </w:r>
      <w:r w:rsidR="00AB59CB">
        <w:t>’</w:t>
      </w:r>
      <w:r>
        <w:t>équipe d</w:t>
      </w:r>
      <w:r w:rsidR="00AB59CB">
        <w:t>’</w:t>
      </w:r>
      <w:r>
        <w:t>experts;  ce document comporte les éléments suivants</w:t>
      </w:r>
      <w:r w:rsidR="00AB59CB">
        <w:t> :</w:t>
      </w:r>
    </w:p>
    <w:p w14:paraId="26568036" w14:textId="298785AE" w:rsidR="00975CFC" w:rsidRPr="007C73B5" w:rsidRDefault="00975CFC" w:rsidP="00722A69">
      <w:pPr>
        <w:pStyle w:val="ONUMFS"/>
        <w:numPr>
          <w:ilvl w:val="0"/>
          <w:numId w:val="18"/>
        </w:numPr>
        <w:tabs>
          <w:tab w:val="clear" w:pos="567"/>
          <w:tab w:val="left" w:pos="1701"/>
        </w:tabs>
        <w:ind w:left="1701" w:hanging="567"/>
      </w:pPr>
      <w:proofErr w:type="gramStart"/>
      <w:r>
        <w:t>les</w:t>
      </w:r>
      <w:proofErr w:type="gramEnd"/>
      <w:r>
        <w:t xml:space="preserve"> tâches que l</w:t>
      </w:r>
      <w:r w:rsidR="00AB59CB">
        <w:t>’</w:t>
      </w:r>
      <w:r>
        <w:t>équipe d</w:t>
      </w:r>
      <w:r w:rsidR="00AB59CB">
        <w:t>’</w:t>
      </w:r>
      <w:r>
        <w:t>experts doit mener à bien;</w:t>
      </w:r>
    </w:p>
    <w:p w14:paraId="5F816D09" w14:textId="0A732D7B" w:rsidR="00975CFC" w:rsidRPr="007C73B5" w:rsidRDefault="00975CFC" w:rsidP="00722A69">
      <w:pPr>
        <w:pStyle w:val="ONUMFS"/>
        <w:numPr>
          <w:ilvl w:val="0"/>
          <w:numId w:val="18"/>
        </w:numPr>
        <w:tabs>
          <w:tab w:val="clear" w:pos="567"/>
          <w:tab w:val="left" w:pos="1701"/>
        </w:tabs>
        <w:ind w:left="1701" w:hanging="567"/>
      </w:pPr>
      <w:proofErr w:type="gramStart"/>
      <w:r>
        <w:t>l</w:t>
      </w:r>
      <w:r w:rsidR="00AB59CB">
        <w:t>’</w:t>
      </w:r>
      <w:r>
        <w:t>indication</w:t>
      </w:r>
      <w:proofErr w:type="gramEnd"/>
      <w:r>
        <w:t xml:space="preserve"> du responsable de l</w:t>
      </w:r>
      <w:r w:rsidR="00AB59CB">
        <w:t>’</w:t>
      </w:r>
      <w:r>
        <w:t>équipe d</w:t>
      </w:r>
      <w:r w:rsidR="00AB59CB">
        <w:t>’</w:t>
      </w:r>
      <w:r>
        <w:t>experts;</w:t>
      </w:r>
    </w:p>
    <w:p w14:paraId="0340CECF" w14:textId="4220FC1F" w:rsidR="00975CFC" w:rsidRPr="007C73B5" w:rsidRDefault="00975CFC" w:rsidP="00722A69">
      <w:pPr>
        <w:pStyle w:val="ONUMFS"/>
        <w:numPr>
          <w:ilvl w:val="0"/>
          <w:numId w:val="18"/>
        </w:numPr>
        <w:tabs>
          <w:tab w:val="clear" w:pos="567"/>
          <w:tab w:val="left" w:pos="1701"/>
        </w:tabs>
        <w:ind w:left="1701" w:hanging="567"/>
      </w:pPr>
      <w:proofErr w:type="gramStart"/>
      <w:r>
        <w:t>l</w:t>
      </w:r>
      <w:r w:rsidR="00AB59CB">
        <w:t>’</w:t>
      </w:r>
      <w:r>
        <w:t>indication</w:t>
      </w:r>
      <w:proofErr w:type="gramEnd"/>
      <w:r>
        <w:t xml:space="preserve"> des compétences professionnelles ou techniques requises des délégués participant aux débats de l</w:t>
      </w:r>
      <w:r w:rsidR="00AB59CB">
        <w:t>’</w:t>
      </w:r>
      <w:r>
        <w:t>équipe d</w:t>
      </w:r>
      <w:r w:rsidR="00AB59CB">
        <w:t>’</w:t>
      </w:r>
      <w:r>
        <w:t>experts;  et</w:t>
      </w:r>
    </w:p>
    <w:p w14:paraId="684A9B30" w14:textId="10B3D5BC" w:rsidR="00975CFC" w:rsidRPr="007C73B5" w:rsidRDefault="00975CFC" w:rsidP="00722A69">
      <w:pPr>
        <w:pStyle w:val="ONUMFS"/>
        <w:numPr>
          <w:ilvl w:val="1"/>
          <w:numId w:val="6"/>
        </w:numPr>
      </w:pPr>
      <w:proofErr w:type="gramStart"/>
      <w:r>
        <w:t>les</w:t>
      </w:r>
      <w:proofErr w:type="gramEnd"/>
      <w:r>
        <w:t xml:space="preserve"> équipes d</w:t>
      </w:r>
      <w:r w:rsidR="00AB59CB">
        <w:t>’</w:t>
      </w:r>
      <w:r>
        <w:t>experts font rapport</w:t>
      </w:r>
      <w:r w:rsidR="00AB59CB">
        <w:t xml:space="preserve"> au CWS</w:t>
      </w:r>
      <w:r>
        <w:t>.</w:t>
      </w:r>
    </w:p>
    <w:p w14:paraId="11305EED" w14:textId="3F087A35" w:rsidR="00975CFC" w:rsidRPr="007C73B5" w:rsidDel="00EA2A86" w:rsidRDefault="00975CFC" w:rsidP="00722A69">
      <w:pPr>
        <w:pStyle w:val="ONUMFS"/>
      </w:pPr>
      <w:r>
        <w:t>Le Secrétariat établit et administre un forum électronique pour chaque équipe d</w:t>
      </w:r>
      <w:r w:rsidR="00AB59CB">
        <w:t>’</w:t>
      </w:r>
      <w:r>
        <w:t>experts et fournit au responsable de chaque équipe d</w:t>
      </w:r>
      <w:r w:rsidR="00AB59CB">
        <w:t>’</w:t>
      </w:r>
      <w:r>
        <w:t>experts l</w:t>
      </w:r>
      <w:r w:rsidR="00AB59CB">
        <w:t>’</w:t>
      </w:r>
      <w:r>
        <w:t>assistance nécessaire pour lui permettre de s</w:t>
      </w:r>
      <w:r w:rsidR="00AB59CB">
        <w:t>’</w:t>
      </w:r>
      <w:r>
        <w:t>acquitter de ses fonctions.</w:t>
      </w:r>
    </w:p>
    <w:p w14:paraId="07B67674" w14:textId="051E8124" w:rsidR="00975CFC" w:rsidRPr="007C73B5" w:rsidRDefault="00975CFC" w:rsidP="00722A69">
      <w:pPr>
        <w:pStyle w:val="ONUMFS"/>
      </w:pPr>
      <w:r>
        <w:t>Le Secrétariat invite les membres et les observateurs</w:t>
      </w:r>
      <w:r w:rsidR="00AB59CB">
        <w:t xml:space="preserve"> du CWS</w:t>
      </w:r>
      <w:r>
        <w:t xml:space="preserve"> à désigner des représentants appelés à participer aux travaux de l</w:t>
      </w:r>
      <w:r w:rsidR="00AB59CB">
        <w:t>’</w:t>
      </w:r>
      <w:r>
        <w:t>équipe d</w:t>
      </w:r>
      <w:r w:rsidR="00AB59CB">
        <w:t>’</w:t>
      </w:r>
      <w:r>
        <w:t>experts et précise en particulier les compétences professionnelles ou techniques requis</w:t>
      </w:r>
      <w:r w:rsidR="0064519D">
        <w:t>es.  Le</w:t>
      </w:r>
      <w:r>
        <w:t xml:space="preserve">s membres et les observateurs </w:t>
      </w:r>
      <w:r w:rsidR="0080598F">
        <w:t>doivent</w:t>
      </w:r>
      <w:r>
        <w:t xml:space="preserve"> informer le Secrétariat du statut de leurs représentants dès que leurs représentants auprès de l</w:t>
      </w:r>
      <w:r w:rsidR="00AB59CB">
        <w:t>’</w:t>
      </w:r>
      <w:r>
        <w:t>équipe d</w:t>
      </w:r>
      <w:r w:rsidR="00AB59CB">
        <w:t>’</w:t>
      </w:r>
      <w:r>
        <w:t>experts ont été remplacés, afin que la composition de l</w:t>
      </w:r>
      <w:r w:rsidR="00AB59CB">
        <w:t>’</w:t>
      </w:r>
      <w:r>
        <w:t>équipe d</w:t>
      </w:r>
      <w:r w:rsidR="00AB59CB">
        <w:t>’</w:t>
      </w:r>
      <w:r>
        <w:t>experts soit à jour.</w:t>
      </w:r>
    </w:p>
    <w:p w14:paraId="7DEAF722" w14:textId="25702E08" w:rsidR="00975CFC" w:rsidRPr="007C73B5" w:rsidRDefault="00975CFC" w:rsidP="00722A69">
      <w:pPr>
        <w:pStyle w:val="ONUMFS"/>
      </w:pPr>
      <w:r>
        <w:t>Le statut d</w:t>
      </w:r>
      <w:r w:rsidR="00AB59CB">
        <w:t>’</w:t>
      </w:r>
      <w:r>
        <w:t>observateur sur le forum électronique d</w:t>
      </w:r>
      <w:r w:rsidR="00AB59CB">
        <w:t>’</w:t>
      </w:r>
      <w:r>
        <w:t>une équipe d</w:t>
      </w:r>
      <w:r w:rsidR="00AB59CB">
        <w:t>’</w:t>
      </w:r>
      <w:r>
        <w:t>experts peut être accordé aux partenaires extérieurs d</w:t>
      </w:r>
      <w:r w:rsidR="00AB59CB">
        <w:t>’</w:t>
      </w:r>
      <w:r>
        <w:t>un office de propriété intellectuelle si la demande émane directement d</w:t>
      </w:r>
      <w:r w:rsidR="00AB59CB">
        <w:t>’</w:t>
      </w:r>
      <w:r>
        <w:t>un membre.</w:t>
      </w:r>
    </w:p>
    <w:p w14:paraId="3A17DFFE" w14:textId="2E1BF5C9" w:rsidR="00975CFC" w:rsidRPr="007C73B5" w:rsidRDefault="00975CFC" w:rsidP="00722A69">
      <w:pPr>
        <w:pStyle w:val="ONUMFS"/>
      </w:pPr>
      <w:r>
        <w:t>Les équipes d</w:t>
      </w:r>
      <w:r w:rsidR="00AB59CB">
        <w:t>’</w:t>
      </w:r>
      <w:r>
        <w:t xml:space="preserve">experts </w:t>
      </w:r>
      <w:r w:rsidR="0080598F">
        <w:t>doivent</w:t>
      </w:r>
      <w:r>
        <w:t xml:space="preserve"> s</w:t>
      </w:r>
      <w:r w:rsidR="00AB59CB">
        <w:t>’</w:t>
      </w:r>
      <w:r>
        <w:t>acquitter de leurs fonctions en s</w:t>
      </w:r>
      <w:r w:rsidR="00AB59CB">
        <w:t>’</w:t>
      </w:r>
      <w:r>
        <w:t>adaptant à la situati</w:t>
      </w:r>
      <w:r w:rsidR="0064519D">
        <w:t>on.  El</w:t>
      </w:r>
      <w:r>
        <w:t>les travaillent normalement en utilisant les forums électroniques, mais peuvent aussi tenir des réunions en personne ou à distance si nécessai</w:t>
      </w:r>
      <w:r w:rsidR="0064519D">
        <w:t>re.  Le</w:t>
      </w:r>
      <w:r>
        <w:t>s informations examinées et les travaux accomplis par une équipe d</w:t>
      </w:r>
      <w:r w:rsidR="00AB59CB">
        <w:t>’</w:t>
      </w:r>
      <w:r>
        <w:t>experts lors d</w:t>
      </w:r>
      <w:r w:rsidR="00AB59CB">
        <w:t>’</w:t>
      </w:r>
      <w:r>
        <w:t>une réunion sont publiés sur le forum électronique pour permettre aux membres de l</w:t>
      </w:r>
      <w:r w:rsidR="00AB59CB">
        <w:t>’</w:t>
      </w:r>
      <w:r>
        <w:t>équipe et aux observateurs qui n</w:t>
      </w:r>
      <w:r w:rsidR="00AB59CB">
        <w:t>’</w:t>
      </w:r>
      <w:r>
        <w:t>ont pas pu assister à la réunion de donner leur</w:t>
      </w:r>
      <w:r w:rsidR="0080598F">
        <w:t> </w:t>
      </w:r>
      <w:r>
        <w:t>point de vue.</w:t>
      </w:r>
    </w:p>
    <w:p w14:paraId="28570717" w14:textId="26BDC41E" w:rsidR="00E47984" w:rsidRDefault="00975CFC" w:rsidP="00722A69">
      <w:pPr>
        <w:pStyle w:val="ONUMFS"/>
      </w:pPr>
      <w:r>
        <w:t>Le responsable de l</w:t>
      </w:r>
      <w:r w:rsidR="00AB59CB">
        <w:t>’</w:t>
      </w:r>
      <w:r>
        <w:t>équipe d</w:t>
      </w:r>
      <w:r w:rsidR="00AB59CB">
        <w:t>’</w:t>
      </w:r>
      <w:r>
        <w:t>experts est chargé de lancer et de conduire les débats, de rendre compte</w:t>
      </w:r>
      <w:r w:rsidR="00AB59CB">
        <w:t xml:space="preserve"> au CWS</w:t>
      </w:r>
      <w:r>
        <w:t xml:space="preserve"> des conclusions de l</w:t>
      </w:r>
      <w:r w:rsidR="00AB59CB">
        <w:t>’</w:t>
      </w:r>
      <w:r>
        <w:t>équipe d</w:t>
      </w:r>
      <w:r w:rsidR="00AB59CB">
        <w:t>’</w:t>
      </w:r>
      <w:r>
        <w:t>experts et de soumettre, par l</w:t>
      </w:r>
      <w:r w:rsidR="00AB59CB">
        <w:t>’</w:t>
      </w:r>
      <w:r>
        <w:t>intermédiaire du Secrétariat, les propositions correspondantes à l</w:t>
      </w:r>
      <w:r w:rsidR="00AB59CB">
        <w:t>’</w:t>
      </w:r>
      <w:r>
        <w:t>examen</w:t>
      </w:r>
      <w:r w:rsidR="00AB59CB">
        <w:t xml:space="preserve"> du </w:t>
      </w:r>
      <w:r w:rsidR="0064519D">
        <w:t>CWS.  Si</w:t>
      </w:r>
      <w:r>
        <w:t xml:space="preserve"> nécessaire, en concertation avec le responsable de l</w:t>
      </w:r>
      <w:r w:rsidR="00AB59CB">
        <w:t>’</w:t>
      </w:r>
      <w:r>
        <w:t>équipe d</w:t>
      </w:r>
      <w:r w:rsidR="00AB59CB">
        <w:t>’</w:t>
      </w:r>
      <w:r>
        <w:t>experts, le Secrétariat peut conduire les débats de l</w:t>
      </w:r>
      <w:r w:rsidR="00AB59CB">
        <w:t>’</w:t>
      </w:r>
      <w:r>
        <w:t>équipe d</w:t>
      </w:r>
      <w:r w:rsidR="00AB59CB">
        <w:t>’</w:t>
      </w:r>
      <w:r>
        <w:t>experts ou faire rapport</w:t>
      </w:r>
      <w:r w:rsidR="00AB59CB">
        <w:t xml:space="preserve"> au CWS</w:t>
      </w:r>
      <w:r w:rsidR="00BC6954">
        <w:t xml:space="preserve"> </w:t>
      </w:r>
      <w:r w:rsidR="00F27913">
        <w:t>sur les</w:t>
      </w:r>
      <w:r>
        <w:t xml:space="preserve"> activités de l</w:t>
      </w:r>
      <w:r w:rsidR="00AB59CB">
        <w:t>’</w:t>
      </w:r>
      <w:r>
        <w:t>équipe d</w:t>
      </w:r>
      <w:r w:rsidR="00AB59CB">
        <w:t>’</w:t>
      </w:r>
      <w:r>
        <w:t>experts au nom du responsable de l</w:t>
      </w:r>
      <w:r w:rsidR="00AB59CB">
        <w:t>’</w:t>
      </w:r>
      <w:r>
        <w:t>équipe d</w:t>
      </w:r>
      <w:r w:rsidR="00AB59CB">
        <w:t>’</w:t>
      </w:r>
      <w:r>
        <w:t>experts.</w:t>
      </w:r>
    </w:p>
    <w:p w14:paraId="2DB7B8ED" w14:textId="0D117CF8" w:rsidR="00975CFC" w:rsidRPr="007C73B5" w:rsidRDefault="00E47984" w:rsidP="00722A69">
      <w:pPr>
        <w:pStyle w:val="ONUMFS"/>
      </w:pPr>
      <w:r>
        <w:t>Le CWS examine et révise les recommandations des équipes d</w:t>
      </w:r>
      <w:r w:rsidR="00AB59CB">
        <w:t>’</w:t>
      </w:r>
      <w:r>
        <w:t>experts et il prend les décisions appropriées à cet égard ou renvoie les recommandations à l</w:t>
      </w:r>
      <w:r w:rsidR="00AB59CB">
        <w:t>’</w:t>
      </w:r>
      <w:r>
        <w:t>équipe d</w:t>
      </w:r>
      <w:r w:rsidR="00AB59CB">
        <w:t>’</w:t>
      </w:r>
      <w:r>
        <w:t>experts concernée pour complément d</w:t>
      </w:r>
      <w:r w:rsidR="00AB59CB">
        <w:t>’</w:t>
      </w:r>
      <w:r>
        <w:t>examen.</w:t>
      </w:r>
    </w:p>
    <w:p w14:paraId="5CAAEDBC" w14:textId="14D83ABF" w:rsidR="002928D3" w:rsidRPr="00722A69" w:rsidRDefault="00975CFC" w:rsidP="00722A69">
      <w:pPr>
        <w:pStyle w:val="Endofdocument-Annex"/>
      </w:pPr>
      <w:r w:rsidRPr="00722A69">
        <w:t>[Fin de l</w:t>
      </w:r>
      <w:r w:rsidR="00AB59CB">
        <w:t>’</w:t>
      </w:r>
      <w:r w:rsidRPr="00722A69">
        <w:t>annexe et du document]</w:t>
      </w:r>
    </w:p>
    <w:sectPr w:rsidR="002928D3" w:rsidRPr="00722A69" w:rsidSect="00722A69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A1001" w14:textId="77777777" w:rsidR="004C4FF7" w:rsidRDefault="004C4FF7">
      <w:r>
        <w:separator/>
      </w:r>
    </w:p>
  </w:endnote>
  <w:endnote w:type="continuationSeparator" w:id="0">
    <w:p w14:paraId="3E8034BA" w14:textId="77777777" w:rsidR="004C4FF7" w:rsidRDefault="004C4FF7" w:rsidP="003B38C1">
      <w:r>
        <w:separator/>
      </w:r>
    </w:p>
    <w:p w14:paraId="57739AB6" w14:textId="77777777" w:rsidR="004C4FF7" w:rsidRPr="00663E16" w:rsidRDefault="004C4FF7" w:rsidP="003B38C1">
      <w:pPr>
        <w:spacing w:after="60"/>
        <w:rPr>
          <w:sz w:val="17"/>
          <w:lang w:val="en-US"/>
        </w:rPr>
      </w:pPr>
      <w:r w:rsidRPr="00663E16">
        <w:rPr>
          <w:sz w:val="17"/>
          <w:lang w:val="en-US"/>
        </w:rPr>
        <w:t>[Endnote continued from previous page]</w:t>
      </w:r>
    </w:p>
  </w:endnote>
  <w:endnote w:type="continuationNotice" w:id="1">
    <w:p w14:paraId="5741C540" w14:textId="77777777" w:rsidR="004C4FF7" w:rsidRPr="00663E16" w:rsidRDefault="004C4FF7" w:rsidP="003B38C1">
      <w:pPr>
        <w:spacing w:before="60"/>
        <w:jc w:val="right"/>
        <w:rPr>
          <w:sz w:val="17"/>
          <w:szCs w:val="17"/>
          <w:lang w:val="en-US"/>
        </w:rPr>
      </w:pPr>
      <w:r w:rsidRPr="00663E16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C0AE0" w14:textId="77777777" w:rsidR="004C4FF7" w:rsidRDefault="004C4FF7">
      <w:r>
        <w:separator/>
      </w:r>
    </w:p>
  </w:footnote>
  <w:footnote w:type="continuationSeparator" w:id="0">
    <w:p w14:paraId="0619E7DD" w14:textId="77777777" w:rsidR="004C4FF7" w:rsidRDefault="004C4FF7" w:rsidP="008B60B2">
      <w:r>
        <w:separator/>
      </w:r>
    </w:p>
    <w:p w14:paraId="2AE0C348" w14:textId="77777777" w:rsidR="004C4FF7" w:rsidRPr="00663E16" w:rsidRDefault="004C4FF7" w:rsidP="008B60B2">
      <w:pPr>
        <w:spacing w:after="60"/>
        <w:rPr>
          <w:sz w:val="17"/>
          <w:szCs w:val="17"/>
          <w:lang w:val="en-US"/>
        </w:rPr>
      </w:pPr>
      <w:r w:rsidRPr="00663E16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A0FB578" w14:textId="77777777" w:rsidR="004C4FF7" w:rsidRPr="00663E16" w:rsidRDefault="004C4FF7" w:rsidP="008B60B2">
      <w:pPr>
        <w:spacing w:before="60"/>
        <w:jc w:val="right"/>
        <w:rPr>
          <w:sz w:val="17"/>
          <w:szCs w:val="17"/>
          <w:lang w:val="en-US"/>
        </w:rPr>
      </w:pPr>
      <w:r w:rsidRPr="00663E16">
        <w:rPr>
          <w:sz w:val="17"/>
          <w:szCs w:val="17"/>
          <w:lang w:val="en-US"/>
        </w:rPr>
        <w:t>[Footnote continued on next page]</w:t>
      </w:r>
    </w:p>
  </w:footnote>
  <w:footnote w:id="2">
    <w:p w14:paraId="7F18FA88" w14:textId="60991EF6" w:rsidR="002223DA" w:rsidRDefault="002223DA" w:rsidP="00722A69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722A69">
        <w:tab/>
      </w:r>
      <w:r>
        <w:rPr>
          <w:u w:val="single"/>
        </w:rPr>
        <w:t>Le paragraphe</w:t>
      </w:r>
      <w:r w:rsidR="00881EE2">
        <w:rPr>
          <w:u w:val="single"/>
        </w:rPr>
        <w:t> </w:t>
      </w:r>
      <w:r>
        <w:rPr>
          <w:u w:val="single"/>
        </w:rPr>
        <w:t>249 du document WO/GA/38/20</w:t>
      </w:r>
      <w:r>
        <w:t xml:space="preserve"> est libellé comme suit</w:t>
      </w:r>
      <w:r w:rsidR="002353A1">
        <w:t> :</w:t>
      </w:r>
      <w:r>
        <w:t xml:space="preserve"> “L</w:t>
      </w:r>
      <w:r w:rsidR="00785847">
        <w:t>’</w:t>
      </w:r>
      <w:r>
        <w:t>Assemblée générale a approuvé la proposition figurant aux paragraphes</w:t>
      </w:r>
      <w:r w:rsidR="00881EE2">
        <w:t> </w:t>
      </w:r>
      <w:r>
        <w:t>11 à 16 du document WO/GA/38/10 sous réserve des modifications proposées par la délégation de l</w:t>
      </w:r>
      <w:r w:rsidR="00785847">
        <w:t>’</w:t>
      </w:r>
      <w:r>
        <w:t>Argentine concernant la création et le mandat</w:t>
      </w:r>
      <w:r w:rsidR="00785847">
        <w:t xml:space="preserve"> du CWS</w:t>
      </w:r>
      <w:r>
        <w:t>, et a reporté la question de la création</w:t>
      </w:r>
      <w:r w:rsidR="00785847">
        <w:t xml:space="preserve"> du CGI</w:t>
      </w:r>
      <w:r>
        <w:t xml:space="preserve"> à la prochaine session d</w:t>
      </w:r>
      <w:r w:rsidR="00722A69">
        <w:t>e l</w:t>
      </w:r>
      <w:r w:rsidR="00785847">
        <w:t>’</w:t>
      </w:r>
      <w:r w:rsidR="00722A69">
        <w:t xml:space="preserve">Assemblée générale, </w:t>
      </w:r>
      <w:r w:rsidR="00785847">
        <w:t>en 2010</w:t>
      </w:r>
      <w:r>
        <w:t>”</w:t>
      </w:r>
      <w:r w:rsidR="00722A69">
        <w:t>.</w:t>
      </w:r>
    </w:p>
    <w:p w14:paraId="7C502B23" w14:textId="77777777" w:rsidR="002223DA" w:rsidRDefault="002223DA" w:rsidP="00722A69">
      <w:pPr>
        <w:pStyle w:val="FootnoteText"/>
        <w:tabs>
          <w:tab w:val="left" w:pos="567"/>
        </w:tabs>
      </w:pPr>
    </w:p>
    <w:p w14:paraId="2A95547D" w14:textId="7D193EA3" w:rsidR="00785847" w:rsidRDefault="001D47A2" w:rsidP="00722A69">
      <w:pPr>
        <w:pStyle w:val="FootnoteText"/>
        <w:tabs>
          <w:tab w:val="left" w:pos="567"/>
        </w:tabs>
      </w:pPr>
      <w:r>
        <w:rPr>
          <w:u w:val="single"/>
        </w:rPr>
        <w:t>Le</w:t>
      </w:r>
      <w:r w:rsidR="00967391">
        <w:rPr>
          <w:u w:val="single"/>
        </w:rPr>
        <w:t>s</w:t>
      </w:r>
      <w:r>
        <w:rPr>
          <w:u w:val="single"/>
        </w:rPr>
        <w:t xml:space="preserve"> paragraphe</w:t>
      </w:r>
      <w:r w:rsidR="00967391">
        <w:rPr>
          <w:u w:val="single"/>
        </w:rPr>
        <w:t>s</w:t>
      </w:r>
      <w:r w:rsidR="00881EE2">
        <w:rPr>
          <w:u w:val="single"/>
        </w:rPr>
        <w:t> </w:t>
      </w:r>
      <w:r>
        <w:rPr>
          <w:u w:val="single"/>
        </w:rPr>
        <w:t>11</w:t>
      </w:r>
      <w:r w:rsidR="00967391">
        <w:rPr>
          <w:u w:val="single"/>
        </w:rPr>
        <w:t xml:space="preserve"> à 16</w:t>
      </w:r>
      <w:r>
        <w:rPr>
          <w:u w:val="single"/>
        </w:rPr>
        <w:t xml:space="preserve"> du document WO/GA/38/10</w:t>
      </w:r>
      <w:r>
        <w:t xml:space="preserve"> </w:t>
      </w:r>
      <w:r w:rsidR="00967391">
        <w:t>sont</w:t>
      </w:r>
      <w:r>
        <w:t xml:space="preserve"> libellé</w:t>
      </w:r>
      <w:r w:rsidR="00967391">
        <w:t>s</w:t>
      </w:r>
      <w:r>
        <w:t xml:space="preserve"> comme suit</w:t>
      </w:r>
      <w:r w:rsidR="00785847">
        <w:t> :</w:t>
      </w:r>
    </w:p>
    <w:p w14:paraId="073C4089" w14:textId="05CD2872" w:rsidR="002223DA" w:rsidRDefault="002223DA" w:rsidP="00722A69">
      <w:pPr>
        <w:pStyle w:val="FootnoteText"/>
        <w:tabs>
          <w:tab w:val="left" w:pos="567"/>
        </w:tabs>
      </w:pPr>
    </w:p>
    <w:p w14:paraId="2D846A63" w14:textId="7CA70358" w:rsidR="002223DA" w:rsidRDefault="002223DA" w:rsidP="00722A69">
      <w:pPr>
        <w:pStyle w:val="FootnoteText"/>
        <w:tabs>
          <w:tab w:val="left" w:pos="567"/>
        </w:tabs>
      </w:pPr>
      <w:r>
        <w:t>“11.  Il est proposé de remplacer</w:t>
      </w:r>
      <w:r w:rsidR="00785847">
        <w:t xml:space="preserve"> le SCI</w:t>
      </w:r>
      <w:r>
        <w:t>T par les deux</w:t>
      </w:r>
      <w:r w:rsidR="002353A1">
        <w:t> </w:t>
      </w:r>
      <w:r>
        <w:t>organes ci</w:t>
      </w:r>
      <w:r w:rsidR="00F47033">
        <w:noBreakHyphen/>
      </w:r>
      <w:r>
        <w:t>après dès le début du prochain exercice biennal</w:t>
      </w:r>
      <w:r w:rsidR="00881EE2">
        <w:t> </w:t>
      </w:r>
      <w:r>
        <w:t>2010</w:t>
      </w:r>
      <w:r w:rsidR="00F47033">
        <w:noBreakHyphen/>
      </w:r>
      <w:r>
        <w:t>2011</w:t>
      </w:r>
      <w:r w:rsidR="00785847">
        <w:t> :</w:t>
      </w:r>
      <w:r>
        <w:t xml:space="preserve"> i)</w:t>
      </w:r>
      <w:r w:rsidR="002353A1">
        <w:t> </w:t>
      </w:r>
      <w:r>
        <w:t>Comité des normes de l</w:t>
      </w:r>
      <w:r w:rsidR="00785847">
        <w:t>’</w:t>
      </w:r>
      <w:r w:rsidR="0064519D">
        <w:t>OMPI (CWS) et </w:t>
      </w:r>
      <w:r>
        <w:t>ii)</w:t>
      </w:r>
      <w:r w:rsidR="002353A1">
        <w:t> </w:t>
      </w:r>
      <w:r w:rsidR="0064519D">
        <w:t>C</w:t>
      </w:r>
      <w:r w:rsidR="002353A1">
        <w:t>omité</w:t>
      </w:r>
      <w:r>
        <w:t xml:space="preserve"> sur l</w:t>
      </w:r>
      <w:r w:rsidR="00785847">
        <w:t>’</w:t>
      </w:r>
      <w:r>
        <w:t>infrastructure mondiale en matière de propriété intellectuelle (CGI).</w:t>
      </w:r>
    </w:p>
    <w:p w14:paraId="24F4C2F1" w14:textId="01159083" w:rsidR="002223DA" w:rsidRDefault="0064519D" w:rsidP="00722A69">
      <w:pPr>
        <w:pStyle w:val="FootnoteText"/>
        <w:tabs>
          <w:tab w:val="left" w:pos="567"/>
        </w:tabs>
      </w:pPr>
      <w:r>
        <w:t>“</w:t>
      </w:r>
      <w:r w:rsidR="002223DA">
        <w:t>12.  Ces comités travailleraient indépendamment et, selon le cas, établiraient des propositions ou des rapports d</w:t>
      </w:r>
      <w:r w:rsidR="00785847">
        <w:t>’</w:t>
      </w:r>
      <w:r w:rsidR="002223DA">
        <w:t>activité aux fins de leur examen par l</w:t>
      </w:r>
      <w:r w:rsidR="00785847">
        <w:t>’</w:t>
      </w:r>
      <w:r w:rsidR="002223DA">
        <w:t>Assemblée générale de l</w:t>
      </w:r>
      <w:r w:rsidR="00785847">
        <w:t>’</w:t>
      </w:r>
      <w:r w:rsidR="002223DA">
        <w:t>OMPI ou par les assemblées compétentes.</w:t>
      </w:r>
    </w:p>
    <w:p w14:paraId="3315FC1C" w14:textId="1C28B429" w:rsidR="002223DA" w:rsidRDefault="0064519D" w:rsidP="00722A69">
      <w:pPr>
        <w:pStyle w:val="FootnoteText"/>
        <w:tabs>
          <w:tab w:val="left" w:pos="567"/>
        </w:tabs>
      </w:pPr>
      <w:r>
        <w:t>“</w:t>
      </w:r>
      <w:r w:rsidR="002223DA">
        <w:t xml:space="preserve">13. </w:t>
      </w:r>
      <w:r w:rsidR="00785847">
        <w:t xml:space="preserve"> Le CWS</w:t>
      </w:r>
      <w:r w:rsidR="002223DA">
        <w:t xml:space="preserve"> aurait pour mandat de poursuivre les travaux de révision et d</w:t>
      </w:r>
      <w:r w:rsidR="00785847">
        <w:t>’</w:t>
      </w:r>
      <w:r w:rsidR="002223DA">
        <w:t>élaboration des normes de l</w:t>
      </w:r>
      <w:r w:rsidR="00785847">
        <w:t>’</w:t>
      </w:r>
      <w:r w:rsidR="002223DA">
        <w:t>OMPI concernant l</w:t>
      </w:r>
      <w:r w:rsidR="00785847">
        <w:t>’</w:t>
      </w:r>
      <w:r w:rsidR="002223DA">
        <w:t>information en matière de propriété intellectuelle.  Il accomplirait, en réalité, les mêmes tâches que</w:t>
      </w:r>
      <w:r w:rsidR="00785847">
        <w:t xml:space="preserve"> le SDW</w:t>
      </w:r>
      <w:r w:rsidR="002223DA">
        <w:t>G, mais sous un nom différent.</w:t>
      </w:r>
    </w:p>
    <w:p w14:paraId="50645EA5" w14:textId="7D1D5A3D" w:rsidR="002223DA" w:rsidRDefault="0064519D" w:rsidP="00722A69">
      <w:pPr>
        <w:pStyle w:val="FootnoteText"/>
        <w:tabs>
          <w:tab w:val="left" w:pos="567"/>
        </w:tabs>
      </w:pPr>
      <w:r>
        <w:t>“</w:t>
      </w:r>
      <w:r w:rsidR="002223DA">
        <w:t xml:space="preserve">14. </w:t>
      </w:r>
      <w:r w:rsidR="00785847">
        <w:t xml:space="preserve"> Le CGI</w:t>
      </w:r>
      <w:r w:rsidR="002223DA">
        <w:t xml:space="preserve"> aurait pour mandat d</w:t>
      </w:r>
      <w:r w:rsidR="00785847">
        <w:t>’</w:t>
      </w:r>
      <w:r w:rsidR="002223DA">
        <w:t>examiner des questions relatives à l</w:t>
      </w:r>
      <w:r w:rsidR="00785847">
        <w:t>’</w:t>
      </w:r>
      <w:r w:rsidR="002223DA">
        <w:t>infrastructure mondiale en matière de propriété intellectuelle qui ne relèveraient pas des compétences</w:t>
      </w:r>
      <w:r w:rsidR="00785847">
        <w:t xml:space="preserve"> du CWS</w:t>
      </w:r>
      <w:r w:rsidR="002223DA">
        <w:t>.  Ces questions portent notamment sur l</w:t>
      </w:r>
      <w:r w:rsidR="00785847">
        <w:t>’</w:t>
      </w:r>
      <w:r w:rsidR="002223DA">
        <w:t>élaboration de pratiques recommandées, d</w:t>
      </w:r>
      <w:r w:rsidR="00785847">
        <w:t>’</w:t>
      </w:r>
      <w:r w:rsidR="002223DA">
        <w:t>instruments communs et d</w:t>
      </w:r>
      <w:r w:rsidR="00785847">
        <w:t>’</w:t>
      </w:r>
      <w:r w:rsidR="002223DA">
        <w:t>approches cohérentes concernant divers projets visant à renforcer la coopération internationale et l</w:t>
      </w:r>
      <w:r w:rsidR="00785847">
        <w:t>’</w:t>
      </w:r>
      <w:r w:rsidR="002223DA">
        <w:t>échange de données et d</w:t>
      </w:r>
      <w:r w:rsidR="00785847">
        <w:t>’</w:t>
      </w:r>
      <w:r w:rsidR="002223DA">
        <w:t>informations relatives à la propriété intellectuelle.</w:t>
      </w:r>
    </w:p>
    <w:p w14:paraId="669A7688" w14:textId="6B4F2BF6" w:rsidR="002223DA" w:rsidRDefault="0064519D" w:rsidP="00722A69">
      <w:pPr>
        <w:pStyle w:val="FootnoteText"/>
        <w:tabs>
          <w:tab w:val="left" w:pos="567"/>
        </w:tabs>
      </w:pPr>
      <w:r>
        <w:t>“</w:t>
      </w:r>
      <w:r w:rsidR="002223DA">
        <w:t>15.  Les méthodes de travail et les procédures</w:t>
      </w:r>
      <w:r w:rsidR="00785847">
        <w:t xml:space="preserve"> du SCI</w:t>
      </w:r>
      <w:r w:rsidR="002223DA">
        <w:t>T (document SCIT/7/14) étant bien connues des États membres, il est proposé de les appliquer mutatis mutandis aux nouveaux comités.</w:t>
      </w:r>
    </w:p>
    <w:p w14:paraId="3AEAC4AF" w14:textId="4100A9DE" w:rsidR="002223DA" w:rsidRDefault="0064519D" w:rsidP="00722A69">
      <w:pPr>
        <w:pStyle w:val="FootnoteText"/>
        <w:tabs>
          <w:tab w:val="left" w:pos="567"/>
        </w:tabs>
      </w:pPr>
      <w:r>
        <w:t>“</w:t>
      </w:r>
      <w:r w:rsidR="002223DA">
        <w:t xml:space="preserve">16. </w:t>
      </w:r>
      <w:r w:rsidR="00785847">
        <w:t xml:space="preserve"> Le CWS</w:t>
      </w:r>
      <w:r w:rsidR="002223DA">
        <w:t xml:space="preserve"> se réunirait en principe une fois par an et</w:t>
      </w:r>
      <w:r w:rsidR="00785847">
        <w:t xml:space="preserve"> le CGI</w:t>
      </w:r>
      <w:r w:rsidR="002223DA">
        <w:t xml:space="preserve"> autant que de besoin.  Pour le prochain exercice biennal</w:t>
      </w:r>
      <w:r w:rsidR="00881EE2">
        <w:t> </w:t>
      </w:r>
      <w:r w:rsidR="002223DA">
        <w:t>2010</w:t>
      </w:r>
      <w:r w:rsidR="00F47033">
        <w:noBreakHyphen/>
      </w:r>
      <w:r w:rsidR="002223DA">
        <w:t>2011, les ressources requises pour organiser deux</w:t>
      </w:r>
      <w:r w:rsidR="002353A1">
        <w:t> </w:t>
      </w:r>
      <w:r w:rsidR="002223DA">
        <w:t>sessions</w:t>
      </w:r>
      <w:r w:rsidR="00785847">
        <w:t xml:space="preserve"> du CWS</w:t>
      </w:r>
      <w:r w:rsidR="002223DA">
        <w:t xml:space="preserve"> et une session</w:t>
      </w:r>
      <w:r w:rsidR="00785847">
        <w:t xml:space="preserve"> du CGI</w:t>
      </w:r>
      <w:r w:rsidR="002223DA">
        <w:t xml:space="preserve"> sont proposées dans le projet de programme et budget au titre des programmes</w:t>
      </w:r>
      <w:r w:rsidR="00881EE2">
        <w:t> </w:t>
      </w:r>
      <w:r w:rsidR="002223DA">
        <w:t>12, 14 et 15”</w:t>
      </w:r>
      <w:r w:rsidR="00722A6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CBF0B" w14:textId="51A1F570" w:rsidR="000879EE" w:rsidRDefault="000879EE" w:rsidP="000879EE">
    <w:pPr>
      <w:jc w:val="right"/>
    </w:pPr>
    <w:r>
      <w:t>CWS/10/2</w:t>
    </w:r>
  </w:p>
  <w:p w14:paraId="255D4334" w14:textId="08D02148" w:rsidR="000879EE" w:rsidRDefault="000879EE" w:rsidP="00722A69">
    <w:pPr>
      <w:spacing w:after="480"/>
      <w:jc w:val="right"/>
    </w:pPr>
    <w:r>
      <w:t>Annexe, page</w:t>
    </w:r>
    <w:r w:rsidR="00722A6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22A6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1CDA4" w14:textId="77777777" w:rsidR="00722A69" w:rsidRDefault="00722A69" w:rsidP="00722A69">
    <w:pPr>
      <w:jc w:val="right"/>
    </w:pPr>
    <w:r>
      <w:t>CWS/10/2</w:t>
    </w:r>
  </w:p>
  <w:p w14:paraId="25EACC6B" w14:textId="63BF66CE" w:rsidR="00722A69" w:rsidRDefault="00722A69" w:rsidP="00722A69">
    <w:pPr>
      <w:spacing w:after="480"/>
      <w:jc w:val="right"/>
    </w:pPr>
    <w:r>
      <w:t>Annexe, page </w:t>
    </w:r>
    <w:r>
      <w:fldChar w:fldCharType="begin"/>
    </w:r>
    <w:r>
      <w:instrText xml:space="preserve"> PAGE  \* MERGEFORMAT </w:instrText>
    </w:r>
    <w:r>
      <w:fldChar w:fldCharType="separate"/>
    </w:r>
    <w:r w:rsidR="00590E1B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64BE9" w14:textId="1A553AA5" w:rsidR="00366BE7" w:rsidRDefault="00366BE7" w:rsidP="00BB74B8">
    <w:pPr>
      <w:jc w:val="right"/>
    </w:pPr>
    <w:r>
      <w:t>CWS/10/2</w:t>
    </w:r>
  </w:p>
  <w:p w14:paraId="089B4627" w14:textId="2D72395C" w:rsidR="00366BE7" w:rsidRDefault="00366BE7" w:rsidP="00722A69">
    <w:pPr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181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5C0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CE55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225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E56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24D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520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3848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28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F5BB4"/>
    <w:multiLevelType w:val="hybridMultilevel"/>
    <w:tmpl w:val="8E861556"/>
    <w:lvl w:ilvl="0" w:tplc="51603708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 w15:restartNumberingAfterBreak="0">
    <w:nsid w:val="6ABD23AD"/>
    <w:multiLevelType w:val="multilevel"/>
    <w:tmpl w:val="C68EBD08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740A6DC3"/>
    <w:multiLevelType w:val="hybridMultilevel"/>
    <w:tmpl w:val="7D8A7CBC"/>
    <w:lvl w:ilvl="0" w:tplc="0C0A0017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12"/>
  </w:num>
  <w:num w:numId="7">
    <w:abstractNumId w:val="17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FC"/>
    <w:rsid w:val="00043CAA"/>
    <w:rsid w:val="00047B6B"/>
    <w:rsid w:val="000565D8"/>
    <w:rsid w:val="00075432"/>
    <w:rsid w:val="00076D20"/>
    <w:rsid w:val="0008721C"/>
    <w:rsid w:val="000879EE"/>
    <w:rsid w:val="00091A3B"/>
    <w:rsid w:val="00096023"/>
    <w:rsid w:val="000968ED"/>
    <w:rsid w:val="000B75E0"/>
    <w:rsid w:val="000E7543"/>
    <w:rsid w:val="000F5E56"/>
    <w:rsid w:val="001004A8"/>
    <w:rsid w:val="001362EE"/>
    <w:rsid w:val="00157D18"/>
    <w:rsid w:val="001832A6"/>
    <w:rsid w:val="001877B5"/>
    <w:rsid w:val="00191E62"/>
    <w:rsid w:val="001B0890"/>
    <w:rsid w:val="001B24B6"/>
    <w:rsid w:val="001D47A2"/>
    <w:rsid w:val="00206FA3"/>
    <w:rsid w:val="002101B9"/>
    <w:rsid w:val="002223DA"/>
    <w:rsid w:val="002247B3"/>
    <w:rsid w:val="00227AE7"/>
    <w:rsid w:val="00230D89"/>
    <w:rsid w:val="002353A1"/>
    <w:rsid w:val="0023760C"/>
    <w:rsid w:val="0024385A"/>
    <w:rsid w:val="002634C4"/>
    <w:rsid w:val="002806C1"/>
    <w:rsid w:val="002928D3"/>
    <w:rsid w:val="002970E1"/>
    <w:rsid w:val="002C2A81"/>
    <w:rsid w:val="002C52C5"/>
    <w:rsid w:val="002C60E0"/>
    <w:rsid w:val="002D6C9F"/>
    <w:rsid w:val="002D765C"/>
    <w:rsid w:val="002E0AAA"/>
    <w:rsid w:val="002F1FE6"/>
    <w:rsid w:val="002F3259"/>
    <w:rsid w:val="002F4E68"/>
    <w:rsid w:val="003012AB"/>
    <w:rsid w:val="003016AD"/>
    <w:rsid w:val="00307E13"/>
    <w:rsid w:val="00312F7F"/>
    <w:rsid w:val="003228B7"/>
    <w:rsid w:val="003249C2"/>
    <w:rsid w:val="003306F8"/>
    <w:rsid w:val="00356E37"/>
    <w:rsid w:val="00357F52"/>
    <w:rsid w:val="00366BE7"/>
    <w:rsid w:val="003673CF"/>
    <w:rsid w:val="003728EB"/>
    <w:rsid w:val="0038348B"/>
    <w:rsid w:val="003845C1"/>
    <w:rsid w:val="003A6F89"/>
    <w:rsid w:val="003B32FF"/>
    <w:rsid w:val="003B38C1"/>
    <w:rsid w:val="003B7660"/>
    <w:rsid w:val="003F0D4D"/>
    <w:rsid w:val="003F1A1F"/>
    <w:rsid w:val="00410B62"/>
    <w:rsid w:val="00423E3E"/>
    <w:rsid w:val="00427535"/>
    <w:rsid w:val="00427AF4"/>
    <w:rsid w:val="004400E2"/>
    <w:rsid w:val="00442158"/>
    <w:rsid w:val="004553A4"/>
    <w:rsid w:val="00462F23"/>
    <w:rsid w:val="004647DA"/>
    <w:rsid w:val="00472B2C"/>
    <w:rsid w:val="00474062"/>
    <w:rsid w:val="00476281"/>
    <w:rsid w:val="00477D6B"/>
    <w:rsid w:val="00481B7D"/>
    <w:rsid w:val="00483ACD"/>
    <w:rsid w:val="00487F50"/>
    <w:rsid w:val="0049006C"/>
    <w:rsid w:val="0049048C"/>
    <w:rsid w:val="004B3944"/>
    <w:rsid w:val="004B40A4"/>
    <w:rsid w:val="004B5507"/>
    <w:rsid w:val="004C4FF7"/>
    <w:rsid w:val="004F3CFD"/>
    <w:rsid w:val="004F589E"/>
    <w:rsid w:val="00505EDB"/>
    <w:rsid w:val="0053057A"/>
    <w:rsid w:val="005364EC"/>
    <w:rsid w:val="00560A29"/>
    <w:rsid w:val="00565305"/>
    <w:rsid w:val="00572BDD"/>
    <w:rsid w:val="00583292"/>
    <w:rsid w:val="00590E1B"/>
    <w:rsid w:val="005A6B1F"/>
    <w:rsid w:val="005A72FE"/>
    <w:rsid w:val="005B182F"/>
    <w:rsid w:val="005B216F"/>
    <w:rsid w:val="005C0AC9"/>
    <w:rsid w:val="005F11D5"/>
    <w:rsid w:val="005F1CAB"/>
    <w:rsid w:val="005F70B0"/>
    <w:rsid w:val="00605827"/>
    <w:rsid w:val="00617E0F"/>
    <w:rsid w:val="0064519D"/>
    <w:rsid w:val="00646050"/>
    <w:rsid w:val="00663E16"/>
    <w:rsid w:val="00664799"/>
    <w:rsid w:val="006713CA"/>
    <w:rsid w:val="00672C97"/>
    <w:rsid w:val="00676C5C"/>
    <w:rsid w:val="006843B6"/>
    <w:rsid w:val="00693616"/>
    <w:rsid w:val="006B51B0"/>
    <w:rsid w:val="006D2269"/>
    <w:rsid w:val="006E0C2A"/>
    <w:rsid w:val="006F1D6F"/>
    <w:rsid w:val="00700DE5"/>
    <w:rsid w:val="007058FB"/>
    <w:rsid w:val="00722A69"/>
    <w:rsid w:val="00734463"/>
    <w:rsid w:val="00741A3F"/>
    <w:rsid w:val="00745931"/>
    <w:rsid w:val="00746748"/>
    <w:rsid w:val="00754096"/>
    <w:rsid w:val="00760250"/>
    <w:rsid w:val="00772099"/>
    <w:rsid w:val="00785847"/>
    <w:rsid w:val="007B6A58"/>
    <w:rsid w:val="007C54FF"/>
    <w:rsid w:val="007C77DB"/>
    <w:rsid w:val="007D1613"/>
    <w:rsid w:val="007D5C56"/>
    <w:rsid w:val="007F2023"/>
    <w:rsid w:val="007F214F"/>
    <w:rsid w:val="0080598F"/>
    <w:rsid w:val="00807421"/>
    <w:rsid w:val="00824273"/>
    <w:rsid w:val="00845052"/>
    <w:rsid w:val="00881EE2"/>
    <w:rsid w:val="008867F2"/>
    <w:rsid w:val="00893B33"/>
    <w:rsid w:val="008A4A0E"/>
    <w:rsid w:val="008B2CC1"/>
    <w:rsid w:val="008B3BD6"/>
    <w:rsid w:val="008B5BA2"/>
    <w:rsid w:val="008B60B2"/>
    <w:rsid w:val="008D45D0"/>
    <w:rsid w:val="008F6ABC"/>
    <w:rsid w:val="008F7733"/>
    <w:rsid w:val="0090731E"/>
    <w:rsid w:val="00916EE2"/>
    <w:rsid w:val="0092507E"/>
    <w:rsid w:val="009402EB"/>
    <w:rsid w:val="00943215"/>
    <w:rsid w:val="00945026"/>
    <w:rsid w:val="009605D0"/>
    <w:rsid w:val="00966584"/>
    <w:rsid w:val="00966A22"/>
    <w:rsid w:val="00966FAF"/>
    <w:rsid w:val="0096722F"/>
    <w:rsid w:val="00967391"/>
    <w:rsid w:val="00975CFC"/>
    <w:rsid w:val="00980843"/>
    <w:rsid w:val="00984ADB"/>
    <w:rsid w:val="00994030"/>
    <w:rsid w:val="0099717E"/>
    <w:rsid w:val="009A645D"/>
    <w:rsid w:val="009E2791"/>
    <w:rsid w:val="009E3F6F"/>
    <w:rsid w:val="009E6D8F"/>
    <w:rsid w:val="009F499F"/>
    <w:rsid w:val="00A01523"/>
    <w:rsid w:val="00A36033"/>
    <w:rsid w:val="00A42DAF"/>
    <w:rsid w:val="00A45BD8"/>
    <w:rsid w:val="00A567D1"/>
    <w:rsid w:val="00A65D37"/>
    <w:rsid w:val="00A80B86"/>
    <w:rsid w:val="00A85B8E"/>
    <w:rsid w:val="00A871A6"/>
    <w:rsid w:val="00AB59CB"/>
    <w:rsid w:val="00AC205C"/>
    <w:rsid w:val="00B00E2E"/>
    <w:rsid w:val="00B05A69"/>
    <w:rsid w:val="00B17AA1"/>
    <w:rsid w:val="00B23069"/>
    <w:rsid w:val="00B26AFB"/>
    <w:rsid w:val="00B32A52"/>
    <w:rsid w:val="00B47DD8"/>
    <w:rsid w:val="00B72817"/>
    <w:rsid w:val="00B73FC3"/>
    <w:rsid w:val="00B92FE1"/>
    <w:rsid w:val="00B96B5C"/>
    <w:rsid w:val="00B9734B"/>
    <w:rsid w:val="00BB3353"/>
    <w:rsid w:val="00BB3538"/>
    <w:rsid w:val="00BB74B8"/>
    <w:rsid w:val="00BC6954"/>
    <w:rsid w:val="00BD01A8"/>
    <w:rsid w:val="00BD4AC5"/>
    <w:rsid w:val="00BF27F9"/>
    <w:rsid w:val="00C11BFE"/>
    <w:rsid w:val="00C44558"/>
    <w:rsid w:val="00C45F61"/>
    <w:rsid w:val="00C57768"/>
    <w:rsid w:val="00C87613"/>
    <w:rsid w:val="00C94629"/>
    <w:rsid w:val="00C95D98"/>
    <w:rsid w:val="00CA195A"/>
    <w:rsid w:val="00CC1D4D"/>
    <w:rsid w:val="00CC2198"/>
    <w:rsid w:val="00CD28E0"/>
    <w:rsid w:val="00D015E0"/>
    <w:rsid w:val="00D24260"/>
    <w:rsid w:val="00D2529C"/>
    <w:rsid w:val="00D45252"/>
    <w:rsid w:val="00D66EE8"/>
    <w:rsid w:val="00D71B4D"/>
    <w:rsid w:val="00D8715F"/>
    <w:rsid w:val="00D93D55"/>
    <w:rsid w:val="00DA0C15"/>
    <w:rsid w:val="00DA10D8"/>
    <w:rsid w:val="00DC5D16"/>
    <w:rsid w:val="00DD6F77"/>
    <w:rsid w:val="00DF39D8"/>
    <w:rsid w:val="00E00D2E"/>
    <w:rsid w:val="00E1562E"/>
    <w:rsid w:val="00E335FE"/>
    <w:rsid w:val="00E349B3"/>
    <w:rsid w:val="00E44A5E"/>
    <w:rsid w:val="00E47984"/>
    <w:rsid w:val="00E5021F"/>
    <w:rsid w:val="00E52F93"/>
    <w:rsid w:val="00E5696F"/>
    <w:rsid w:val="00E60AC2"/>
    <w:rsid w:val="00E73FDE"/>
    <w:rsid w:val="00E8083A"/>
    <w:rsid w:val="00E911B4"/>
    <w:rsid w:val="00E978D3"/>
    <w:rsid w:val="00EA2A86"/>
    <w:rsid w:val="00EB0887"/>
    <w:rsid w:val="00EC143F"/>
    <w:rsid w:val="00EC4E49"/>
    <w:rsid w:val="00ED68FB"/>
    <w:rsid w:val="00ED7141"/>
    <w:rsid w:val="00ED77FB"/>
    <w:rsid w:val="00EF67D5"/>
    <w:rsid w:val="00F021A6"/>
    <w:rsid w:val="00F15DDC"/>
    <w:rsid w:val="00F27913"/>
    <w:rsid w:val="00F30561"/>
    <w:rsid w:val="00F328E4"/>
    <w:rsid w:val="00F47033"/>
    <w:rsid w:val="00F56037"/>
    <w:rsid w:val="00F66152"/>
    <w:rsid w:val="00F67942"/>
    <w:rsid w:val="00F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D2B7C"/>
  <w15:chartTrackingRefBased/>
  <w15:docId w15:val="{AFECA4B8-4AEF-4112-8E37-CF3185DE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CF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722A69"/>
    <w:pPr>
      <w:spacing w:before="720"/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975CFC"/>
    <w:pPr>
      <w:ind w:left="5534"/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75CFC"/>
    <w:pPr>
      <w:ind w:left="2268" w:hanging="567"/>
    </w:pPr>
  </w:style>
  <w:style w:type="character" w:customStyle="1" w:styleId="ONUMEChar">
    <w:name w:val="ONUM E Char"/>
    <w:link w:val="ONUME"/>
    <w:rsid w:val="00975CFC"/>
    <w:rPr>
      <w:rFonts w:ascii="Arial" w:eastAsia="SimSun" w:hAnsi="Arial" w:cs="Arial"/>
      <w:sz w:val="22"/>
      <w:lang w:val="fr-FR" w:eastAsia="zh-CN" w:bidi="ar-SA"/>
    </w:rPr>
  </w:style>
  <w:style w:type="character" w:styleId="FootnoteReference">
    <w:name w:val="footnote reference"/>
    <w:semiHidden/>
    <w:rsid w:val="00746748"/>
    <w:rPr>
      <w:vertAlign w:val="superscript"/>
    </w:rPr>
  </w:style>
  <w:style w:type="paragraph" w:styleId="BalloonText">
    <w:name w:val="Balloon Text"/>
    <w:basedOn w:val="Normal"/>
    <w:link w:val="BalloonTextChar"/>
    <w:rsid w:val="001B0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B0890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rsid w:val="001B08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B089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1B089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1B0890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rsid w:val="000879E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F21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7D65-8F01-4643-850D-0ABD81E2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1824</Words>
  <Characters>10400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CWS/10/2 Annex (in English)</vt:lpstr>
      <vt:lpstr>CWS/10/2 Annex (in English)</vt:lpstr>
    </vt:vector>
  </TitlesOfParts>
  <Company>WIPO</Company>
  <LinksUpToDate>false</LinksUpToDate>
  <CharactersWithSpaces>12200</CharactersWithSpaces>
  <SharedDoc>false</SharedDoc>
  <HLinks>
    <vt:vector size="18" baseType="variant">
      <vt:variant>
        <vt:i4>1507421</vt:i4>
      </vt:variant>
      <vt:variant>
        <vt:i4>16</vt:i4>
      </vt:variant>
      <vt:variant>
        <vt:i4>0</vt:i4>
      </vt:variant>
      <vt:variant>
        <vt:i4>5</vt:i4>
      </vt:variant>
      <vt:variant>
        <vt:lpwstr>https://www.wipo.int/about-wipo/en/observers/</vt:lpwstr>
      </vt:variant>
      <vt:variant>
        <vt:lpwstr/>
      </vt:variant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https://www.wipo.int/edocs/mdocs/govbody/en/a_63/a_63_5_rev.pdf</vt:lpwstr>
      </vt:variant>
      <vt:variant>
        <vt:lpwstr/>
      </vt:variant>
      <vt:variant>
        <vt:i4>65627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https://www.wipo.int/policy/en/rules_of_procedure.html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 Annex</dc:title>
  <dc:subject>Organizational matters and special rules of procedure of the committee on wipo standards (cws)</dc:subject>
  <dc:creator>WIPO</dc:creator>
  <cp:keywords>FOR OFFICIAL USE ONLY</cp:keywords>
  <dc:description/>
  <cp:lastModifiedBy>CHAVAS Louison</cp:lastModifiedBy>
  <cp:revision>2</cp:revision>
  <cp:lastPrinted>2022-10-05T14:35:00Z</cp:lastPrinted>
  <dcterms:created xsi:type="dcterms:W3CDTF">2022-10-13T08:35:00Z</dcterms:created>
  <dcterms:modified xsi:type="dcterms:W3CDTF">2022-10-13T08:35:00Z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a1f3e323-b1c8-4564-86cf-3e6d91a98f7a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