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16548C" w:rsidRDefault="0040540C" w:rsidP="004527EA">
      <w:pPr>
        <w:pBdr>
          <w:bottom w:val="single" w:sz="4" w:space="10" w:color="auto"/>
        </w:pBdr>
        <w:spacing w:after="120"/>
        <w:jc w:val="right"/>
        <w:rPr>
          <w:lang w:val="fr-FR"/>
        </w:rPr>
      </w:pPr>
      <w:r w:rsidRPr="0016548C">
        <w:rPr>
          <w:noProof/>
          <w:lang w:val="en-US"/>
        </w:rPr>
        <w:drawing>
          <wp:inline distT="0" distB="0" distL="0" distR="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90C" w:rsidRPr="0016548C" w:rsidRDefault="004527EA" w:rsidP="0040540C">
      <w:pPr>
        <w:jc w:val="right"/>
        <w:rPr>
          <w:rFonts w:ascii="Arial Black" w:hAnsi="Arial Black"/>
          <w:caps/>
          <w:sz w:val="15"/>
          <w:lang w:val="fr-FR"/>
        </w:rPr>
      </w:pPr>
      <w:r w:rsidRPr="0016548C">
        <w:rPr>
          <w:rFonts w:ascii="Arial Black" w:hAnsi="Arial Black"/>
          <w:caps/>
          <w:sz w:val="15"/>
          <w:lang w:val="fr-FR"/>
        </w:rPr>
        <w:t>CWS/</w:t>
      </w:r>
      <w:r w:rsidR="00800BEA" w:rsidRPr="0016548C">
        <w:rPr>
          <w:rFonts w:ascii="Arial Black" w:hAnsi="Arial Black"/>
          <w:caps/>
          <w:sz w:val="15"/>
          <w:lang w:val="fr-FR"/>
        </w:rPr>
        <w:t>10</w:t>
      </w:r>
      <w:r w:rsidRPr="0016548C">
        <w:rPr>
          <w:rFonts w:ascii="Arial Black" w:hAnsi="Arial Black"/>
          <w:caps/>
          <w:sz w:val="15"/>
          <w:lang w:val="fr-FR"/>
        </w:rPr>
        <w:t>/</w:t>
      </w:r>
      <w:bookmarkStart w:id="0" w:name="Code"/>
      <w:bookmarkEnd w:id="0"/>
      <w:r w:rsidR="00800BEA" w:rsidRPr="0016548C">
        <w:rPr>
          <w:rFonts w:ascii="Arial Black" w:hAnsi="Arial Black"/>
          <w:caps/>
          <w:sz w:val="15"/>
          <w:lang w:val="fr-FR"/>
        </w:rPr>
        <w:t>1</w:t>
      </w:r>
      <w:r w:rsidR="00340FB4" w:rsidRPr="0016548C">
        <w:rPr>
          <w:rFonts w:ascii="Arial Black" w:hAnsi="Arial Black"/>
          <w:sz w:val="15"/>
          <w:szCs w:val="15"/>
          <w:lang w:val="fr-FR"/>
        </w:rPr>
        <w:t> </w:t>
      </w:r>
      <w:r w:rsidR="00B94FDE" w:rsidRPr="0016548C">
        <w:rPr>
          <w:rFonts w:ascii="Arial Black" w:hAnsi="Arial Black"/>
          <w:caps/>
          <w:sz w:val="15"/>
          <w:lang w:val="fr-FR"/>
        </w:rPr>
        <w:t>PROV.</w:t>
      </w:r>
      <w:r w:rsidR="009932B2">
        <w:rPr>
          <w:rFonts w:ascii="Arial Black" w:hAnsi="Arial Black"/>
          <w:caps/>
          <w:sz w:val="15"/>
          <w:lang w:val="fr-FR"/>
        </w:rPr>
        <w:t>3</w:t>
      </w:r>
    </w:p>
    <w:p w:rsidR="008B2CC1" w:rsidRPr="0016548C" w:rsidRDefault="00B1090C" w:rsidP="0040540C">
      <w:pPr>
        <w:jc w:val="right"/>
        <w:rPr>
          <w:lang w:val="fr-FR"/>
        </w:rPr>
      </w:pPr>
      <w:r w:rsidRPr="0016548C">
        <w:rPr>
          <w:rFonts w:ascii="Arial Black" w:hAnsi="Arial Black"/>
          <w:caps/>
          <w:sz w:val="15"/>
          <w:lang w:val="fr-FR"/>
        </w:rPr>
        <w:t>ORIGINAL</w:t>
      </w:r>
      <w:r w:rsidR="00F07917" w:rsidRPr="0016548C">
        <w:rPr>
          <w:rFonts w:ascii="Arial Black" w:hAnsi="Arial Black"/>
          <w:caps/>
          <w:sz w:val="15"/>
          <w:lang w:val="fr-FR"/>
        </w:rPr>
        <w:t> :</w:t>
      </w:r>
      <w:r w:rsidR="002956DE" w:rsidRPr="0016548C">
        <w:rPr>
          <w:rFonts w:ascii="Arial Black" w:hAnsi="Arial Black"/>
          <w:caps/>
          <w:sz w:val="15"/>
          <w:lang w:val="fr-FR"/>
        </w:rPr>
        <w:t xml:space="preserve"> </w:t>
      </w:r>
      <w:bookmarkStart w:id="1" w:name="Original"/>
      <w:r w:rsidR="00800BEA" w:rsidRPr="0016548C">
        <w:rPr>
          <w:rFonts w:ascii="Arial Black" w:hAnsi="Arial Black"/>
          <w:caps/>
          <w:sz w:val="15"/>
          <w:lang w:val="fr-FR"/>
        </w:rPr>
        <w:t>anglais</w:t>
      </w:r>
    </w:p>
    <w:bookmarkEnd w:id="1"/>
    <w:p w:rsidR="008B2CC1" w:rsidRPr="0016548C" w:rsidRDefault="00B1090C" w:rsidP="00B1090C">
      <w:pPr>
        <w:spacing w:after="1200"/>
        <w:jc w:val="right"/>
        <w:rPr>
          <w:lang w:val="fr-FR"/>
        </w:rPr>
      </w:pPr>
      <w:r w:rsidRPr="0016548C">
        <w:rPr>
          <w:rFonts w:ascii="Arial Black" w:hAnsi="Arial Black"/>
          <w:caps/>
          <w:sz w:val="15"/>
          <w:lang w:val="fr-FR"/>
        </w:rPr>
        <w:t>DATE</w:t>
      </w:r>
      <w:r w:rsidR="00F07917" w:rsidRPr="0016548C">
        <w:rPr>
          <w:rFonts w:ascii="Arial Black" w:hAnsi="Arial Black"/>
          <w:caps/>
          <w:sz w:val="15"/>
          <w:lang w:val="fr-FR"/>
        </w:rPr>
        <w:t> :</w:t>
      </w:r>
      <w:r w:rsidR="002956DE" w:rsidRPr="0016548C">
        <w:rPr>
          <w:rFonts w:ascii="Arial Black" w:hAnsi="Arial Black"/>
          <w:caps/>
          <w:sz w:val="15"/>
          <w:lang w:val="fr-FR"/>
        </w:rPr>
        <w:t xml:space="preserve"> </w:t>
      </w:r>
      <w:bookmarkStart w:id="2" w:name="Date"/>
      <w:r w:rsidR="009932B2">
        <w:rPr>
          <w:rFonts w:ascii="Arial Black" w:hAnsi="Arial Black"/>
          <w:caps/>
          <w:sz w:val="15"/>
          <w:lang w:val="fr-FR"/>
        </w:rPr>
        <w:t>16</w:t>
      </w:r>
      <w:r w:rsidR="00E546DD">
        <w:rPr>
          <w:rFonts w:ascii="Arial Black" w:hAnsi="Arial Black"/>
          <w:caps/>
          <w:sz w:val="15"/>
          <w:lang w:val="fr-FR"/>
        </w:rPr>
        <w:t> novembre</w:t>
      </w:r>
      <w:r w:rsidR="00B94FDE" w:rsidRPr="0016548C">
        <w:rPr>
          <w:rFonts w:ascii="Arial Black" w:hAnsi="Arial Black"/>
          <w:caps/>
          <w:sz w:val="15"/>
          <w:lang w:val="fr-FR"/>
        </w:rPr>
        <w:t> 20</w:t>
      </w:r>
      <w:r w:rsidR="00800BEA" w:rsidRPr="0016548C">
        <w:rPr>
          <w:rFonts w:ascii="Arial Black" w:hAnsi="Arial Black"/>
          <w:caps/>
          <w:sz w:val="15"/>
          <w:lang w:val="fr-FR"/>
        </w:rPr>
        <w:t>22</w:t>
      </w:r>
    </w:p>
    <w:bookmarkEnd w:id="2"/>
    <w:p w:rsidR="003845C1" w:rsidRPr="0016548C" w:rsidRDefault="00037E41" w:rsidP="00037E41">
      <w:pPr>
        <w:pStyle w:val="Title"/>
        <w:rPr>
          <w:rFonts w:ascii="Arial Bold" w:hAnsi="Arial Bold" w:hint="eastAsia"/>
          <w:caps w:val="0"/>
          <w:spacing w:val="0"/>
          <w:lang w:val="fr-FR"/>
        </w:rPr>
      </w:pPr>
      <w:r w:rsidRPr="0016548C">
        <w:rPr>
          <w:rFonts w:ascii="Arial Bold" w:hAnsi="Arial Bold"/>
          <w:caps w:val="0"/>
          <w:spacing w:val="0"/>
          <w:lang w:val="fr-FR"/>
        </w:rPr>
        <w:t>Comité des normes de l</w:t>
      </w:r>
      <w:r w:rsidR="00F07917" w:rsidRPr="0016548C">
        <w:rPr>
          <w:rFonts w:ascii="Arial Bold" w:hAnsi="Arial Bold"/>
          <w:caps w:val="0"/>
          <w:spacing w:val="0"/>
          <w:lang w:val="fr-FR"/>
        </w:rPr>
        <w:t>’</w:t>
      </w:r>
      <w:bookmarkStart w:id="3" w:name="_GoBack"/>
      <w:bookmarkEnd w:id="3"/>
      <w:r w:rsidRPr="0016548C">
        <w:rPr>
          <w:rFonts w:ascii="Arial Bold" w:hAnsi="Arial Bold"/>
          <w:caps w:val="0"/>
          <w:spacing w:val="0"/>
          <w:lang w:val="fr-FR"/>
        </w:rPr>
        <w:t>OMPI (CWS)</w:t>
      </w:r>
    </w:p>
    <w:p w:rsidR="00FE19E9" w:rsidRPr="0016548C" w:rsidRDefault="00800BEA" w:rsidP="00FE19E9">
      <w:pPr>
        <w:outlineLvl w:val="1"/>
        <w:rPr>
          <w:b/>
          <w:sz w:val="28"/>
          <w:szCs w:val="28"/>
          <w:lang w:val="fr-FR"/>
        </w:rPr>
      </w:pPr>
      <w:r w:rsidRPr="0016548C">
        <w:rPr>
          <w:b/>
          <w:sz w:val="24"/>
          <w:lang w:val="fr-FR"/>
        </w:rPr>
        <w:t>Dix</w:t>
      </w:r>
      <w:r w:rsidR="00F07917" w:rsidRPr="0016548C">
        <w:rPr>
          <w:b/>
          <w:sz w:val="24"/>
          <w:lang w:val="fr-FR"/>
        </w:rPr>
        <w:t>ième session</w:t>
      </w:r>
    </w:p>
    <w:p w:rsidR="008B2CC1" w:rsidRPr="0016548C" w:rsidRDefault="00037E41" w:rsidP="00340FB4">
      <w:pPr>
        <w:spacing w:after="720"/>
        <w:outlineLvl w:val="1"/>
        <w:rPr>
          <w:b/>
          <w:sz w:val="24"/>
          <w:szCs w:val="24"/>
          <w:lang w:val="fr-FR"/>
        </w:rPr>
      </w:pPr>
      <w:r w:rsidRPr="0016548C">
        <w:rPr>
          <w:b/>
          <w:sz w:val="24"/>
          <w:szCs w:val="24"/>
          <w:lang w:val="fr-FR"/>
        </w:rPr>
        <w:t xml:space="preserve">Genève, </w:t>
      </w:r>
      <w:r w:rsidR="00800BEA" w:rsidRPr="0016548C">
        <w:rPr>
          <w:b/>
          <w:sz w:val="24"/>
          <w:szCs w:val="24"/>
          <w:lang w:val="fr-FR"/>
        </w:rPr>
        <w:t>21</w:t>
      </w:r>
      <w:r w:rsidR="00340FB4" w:rsidRPr="0016548C">
        <w:rPr>
          <w:b/>
          <w:sz w:val="24"/>
          <w:szCs w:val="24"/>
          <w:lang w:val="fr-FR"/>
        </w:rPr>
        <w:t xml:space="preserve"> </w:t>
      </w:r>
      <w:r w:rsidRPr="0016548C">
        <w:rPr>
          <w:b/>
          <w:sz w:val="24"/>
          <w:szCs w:val="24"/>
          <w:lang w:val="fr-FR"/>
        </w:rPr>
        <w:t xml:space="preserve">– </w:t>
      </w:r>
      <w:r w:rsidR="00800BEA" w:rsidRPr="0016548C">
        <w:rPr>
          <w:b/>
          <w:sz w:val="24"/>
          <w:szCs w:val="24"/>
          <w:lang w:val="fr-FR"/>
        </w:rPr>
        <w:t>2</w:t>
      </w:r>
      <w:r w:rsidR="00B94FDE" w:rsidRPr="0016548C">
        <w:rPr>
          <w:b/>
          <w:sz w:val="24"/>
          <w:szCs w:val="24"/>
          <w:lang w:val="fr-FR"/>
        </w:rPr>
        <w:t>5 novembre 20</w:t>
      </w:r>
      <w:r w:rsidRPr="0016548C">
        <w:rPr>
          <w:b/>
          <w:sz w:val="24"/>
          <w:szCs w:val="24"/>
          <w:lang w:val="fr-FR"/>
        </w:rPr>
        <w:t>2</w:t>
      </w:r>
      <w:r w:rsidR="00800BEA" w:rsidRPr="0016548C">
        <w:rPr>
          <w:b/>
          <w:sz w:val="24"/>
          <w:szCs w:val="24"/>
          <w:lang w:val="fr-FR"/>
        </w:rPr>
        <w:t>2</w:t>
      </w:r>
    </w:p>
    <w:p w:rsidR="008B2CC1" w:rsidRPr="0016548C" w:rsidRDefault="00800BEA" w:rsidP="00B1090C">
      <w:pPr>
        <w:spacing w:after="360"/>
        <w:rPr>
          <w:caps/>
          <w:sz w:val="24"/>
          <w:lang w:val="fr-FR"/>
        </w:rPr>
      </w:pPr>
      <w:bookmarkStart w:id="4" w:name="TitleOfDoc"/>
      <w:r w:rsidRPr="0016548C">
        <w:rPr>
          <w:caps/>
          <w:sz w:val="24"/>
          <w:lang w:val="fr-FR"/>
        </w:rPr>
        <w:t>Projet d</w:t>
      </w:r>
      <w:r w:rsidR="00F07917" w:rsidRPr="0016548C">
        <w:rPr>
          <w:caps/>
          <w:sz w:val="24"/>
          <w:lang w:val="fr-FR"/>
        </w:rPr>
        <w:t>’</w:t>
      </w:r>
      <w:r w:rsidRPr="0016548C">
        <w:rPr>
          <w:caps/>
          <w:sz w:val="24"/>
          <w:lang w:val="fr-FR"/>
        </w:rPr>
        <w:t>ordre du jour</w:t>
      </w:r>
    </w:p>
    <w:p w:rsidR="008B2CC1" w:rsidRPr="0016548C" w:rsidRDefault="00800BEA" w:rsidP="00B1090C">
      <w:pPr>
        <w:spacing w:after="1040"/>
        <w:rPr>
          <w:i/>
          <w:lang w:val="fr-FR"/>
        </w:rPr>
      </w:pPr>
      <w:bookmarkStart w:id="5" w:name="Prepared"/>
      <w:bookmarkEnd w:id="4"/>
      <w:bookmarkEnd w:id="5"/>
      <w:r w:rsidRPr="0016548C">
        <w:rPr>
          <w:i/>
          <w:lang w:val="fr-FR"/>
        </w:rPr>
        <w:t>Document établi par le Secrétariat</w:t>
      </w:r>
    </w:p>
    <w:p w:rsidR="0077684C" w:rsidRPr="0016548C" w:rsidRDefault="0077684C" w:rsidP="0052444F">
      <w:pPr>
        <w:pStyle w:val="ONUMFS"/>
        <w:rPr>
          <w:lang w:val="fr-FR"/>
        </w:rPr>
      </w:pPr>
      <w:r w:rsidRPr="0016548C">
        <w:rPr>
          <w:lang w:val="fr-FR"/>
        </w:rPr>
        <w:t>Ouverture de la dix</w:t>
      </w:r>
      <w:r w:rsidR="00F07917" w:rsidRPr="0016548C">
        <w:rPr>
          <w:lang w:val="fr-FR"/>
        </w:rPr>
        <w:t>ième session</w:t>
      </w:r>
    </w:p>
    <w:p w:rsidR="0077684C" w:rsidRPr="0016548C" w:rsidRDefault="0077684C" w:rsidP="0052444F">
      <w:pPr>
        <w:pStyle w:val="ONUMFS"/>
        <w:rPr>
          <w:lang w:val="fr-FR"/>
        </w:rPr>
      </w:pPr>
      <w:r w:rsidRPr="0016548C">
        <w:rPr>
          <w:lang w:val="fr-FR"/>
        </w:rPr>
        <w:t>Élection d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un président et de deux</w:t>
      </w:r>
      <w:r w:rsidR="004756FC" w:rsidRPr="0016548C">
        <w:rPr>
          <w:lang w:val="fr-FR"/>
        </w:rPr>
        <w:t> </w:t>
      </w:r>
      <w:r w:rsidRPr="0016548C">
        <w:rPr>
          <w:lang w:val="fr-FR"/>
        </w:rPr>
        <w:t>vice</w:t>
      </w:r>
      <w:r w:rsidR="0052444F">
        <w:rPr>
          <w:lang w:val="fr-FR"/>
        </w:rPr>
        <w:noBreakHyphen/>
      </w:r>
      <w:r w:rsidRPr="0016548C">
        <w:rPr>
          <w:lang w:val="fr-FR"/>
        </w:rPr>
        <w:t>présidents</w:t>
      </w:r>
    </w:p>
    <w:p w:rsidR="00B94FDE" w:rsidRPr="0016548C" w:rsidRDefault="0077684C" w:rsidP="0052444F">
      <w:pPr>
        <w:pStyle w:val="ONUMFS"/>
        <w:contextualSpacing/>
        <w:rPr>
          <w:lang w:val="fr-FR"/>
        </w:rPr>
      </w:pPr>
      <w:r w:rsidRPr="0016548C">
        <w:rPr>
          <w:lang w:val="fr-FR"/>
        </w:rPr>
        <w:t>Adoption de l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ordre du jour</w:t>
      </w:r>
    </w:p>
    <w:p w:rsidR="0077684C" w:rsidRPr="0016548C" w:rsidRDefault="0077684C" w:rsidP="009A5F5E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16548C">
        <w:rPr>
          <w:lang w:val="fr-FR"/>
        </w:rPr>
        <w:t>Voir le présent document.</w:t>
      </w:r>
    </w:p>
    <w:p w:rsidR="0077684C" w:rsidRPr="0016548C" w:rsidRDefault="0077684C" w:rsidP="0052444F">
      <w:pPr>
        <w:pStyle w:val="ONUMFS"/>
        <w:contextualSpacing/>
        <w:rPr>
          <w:lang w:val="fr-FR"/>
        </w:rPr>
      </w:pPr>
      <w:r w:rsidRPr="0016548C">
        <w:rPr>
          <w:lang w:val="fr-FR"/>
        </w:rPr>
        <w:t>Questions d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organisation et règlement intérieur particulier</w:t>
      </w:r>
    </w:p>
    <w:p w:rsidR="0077684C" w:rsidRPr="0016548C" w:rsidRDefault="0077684C" w:rsidP="0052444F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16548C">
        <w:rPr>
          <w:lang w:val="fr-FR"/>
        </w:rPr>
        <w:t>Voir le document CWS/10/2.</w:t>
      </w:r>
    </w:p>
    <w:p w:rsidR="00B94FDE" w:rsidRPr="0016548C" w:rsidRDefault="0077684C" w:rsidP="0052444F">
      <w:pPr>
        <w:pStyle w:val="ONUMFS"/>
        <w:contextualSpacing/>
        <w:rPr>
          <w:lang w:val="fr-FR"/>
        </w:rPr>
      </w:pPr>
      <w:r w:rsidRPr="0016548C">
        <w:rPr>
          <w:lang w:val="fr-FR"/>
        </w:rPr>
        <w:t>Examen du programme de travail et de la liste des tâches</w:t>
      </w:r>
      <w:r w:rsidR="00B94FDE" w:rsidRPr="0016548C">
        <w:rPr>
          <w:lang w:val="fr-FR"/>
        </w:rPr>
        <w:t xml:space="preserve"> du CWS</w:t>
      </w:r>
    </w:p>
    <w:p w:rsidR="0077684C" w:rsidRPr="0016548C" w:rsidRDefault="0077684C" w:rsidP="0052444F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16548C">
        <w:rPr>
          <w:lang w:val="fr-FR"/>
        </w:rPr>
        <w:t>Voir le document CWS/10/3.</w:t>
      </w:r>
    </w:p>
    <w:p w:rsidR="00B94FDE" w:rsidRPr="0016548C" w:rsidRDefault="0077684C" w:rsidP="0052444F">
      <w:pPr>
        <w:pStyle w:val="ONUMFS"/>
        <w:contextualSpacing/>
        <w:rPr>
          <w:lang w:val="fr-FR"/>
        </w:rPr>
      </w:pPr>
      <w:r w:rsidRPr="0016548C">
        <w:rPr>
          <w:lang w:val="fr-FR"/>
        </w:rPr>
        <w:t>Révision de la norme</w:t>
      </w:r>
      <w:r w:rsidR="004756FC" w:rsidRPr="0016548C">
        <w:rPr>
          <w:lang w:val="fr-FR"/>
        </w:rPr>
        <w:t> </w:t>
      </w:r>
      <w:r w:rsidRPr="0016548C">
        <w:rPr>
          <w:lang w:val="fr-FR"/>
        </w:rPr>
        <w:t>ST.3 de l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OMPI</w:t>
      </w:r>
    </w:p>
    <w:p w:rsidR="0077684C" w:rsidRPr="0016548C" w:rsidRDefault="0077684C" w:rsidP="0052444F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16548C">
        <w:rPr>
          <w:lang w:val="fr-FR"/>
        </w:rPr>
        <w:t>Voir le document CWS/10/4.</w:t>
      </w:r>
    </w:p>
    <w:p w:rsidR="00B94FDE" w:rsidRPr="0016548C" w:rsidRDefault="0077684C" w:rsidP="0052444F">
      <w:pPr>
        <w:pStyle w:val="ONUMFS"/>
        <w:rPr>
          <w:lang w:val="fr-FR"/>
        </w:rPr>
      </w:pPr>
      <w:r w:rsidRPr="0016548C">
        <w:rPr>
          <w:lang w:val="fr-FR"/>
        </w:rPr>
        <w:t>Gestion des données de propriété intellectuelle à l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aide du format XML ou JSON</w:t>
      </w:r>
    </w:p>
    <w:p w:rsidR="00B94FDE" w:rsidRPr="0016548C" w:rsidRDefault="0077684C" w:rsidP="0052444F">
      <w:pPr>
        <w:pStyle w:val="ONUMFS"/>
        <w:numPr>
          <w:ilvl w:val="1"/>
          <w:numId w:val="6"/>
        </w:numPr>
        <w:ind w:left="1134" w:hanging="567"/>
        <w:contextualSpacing/>
        <w:rPr>
          <w:lang w:val="fr-FR"/>
        </w:rPr>
      </w:pPr>
      <w:r w:rsidRPr="0016548C">
        <w:rPr>
          <w:lang w:val="fr-FR"/>
        </w:rPr>
        <w:t>Rapport de l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Équipe d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experts chargée de la norme</w:t>
      </w:r>
      <w:r w:rsidR="004756FC" w:rsidRPr="0016548C">
        <w:rPr>
          <w:lang w:val="fr-FR"/>
        </w:rPr>
        <w:t> </w:t>
      </w:r>
      <w:r w:rsidRPr="0016548C">
        <w:rPr>
          <w:lang w:val="fr-FR"/>
        </w:rPr>
        <w:t>XML4IP (tâche n°</w:t>
      </w:r>
      <w:r w:rsidR="004756FC" w:rsidRPr="0016548C">
        <w:rPr>
          <w:lang w:val="fr-FR"/>
        </w:rPr>
        <w:t> </w:t>
      </w:r>
      <w:r w:rsidRPr="0016548C">
        <w:rPr>
          <w:lang w:val="fr-FR"/>
        </w:rPr>
        <w:t>41, tâche n°</w:t>
      </w:r>
      <w:r w:rsidR="004756FC" w:rsidRPr="0016548C">
        <w:rPr>
          <w:lang w:val="fr-FR"/>
        </w:rPr>
        <w:t> </w:t>
      </w:r>
      <w:r w:rsidRPr="0016548C">
        <w:rPr>
          <w:lang w:val="fr-FR"/>
        </w:rPr>
        <w:t>47 et tâche n°</w:t>
      </w:r>
      <w:r w:rsidR="004756FC" w:rsidRPr="0016548C">
        <w:rPr>
          <w:lang w:val="fr-FR"/>
        </w:rPr>
        <w:t> </w:t>
      </w:r>
      <w:r w:rsidRPr="0016548C">
        <w:rPr>
          <w:lang w:val="fr-FR"/>
        </w:rPr>
        <w:t>64)</w:t>
      </w:r>
    </w:p>
    <w:p w:rsidR="0077684C" w:rsidRPr="0016548C" w:rsidRDefault="0077684C" w:rsidP="0052444F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16548C">
        <w:rPr>
          <w:lang w:val="fr-FR"/>
        </w:rPr>
        <w:t>Voir le document CWS/10/5.</w:t>
      </w:r>
    </w:p>
    <w:p w:rsidR="0077684C" w:rsidRPr="0016548C" w:rsidRDefault="0077684C" w:rsidP="0052444F">
      <w:pPr>
        <w:pStyle w:val="ONUMFS"/>
        <w:numPr>
          <w:ilvl w:val="1"/>
          <w:numId w:val="6"/>
        </w:numPr>
        <w:contextualSpacing/>
        <w:rPr>
          <w:lang w:val="fr-FR"/>
        </w:rPr>
      </w:pPr>
      <w:r w:rsidRPr="0016548C">
        <w:rPr>
          <w:lang w:val="fr-FR"/>
        </w:rPr>
        <w:t>Proposition de nouvelle norme de l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OMPI sur la spécification JSON</w:t>
      </w:r>
    </w:p>
    <w:p w:rsidR="0077684C" w:rsidRPr="0016548C" w:rsidRDefault="0077684C" w:rsidP="0052444F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16548C">
        <w:rPr>
          <w:lang w:val="fr-FR"/>
        </w:rPr>
        <w:t>Voir le document CWS/10/6.</w:t>
      </w:r>
    </w:p>
    <w:p w:rsidR="00B94FDE" w:rsidRPr="0016548C" w:rsidRDefault="009932B2" w:rsidP="0052444F">
      <w:pPr>
        <w:pStyle w:val="ONUMFS"/>
        <w:keepNext/>
        <w:rPr>
          <w:lang w:val="fr-FR"/>
        </w:rPr>
      </w:pPr>
      <w:r>
        <w:lastRenderedPageBreak/>
        <w:t>Œuvres orphelines</w:t>
      </w:r>
    </w:p>
    <w:p w:rsidR="00B94FDE" w:rsidRPr="0016548C" w:rsidRDefault="0052444F" w:rsidP="0052444F">
      <w:pPr>
        <w:pStyle w:val="ONUMFS"/>
        <w:numPr>
          <w:ilvl w:val="1"/>
          <w:numId w:val="6"/>
        </w:numPr>
        <w:ind w:left="1134" w:hanging="567"/>
        <w:contextualSpacing/>
        <w:rPr>
          <w:lang w:val="fr-FR"/>
        </w:rPr>
      </w:pPr>
      <w:r>
        <w:rPr>
          <w:lang w:val="fr-FR"/>
        </w:rPr>
        <w:t>P</w:t>
      </w:r>
      <w:r w:rsidR="0077684C" w:rsidRPr="0016548C">
        <w:rPr>
          <w:lang w:val="fr-FR"/>
        </w:rPr>
        <w:t>ropositions d</w:t>
      </w:r>
      <w:r w:rsidR="00F07917" w:rsidRPr="0016548C">
        <w:rPr>
          <w:lang w:val="fr-FR"/>
        </w:rPr>
        <w:t>’</w:t>
      </w:r>
      <w:r w:rsidR="0077684C" w:rsidRPr="0016548C">
        <w:rPr>
          <w:lang w:val="fr-FR"/>
        </w:rPr>
        <w:t>amélioration des métadonnées relatives au droit d</w:t>
      </w:r>
      <w:r w:rsidR="00F07917" w:rsidRPr="0016548C">
        <w:rPr>
          <w:lang w:val="fr-FR"/>
        </w:rPr>
        <w:t>’</w:t>
      </w:r>
      <w:r w:rsidR="0077684C" w:rsidRPr="0016548C">
        <w:rPr>
          <w:lang w:val="fr-FR"/>
        </w:rPr>
        <w:t>auteur dans la norme</w:t>
      </w:r>
      <w:r w:rsidR="004756FC" w:rsidRPr="0016548C">
        <w:rPr>
          <w:lang w:val="fr-FR"/>
        </w:rPr>
        <w:t> </w:t>
      </w:r>
      <w:r w:rsidR="0077684C" w:rsidRPr="0016548C">
        <w:rPr>
          <w:lang w:val="fr-FR"/>
        </w:rPr>
        <w:t>ST.96 de l</w:t>
      </w:r>
      <w:r w:rsidR="00F07917" w:rsidRPr="0016548C">
        <w:rPr>
          <w:lang w:val="fr-FR"/>
        </w:rPr>
        <w:t>’</w:t>
      </w:r>
      <w:r w:rsidR="0077684C" w:rsidRPr="0016548C">
        <w:rPr>
          <w:lang w:val="fr-FR"/>
        </w:rPr>
        <w:t>OMPI</w:t>
      </w:r>
    </w:p>
    <w:p w:rsidR="0077684C" w:rsidRPr="0016548C" w:rsidRDefault="0077684C" w:rsidP="0052444F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16548C">
        <w:rPr>
          <w:lang w:val="fr-FR"/>
        </w:rPr>
        <w:t>Voir le document CWS/10/7.</w:t>
      </w:r>
    </w:p>
    <w:p w:rsidR="00B94FDE" w:rsidRPr="0016548C" w:rsidRDefault="00E546DD" w:rsidP="0052444F">
      <w:pPr>
        <w:pStyle w:val="ONUMFS"/>
        <w:numPr>
          <w:ilvl w:val="1"/>
          <w:numId w:val="6"/>
        </w:numPr>
        <w:ind w:left="1134" w:hanging="567"/>
        <w:contextualSpacing/>
        <w:rPr>
          <w:lang w:val="fr-FR"/>
        </w:rPr>
      </w:pPr>
      <w:r>
        <w:t>Proposition concernant la prochaine étape en ce qui concerne les métadonnées relatives aux œuvres orphelines protégées par le droit d’auteur</w:t>
      </w:r>
    </w:p>
    <w:p w:rsidR="0077684C" w:rsidRPr="0016548C" w:rsidRDefault="0077684C" w:rsidP="0052444F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16548C">
        <w:rPr>
          <w:lang w:val="fr-FR"/>
        </w:rPr>
        <w:t>Voir le document CWS/10/8.</w:t>
      </w:r>
    </w:p>
    <w:p w:rsidR="0077684C" w:rsidRPr="0016548C" w:rsidRDefault="0077684C" w:rsidP="0052444F">
      <w:pPr>
        <w:pStyle w:val="ONUMFS"/>
        <w:rPr>
          <w:lang w:val="fr-FR"/>
        </w:rPr>
      </w:pPr>
      <w:r w:rsidRPr="0016548C">
        <w:rPr>
          <w:lang w:val="fr-FR"/>
        </w:rPr>
        <w:t>Chaîne de blocs pour l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écosystème de propriété intellectuelle</w:t>
      </w:r>
    </w:p>
    <w:p w:rsidR="00B94FDE" w:rsidRPr="0016548C" w:rsidRDefault="0077684C" w:rsidP="0052444F">
      <w:pPr>
        <w:pStyle w:val="ONUMFS"/>
        <w:numPr>
          <w:ilvl w:val="1"/>
          <w:numId w:val="6"/>
        </w:numPr>
        <w:contextualSpacing/>
        <w:rPr>
          <w:lang w:val="fr-FR"/>
        </w:rPr>
      </w:pPr>
      <w:r w:rsidRPr="0016548C">
        <w:rPr>
          <w:lang w:val="fr-FR"/>
        </w:rPr>
        <w:t>Rapport de l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Équipe d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experts chargée de la chaîne de blocs (tâche n°</w:t>
      </w:r>
      <w:r w:rsidR="004756FC" w:rsidRPr="0016548C">
        <w:rPr>
          <w:lang w:val="fr-FR"/>
        </w:rPr>
        <w:t> </w:t>
      </w:r>
      <w:r w:rsidRPr="0016548C">
        <w:rPr>
          <w:lang w:val="fr-FR"/>
        </w:rPr>
        <w:t>59)</w:t>
      </w:r>
    </w:p>
    <w:p w:rsidR="0077684C" w:rsidRPr="0016548C" w:rsidRDefault="0077684C" w:rsidP="0052444F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16548C">
        <w:rPr>
          <w:lang w:val="fr-FR"/>
        </w:rPr>
        <w:t>Voir le document CWS/10/9.</w:t>
      </w:r>
    </w:p>
    <w:p w:rsidR="0077684C" w:rsidRPr="0016548C" w:rsidRDefault="0077684C" w:rsidP="0052444F">
      <w:pPr>
        <w:pStyle w:val="ONUMFS"/>
        <w:numPr>
          <w:ilvl w:val="1"/>
          <w:numId w:val="6"/>
        </w:numPr>
        <w:rPr>
          <w:lang w:val="fr-FR"/>
        </w:rPr>
      </w:pPr>
      <w:r w:rsidRPr="0016548C">
        <w:rPr>
          <w:lang w:val="fr-FR"/>
        </w:rPr>
        <w:t>Activités menées par les offices en lien avec la chaîne de blocs</w:t>
      </w:r>
    </w:p>
    <w:p w:rsidR="00F07917" w:rsidRPr="0016548C" w:rsidRDefault="0077684C" w:rsidP="0052444F">
      <w:pPr>
        <w:pStyle w:val="ONUMFS"/>
        <w:contextualSpacing/>
        <w:rPr>
          <w:lang w:val="fr-FR"/>
        </w:rPr>
      </w:pPr>
      <w:r w:rsidRPr="0016548C">
        <w:rPr>
          <w:lang w:val="fr-FR"/>
        </w:rPr>
        <w:t>Proposition de création d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une base de données internationale en vue de la normalisation des noms des déposants</w:t>
      </w:r>
    </w:p>
    <w:p w:rsidR="0077684C" w:rsidRPr="0016548C" w:rsidRDefault="0077684C" w:rsidP="0052444F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16548C">
        <w:rPr>
          <w:lang w:val="fr-FR"/>
        </w:rPr>
        <w:t>Voir le document CWS/10/10.</w:t>
      </w:r>
    </w:p>
    <w:p w:rsidR="0077684C" w:rsidRPr="0016548C" w:rsidRDefault="0077684C" w:rsidP="0052444F">
      <w:pPr>
        <w:pStyle w:val="ONUMFS"/>
        <w:rPr>
          <w:lang w:val="fr-FR"/>
        </w:rPr>
      </w:pPr>
      <w:r w:rsidRPr="0016548C">
        <w:rPr>
          <w:lang w:val="fr-FR"/>
        </w:rPr>
        <w:t>Données sur la situation juridique</w:t>
      </w:r>
    </w:p>
    <w:p w:rsidR="0077684C" w:rsidRPr="0016548C" w:rsidRDefault="0077684C" w:rsidP="0052444F">
      <w:pPr>
        <w:pStyle w:val="ONUMFS"/>
        <w:numPr>
          <w:ilvl w:val="1"/>
          <w:numId w:val="6"/>
        </w:numPr>
        <w:contextualSpacing/>
        <w:rPr>
          <w:lang w:val="fr-FR"/>
        </w:rPr>
      </w:pPr>
      <w:r w:rsidRPr="0016548C">
        <w:rPr>
          <w:lang w:val="fr-FR"/>
        </w:rPr>
        <w:t>Rapport de l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Équipe d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experts chargée de la situation juridique (tâche n°</w:t>
      </w:r>
      <w:r w:rsidR="004756FC" w:rsidRPr="0016548C">
        <w:rPr>
          <w:lang w:val="fr-FR"/>
        </w:rPr>
        <w:t> </w:t>
      </w:r>
      <w:r w:rsidRPr="0016548C">
        <w:rPr>
          <w:lang w:val="fr-FR"/>
        </w:rPr>
        <w:t>47)</w:t>
      </w:r>
    </w:p>
    <w:p w:rsidR="0077684C" w:rsidRPr="0016548C" w:rsidRDefault="0077684C" w:rsidP="0052444F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16548C">
        <w:rPr>
          <w:lang w:val="fr-FR"/>
        </w:rPr>
        <w:t>Voir le document CWS/10/11.</w:t>
      </w:r>
    </w:p>
    <w:p w:rsidR="0077684C" w:rsidRPr="0016548C" w:rsidRDefault="0077684C" w:rsidP="0052444F">
      <w:pPr>
        <w:pStyle w:val="ONUMFS"/>
        <w:numPr>
          <w:ilvl w:val="1"/>
          <w:numId w:val="6"/>
        </w:numPr>
        <w:rPr>
          <w:lang w:val="fr-FR"/>
        </w:rPr>
      </w:pPr>
      <w:r w:rsidRPr="0016548C">
        <w:rPr>
          <w:lang w:val="fr-FR"/>
        </w:rPr>
        <w:t>Mise en œuvre des normes</w:t>
      </w:r>
      <w:r w:rsidR="004756FC" w:rsidRPr="0016548C">
        <w:rPr>
          <w:lang w:val="fr-FR"/>
        </w:rPr>
        <w:t> </w:t>
      </w:r>
      <w:r w:rsidRPr="0016548C">
        <w:rPr>
          <w:lang w:val="fr-FR"/>
        </w:rPr>
        <w:t>ST.27, ST.61 et ST.87 de l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OMPI par les offices</w:t>
      </w:r>
    </w:p>
    <w:p w:rsidR="0077684C" w:rsidRPr="0016548C" w:rsidRDefault="0077684C" w:rsidP="0052444F">
      <w:pPr>
        <w:pStyle w:val="ONUMFS"/>
        <w:rPr>
          <w:lang w:val="fr-FR"/>
        </w:rPr>
      </w:pPr>
      <w:r w:rsidRPr="0016548C">
        <w:rPr>
          <w:lang w:val="fr-FR"/>
        </w:rPr>
        <w:t>Listages des séquences</w:t>
      </w:r>
    </w:p>
    <w:p w:rsidR="00B94FDE" w:rsidRPr="0016548C" w:rsidRDefault="0077684C" w:rsidP="0052444F">
      <w:pPr>
        <w:pStyle w:val="ONUMFS"/>
        <w:numPr>
          <w:ilvl w:val="1"/>
          <w:numId w:val="6"/>
        </w:numPr>
        <w:contextualSpacing/>
        <w:rPr>
          <w:lang w:val="fr-FR"/>
        </w:rPr>
      </w:pPr>
      <w:r w:rsidRPr="0016548C">
        <w:rPr>
          <w:lang w:val="fr-FR"/>
        </w:rPr>
        <w:t>Rapport de l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Équipe d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experts chargée du listage des séquences (tâche n°</w:t>
      </w:r>
      <w:r w:rsidR="004756FC" w:rsidRPr="0016548C">
        <w:rPr>
          <w:lang w:val="fr-FR"/>
        </w:rPr>
        <w:t> </w:t>
      </w:r>
      <w:r w:rsidRPr="0016548C">
        <w:rPr>
          <w:lang w:val="fr-FR"/>
        </w:rPr>
        <w:t>44)</w:t>
      </w:r>
    </w:p>
    <w:p w:rsidR="0077684C" w:rsidRPr="0016548C" w:rsidRDefault="0077684C" w:rsidP="0052444F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16548C">
        <w:rPr>
          <w:lang w:val="fr-FR"/>
        </w:rPr>
        <w:t>Voir le document CWS/10/12.</w:t>
      </w:r>
    </w:p>
    <w:p w:rsidR="0077684C" w:rsidRPr="0016548C" w:rsidRDefault="0077684C" w:rsidP="0052444F">
      <w:pPr>
        <w:pStyle w:val="ONUMFS"/>
        <w:numPr>
          <w:ilvl w:val="1"/>
          <w:numId w:val="6"/>
        </w:numPr>
        <w:contextualSpacing/>
        <w:rPr>
          <w:lang w:val="fr-FR"/>
        </w:rPr>
      </w:pPr>
      <w:r w:rsidRPr="0016548C">
        <w:rPr>
          <w:lang w:val="fr-FR"/>
        </w:rPr>
        <w:t>Proposition de révision de la norme</w:t>
      </w:r>
      <w:r w:rsidR="004756FC" w:rsidRPr="0016548C">
        <w:rPr>
          <w:lang w:val="fr-FR"/>
        </w:rPr>
        <w:t> </w:t>
      </w:r>
      <w:r w:rsidRPr="0016548C">
        <w:rPr>
          <w:lang w:val="fr-FR"/>
        </w:rPr>
        <w:t>ST.26 de l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OMPI</w:t>
      </w:r>
    </w:p>
    <w:p w:rsidR="0077684C" w:rsidRPr="0016548C" w:rsidRDefault="0077684C" w:rsidP="0052444F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16548C">
        <w:rPr>
          <w:lang w:val="fr-FR"/>
        </w:rPr>
        <w:t>Voir le document CWS/10/13.</w:t>
      </w:r>
    </w:p>
    <w:p w:rsidR="00B94FDE" w:rsidRPr="0016548C" w:rsidRDefault="0077684C" w:rsidP="0052444F">
      <w:pPr>
        <w:pStyle w:val="ONUMFS"/>
        <w:numPr>
          <w:ilvl w:val="1"/>
          <w:numId w:val="6"/>
        </w:numPr>
        <w:contextualSpacing/>
        <w:rPr>
          <w:lang w:val="fr-FR"/>
        </w:rPr>
      </w:pPr>
      <w:r w:rsidRPr="0016548C">
        <w:rPr>
          <w:lang w:val="fr-FR"/>
        </w:rPr>
        <w:t>Développement et prise en charge de la suite logicielle WIPO Sequence</w:t>
      </w:r>
    </w:p>
    <w:p w:rsidR="0077684C" w:rsidRPr="0016548C" w:rsidRDefault="0077684C" w:rsidP="0052444F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16548C">
        <w:rPr>
          <w:lang w:val="fr-FR"/>
        </w:rPr>
        <w:t>Voir le document CWS/10/14.</w:t>
      </w:r>
    </w:p>
    <w:p w:rsidR="0077684C" w:rsidRPr="0016548C" w:rsidRDefault="0077684C" w:rsidP="0052444F">
      <w:pPr>
        <w:pStyle w:val="ONUMFS"/>
        <w:numPr>
          <w:ilvl w:val="1"/>
          <w:numId w:val="6"/>
        </w:numPr>
        <w:rPr>
          <w:lang w:val="fr-FR"/>
        </w:rPr>
      </w:pPr>
      <w:r w:rsidRPr="0016548C">
        <w:rPr>
          <w:lang w:val="fr-FR"/>
        </w:rPr>
        <w:t>Mise en œuvre de la norme</w:t>
      </w:r>
      <w:r w:rsidR="004756FC" w:rsidRPr="0016548C">
        <w:rPr>
          <w:lang w:val="fr-FR"/>
        </w:rPr>
        <w:t> </w:t>
      </w:r>
      <w:r w:rsidRPr="0016548C">
        <w:rPr>
          <w:lang w:val="fr-FR"/>
        </w:rPr>
        <w:t>ST.26 de l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OMPI par les offices</w:t>
      </w:r>
    </w:p>
    <w:p w:rsidR="0077684C" w:rsidRPr="0016548C" w:rsidRDefault="0077684C" w:rsidP="0052444F">
      <w:pPr>
        <w:pStyle w:val="ONUMFS"/>
        <w:rPr>
          <w:lang w:val="fr-FR"/>
        </w:rPr>
      </w:pPr>
      <w:r w:rsidRPr="0016548C">
        <w:rPr>
          <w:lang w:val="fr-FR"/>
        </w:rPr>
        <w:t>Fichier d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autorité des brevets</w:t>
      </w:r>
    </w:p>
    <w:p w:rsidR="0077684C" w:rsidRPr="0016548C" w:rsidRDefault="0077684C" w:rsidP="0052444F">
      <w:pPr>
        <w:pStyle w:val="ONUMFS"/>
        <w:numPr>
          <w:ilvl w:val="1"/>
          <w:numId w:val="6"/>
        </w:numPr>
        <w:rPr>
          <w:lang w:val="fr-FR"/>
        </w:rPr>
      </w:pPr>
      <w:r w:rsidRPr="0016548C">
        <w:rPr>
          <w:lang w:val="fr-FR"/>
        </w:rPr>
        <w:t>Mises à jour du portail d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accès aux fichiers d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autorité de l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OMPI</w:t>
      </w:r>
    </w:p>
    <w:p w:rsidR="0077684C" w:rsidRPr="0016548C" w:rsidRDefault="0077684C" w:rsidP="0052444F">
      <w:pPr>
        <w:pStyle w:val="ONUMFS"/>
        <w:numPr>
          <w:ilvl w:val="1"/>
          <w:numId w:val="6"/>
        </w:numPr>
        <w:rPr>
          <w:lang w:val="fr-FR"/>
        </w:rPr>
      </w:pPr>
      <w:r w:rsidRPr="0016548C">
        <w:rPr>
          <w:lang w:val="fr-FR"/>
        </w:rPr>
        <w:t>Mise en œuvre de la norme</w:t>
      </w:r>
      <w:r w:rsidR="004756FC" w:rsidRPr="0016548C">
        <w:rPr>
          <w:lang w:val="fr-FR"/>
        </w:rPr>
        <w:t> </w:t>
      </w:r>
      <w:r w:rsidRPr="0016548C">
        <w:rPr>
          <w:lang w:val="fr-FR"/>
        </w:rPr>
        <w:t>ST.37 de l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OMPI par les offices</w:t>
      </w:r>
    </w:p>
    <w:p w:rsidR="0077684C" w:rsidRPr="0016548C" w:rsidRDefault="0077684C" w:rsidP="0052444F">
      <w:pPr>
        <w:pStyle w:val="ONUMFS"/>
        <w:rPr>
          <w:lang w:val="fr-FR"/>
        </w:rPr>
      </w:pPr>
      <w:r w:rsidRPr="0016548C">
        <w:rPr>
          <w:lang w:val="fr-FR"/>
        </w:rPr>
        <w:t>Transformation numérique</w:t>
      </w:r>
    </w:p>
    <w:p w:rsidR="0077684C" w:rsidRPr="0016548C" w:rsidRDefault="0077684C" w:rsidP="009A5F5E">
      <w:pPr>
        <w:pStyle w:val="ONUMFS"/>
        <w:numPr>
          <w:ilvl w:val="1"/>
          <w:numId w:val="6"/>
        </w:numPr>
        <w:rPr>
          <w:lang w:val="fr-FR"/>
        </w:rPr>
      </w:pPr>
      <w:r w:rsidRPr="0016548C">
        <w:rPr>
          <w:lang w:val="fr-FR"/>
        </w:rPr>
        <w:t>Rapport de l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Équipe d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experts chargée de la transformation numérique (tâche n°</w:t>
      </w:r>
      <w:r w:rsidR="004756FC" w:rsidRPr="0016548C">
        <w:rPr>
          <w:lang w:val="fr-FR"/>
        </w:rPr>
        <w:t> </w:t>
      </w:r>
      <w:r w:rsidRPr="0016548C">
        <w:rPr>
          <w:lang w:val="fr-FR"/>
        </w:rPr>
        <w:t>62)</w:t>
      </w:r>
    </w:p>
    <w:p w:rsidR="00B94FDE" w:rsidRPr="0016548C" w:rsidRDefault="0077684C" w:rsidP="0052444F">
      <w:pPr>
        <w:pStyle w:val="ONUMFS"/>
        <w:numPr>
          <w:ilvl w:val="1"/>
          <w:numId w:val="6"/>
        </w:numPr>
        <w:ind w:left="1134" w:hanging="567"/>
        <w:contextualSpacing/>
        <w:rPr>
          <w:lang w:val="fr-FR"/>
        </w:rPr>
      </w:pPr>
      <w:r w:rsidRPr="0016548C">
        <w:rPr>
          <w:lang w:val="fr-FR"/>
        </w:rPr>
        <w:t>Analyse des résultats de l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enquête sur les pratiques des offices en matière de transformation numérique</w:t>
      </w:r>
    </w:p>
    <w:p w:rsidR="0077684C" w:rsidRPr="0016548C" w:rsidRDefault="0077684C" w:rsidP="0052444F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16548C">
        <w:rPr>
          <w:lang w:val="fr-FR"/>
        </w:rPr>
        <w:t>Voir le document CWS/10/15.</w:t>
      </w:r>
    </w:p>
    <w:p w:rsidR="00B94FDE" w:rsidRPr="0016548C" w:rsidRDefault="0077684C" w:rsidP="0052444F">
      <w:pPr>
        <w:pStyle w:val="ONUMFS"/>
        <w:contextualSpacing/>
        <w:rPr>
          <w:lang w:val="fr-FR"/>
        </w:rPr>
      </w:pPr>
      <w:r w:rsidRPr="0016548C">
        <w:rPr>
          <w:lang w:val="fr-FR"/>
        </w:rPr>
        <w:t>Rapport de l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Équipe d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experts chargée de la septième partie (tâche n°</w:t>
      </w:r>
      <w:r w:rsidR="004756FC" w:rsidRPr="0016548C">
        <w:rPr>
          <w:lang w:val="fr-FR"/>
        </w:rPr>
        <w:t> </w:t>
      </w:r>
      <w:r w:rsidRPr="0016548C">
        <w:rPr>
          <w:lang w:val="fr-FR"/>
        </w:rPr>
        <w:t>50)</w:t>
      </w:r>
    </w:p>
    <w:p w:rsidR="0077684C" w:rsidRPr="0016548C" w:rsidRDefault="0077684C" w:rsidP="0052444F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16548C">
        <w:rPr>
          <w:lang w:val="fr-FR"/>
        </w:rPr>
        <w:t>Voir le document CWS/10/16.</w:t>
      </w:r>
    </w:p>
    <w:p w:rsidR="0077684C" w:rsidRPr="0016548C" w:rsidRDefault="0077684C" w:rsidP="0052444F">
      <w:pPr>
        <w:pStyle w:val="ONUMFS"/>
        <w:contextualSpacing/>
        <w:rPr>
          <w:lang w:val="fr-FR"/>
        </w:rPr>
      </w:pPr>
      <w:r w:rsidRPr="0016548C">
        <w:rPr>
          <w:lang w:val="fr-FR"/>
        </w:rPr>
        <w:t>Rapport de l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Équipe d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experts chargée de la normalisation des noms (tâche n°</w:t>
      </w:r>
      <w:r w:rsidR="004756FC" w:rsidRPr="0016548C">
        <w:rPr>
          <w:lang w:val="fr-FR"/>
        </w:rPr>
        <w:t> </w:t>
      </w:r>
      <w:r w:rsidRPr="0016548C">
        <w:rPr>
          <w:lang w:val="fr-FR"/>
        </w:rPr>
        <w:t>55)</w:t>
      </w:r>
    </w:p>
    <w:p w:rsidR="0077684C" w:rsidRPr="0016548C" w:rsidRDefault="0077684C" w:rsidP="0052444F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16548C">
        <w:rPr>
          <w:lang w:val="fr-FR"/>
        </w:rPr>
        <w:t>Voir le document CWS/10/17.</w:t>
      </w:r>
    </w:p>
    <w:p w:rsidR="00B94FDE" w:rsidRPr="0016548C" w:rsidRDefault="0077684C" w:rsidP="0052444F">
      <w:pPr>
        <w:pStyle w:val="ONUMFS"/>
        <w:rPr>
          <w:lang w:val="fr-FR"/>
        </w:rPr>
      </w:pPr>
      <w:r w:rsidRPr="0016548C">
        <w:rPr>
          <w:lang w:val="fr-FR"/>
        </w:rPr>
        <w:t>Rapport de l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Équipe d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experts chargée des normes relatives aux technologies de l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information et de la communication (tâche n°</w:t>
      </w:r>
      <w:r w:rsidR="004756FC" w:rsidRPr="0016548C">
        <w:rPr>
          <w:lang w:val="fr-FR"/>
        </w:rPr>
        <w:t> </w:t>
      </w:r>
      <w:r w:rsidRPr="0016548C">
        <w:rPr>
          <w:lang w:val="fr-FR"/>
        </w:rPr>
        <w:t>58)</w:t>
      </w:r>
    </w:p>
    <w:p w:rsidR="0077684C" w:rsidRPr="0016548C" w:rsidRDefault="0077684C" w:rsidP="0052444F">
      <w:pPr>
        <w:pStyle w:val="ONUMFS"/>
        <w:rPr>
          <w:lang w:val="fr-FR"/>
        </w:rPr>
      </w:pPr>
      <w:r w:rsidRPr="0016548C">
        <w:rPr>
          <w:lang w:val="fr-FR"/>
        </w:rPr>
        <w:t>Rapport de l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Équipe d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experts 3D (tâche n°</w:t>
      </w:r>
      <w:r w:rsidR="004756FC" w:rsidRPr="0016548C">
        <w:rPr>
          <w:lang w:val="fr-FR"/>
        </w:rPr>
        <w:t> </w:t>
      </w:r>
      <w:r w:rsidRPr="0016548C">
        <w:rPr>
          <w:lang w:val="fr-FR"/>
        </w:rPr>
        <w:t>61)</w:t>
      </w:r>
    </w:p>
    <w:p w:rsidR="00B94FDE" w:rsidRPr="0016548C" w:rsidRDefault="0077684C" w:rsidP="0052444F">
      <w:pPr>
        <w:pStyle w:val="ONUMFS"/>
        <w:contextualSpacing/>
        <w:rPr>
          <w:lang w:val="fr-FR"/>
        </w:rPr>
      </w:pPr>
      <w:r w:rsidRPr="0016548C">
        <w:rPr>
          <w:lang w:val="fr-FR"/>
        </w:rPr>
        <w:t>Analyse des résultats de l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enquête sur les modes d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indication des dates</w:t>
      </w:r>
    </w:p>
    <w:p w:rsidR="0077684C" w:rsidRPr="0016548C" w:rsidRDefault="0077684C" w:rsidP="0052444F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16548C">
        <w:rPr>
          <w:lang w:val="fr-FR"/>
        </w:rPr>
        <w:t>Voir le document CWS/10/18.</w:t>
      </w:r>
    </w:p>
    <w:p w:rsidR="0077684C" w:rsidRPr="0016548C" w:rsidRDefault="0077684C" w:rsidP="0052444F">
      <w:pPr>
        <w:pStyle w:val="ONUMFS"/>
        <w:contextualSpacing/>
        <w:rPr>
          <w:lang w:val="fr-FR"/>
        </w:rPr>
      </w:pPr>
      <w:r w:rsidRPr="0016548C">
        <w:rPr>
          <w:lang w:val="fr-FR"/>
        </w:rPr>
        <w:t>Rapport</w:t>
      </w:r>
      <w:r w:rsidR="0052444F">
        <w:rPr>
          <w:lang w:val="fr-FR"/>
        </w:rPr>
        <w:t> </w:t>
      </w:r>
      <w:r w:rsidRPr="0016548C">
        <w:rPr>
          <w:lang w:val="fr-FR"/>
        </w:rPr>
        <w:t>2021 sur les rapports techniques annuels</w:t>
      </w:r>
    </w:p>
    <w:p w:rsidR="0077684C" w:rsidRPr="0016548C" w:rsidRDefault="0077684C" w:rsidP="0052444F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16548C">
        <w:rPr>
          <w:lang w:val="fr-FR"/>
        </w:rPr>
        <w:t>Voir le document CWS/10/19.</w:t>
      </w:r>
    </w:p>
    <w:p w:rsidR="00B94FDE" w:rsidRPr="0016548C" w:rsidRDefault="0077684C" w:rsidP="0052444F">
      <w:pPr>
        <w:pStyle w:val="ONUMFS"/>
        <w:rPr>
          <w:lang w:val="fr-FR"/>
        </w:rPr>
      </w:pPr>
      <w:r w:rsidRPr="0016548C">
        <w:rPr>
          <w:lang w:val="fr-FR"/>
        </w:rPr>
        <w:t>Mise à jour du Manuel de l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OMPI sur l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information et la documentation en matière de propriété intellectuelle</w:t>
      </w:r>
    </w:p>
    <w:p w:rsidR="00B94FDE" w:rsidRPr="0016548C" w:rsidRDefault="0077684C" w:rsidP="0052444F">
      <w:pPr>
        <w:pStyle w:val="ONUMFS"/>
        <w:contextualSpacing/>
        <w:rPr>
          <w:lang w:val="fr-FR"/>
        </w:rPr>
      </w:pPr>
      <w:r w:rsidRPr="0016548C">
        <w:rPr>
          <w:lang w:val="fr-FR"/>
        </w:rPr>
        <w:t>Rapport présenté par le Bureau international sur la prestation de services consultatifs et d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assistance technique aux fins du renforcement des capacités des offices de propriété industrielle en rapport avec le mandat</w:t>
      </w:r>
      <w:r w:rsidR="00B94FDE" w:rsidRPr="0016548C">
        <w:rPr>
          <w:lang w:val="fr-FR"/>
        </w:rPr>
        <w:t xml:space="preserve"> du CWS</w:t>
      </w:r>
    </w:p>
    <w:p w:rsidR="0077684C" w:rsidRPr="0016548C" w:rsidRDefault="0077684C" w:rsidP="0052444F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16548C">
        <w:rPr>
          <w:lang w:val="fr-FR"/>
        </w:rPr>
        <w:t>Voir le document CWS/10/20.</w:t>
      </w:r>
    </w:p>
    <w:p w:rsidR="00B94FDE" w:rsidRPr="0016548C" w:rsidRDefault="0077684C" w:rsidP="0052444F">
      <w:pPr>
        <w:pStyle w:val="ONUMFS"/>
        <w:rPr>
          <w:lang w:val="fr-FR"/>
        </w:rPr>
      </w:pPr>
      <w:r w:rsidRPr="0016548C">
        <w:rPr>
          <w:lang w:val="fr-FR"/>
        </w:rPr>
        <w:t>Échange d</w:t>
      </w:r>
      <w:r w:rsidR="00F07917" w:rsidRPr="0016548C">
        <w:rPr>
          <w:lang w:val="fr-FR"/>
        </w:rPr>
        <w:t>’</w:t>
      </w:r>
      <w:r w:rsidRPr="0016548C">
        <w:rPr>
          <w:lang w:val="fr-FR"/>
        </w:rPr>
        <w:t>informations sur les activités de numérisation menées par les offices</w:t>
      </w:r>
    </w:p>
    <w:p w:rsidR="0077684C" w:rsidRPr="0016548C" w:rsidRDefault="0077684C" w:rsidP="0052444F">
      <w:pPr>
        <w:pStyle w:val="ONUMFS"/>
        <w:rPr>
          <w:lang w:val="fr-FR"/>
        </w:rPr>
      </w:pPr>
      <w:r w:rsidRPr="0016548C">
        <w:rPr>
          <w:lang w:val="fr-FR"/>
        </w:rPr>
        <w:t>Résumé présenté par le président</w:t>
      </w:r>
    </w:p>
    <w:p w:rsidR="0077684C" w:rsidRPr="0016548C" w:rsidRDefault="0077684C" w:rsidP="0052444F">
      <w:pPr>
        <w:pStyle w:val="ONUMFS"/>
        <w:rPr>
          <w:lang w:val="fr-FR"/>
        </w:rPr>
      </w:pPr>
      <w:r w:rsidRPr="0016548C">
        <w:rPr>
          <w:lang w:val="fr-FR"/>
        </w:rPr>
        <w:t>Clôture de la session</w:t>
      </w:r>
    </w:p>
    <w:p w:rsidR="000F5E56" w:rsidRPr="0016548C" w:rsidRDefault="0077684C" w:rsidP="00340FB4">
      <w:pPr>
        <w:pStyle w:val="Endofdocument-Annex"/>
        <w:spacing w:before="720"/>
        <w:rPr>
          <w:lang w:val="fr-FR"/>
        </w:rPr>
      </w:pPr>
      <w:r w:rsidRPr="0016548C">
        <w:rPr>
          <w:lang w:val="fr-FR"/>
        </w:rPr>
        <w:t>[Fin du document]</w:t>
      </w:r>
    </w:p>
    <w:sectPr w:rsidR="000F5E56" w:rsidRPr="0016548C" w:rsidSect="00800BEA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971" w:rsidRDefault="004A5971">
      <w:r>
        <w:separator/>
      </w:r>
    </w:p>
  </w:endnote>
  <w:endnote w:type="continuationSeparator" w:id="0">
    <w:p w:rsidR="004A5971" w:rsidRPr="009D30E6" w:rsidRDefault="004A5971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A5971" w:rsidRPr="009D30E6" w:rsidRDefault="004A5971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4A5971" w:rsidRPr="009D30E6" w:rsidRDefault="004A5971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971" w:rsidRDefault="004A5971">
      <w:r>
        <w:separator/>
      </w:r>
    </w:p>
  </w:footnote>
  <w:footnote w:type="continuationSeparator" w:id="0">
    <w:p w:rsidR="004A5971" w:rsidRDefault="004A5971" w:rsidP="007461F1">
      <w:r>
        <w:separator/>
      </w:r>
    </w:p>
    <w:p w:rsidR="004A5971" w:rsidRPr="009D30E6" w:rsidRDefault="004A5971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4A5971" w:rsidRPr="009D30E6" w:rsidRDefault="004A5971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Pr="00B45C15" w:rsidRDefault="005403AF" w:rsidP="00477D6B">
    <w:pPr>
      <w:jc w:val="right"/>
      <w:rPr>
        <w:caps/>
      </w:rPr>
    </w:pPr>
    <w:r w:rsidRPr="005403AF">
      <w:rPr>
        <w:caps/>
      </w:rPr>
      <w:t>C</w:t>
    </w:r>
    <w:r w:rsidR="0052444F">
      <w:rPr>
        <w:caps/>
      </w:rPr>
      <w:t>WS/10/1 </w:t>
    </w:r>
    <w:r w:rsidRPr="005403AF">
      <w:rPr>
        <w:caps/>
      </w:rPr>
      <w:t>P</w:t>
    </w:r>
    <w:r w:rsidR="0052444F" w:rsidRPr="0052444F">
      <w:t>rov</w:t>
    </w:r>
    <w:r>
      <w:rPr>
        <w:caps/>
      </w:rPr>
      <w:t>.</w:t>
    </w:r>
    <w:r w:rsidR="009932B2">
      <w:rPr>
        <w:caps/>
      </w:rPr>
      <w:t>3</w:t>
    </w:r>
  </w:p>
  <w:p w:rsidR="00574036" w:rsidRDefault="00F16975" w:rsidP="0052444F">
    <w:pPr>
      <w:spacing w:after="480"/>
      <w:jc w:val="right"/>
    </w:pPr>
    <w:r>
      <w:t>page</w:t>
    </w:r>
    <w:r w:rsidR="0052444F">
      <w:t> </w:t>
    </w:r>
    <w:r>
      <w:fldChar w:fldCharType="begin"/>
    </w:r>
    <w:r>
      <w:instrText xml:space="preserve"> PAGE  \* MERGEFORMAT </w:instrText>
    </w:r>
    <w:r>
      <w:fldChar w:fldCharType="separate"/>
    </w:r>
    <w:r w:rsidR="001F0599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EA"/>
    <w:rsid w:val="00011B7D"/>
    <w:rsid w:val="00037E41"/>
    <w:rsid w:val="00075432"/>
    <w:rsid w:val="0009458A"/>
    <w:rsid w:val="000F5E56"/>
    <w:rsid w:val="001362EE"/>
    <w:rsid w:val="0016548C"/>
    <w:rsid w:val="001832A6"/>
    <w:rsid w:val="00192DFB"/>
    <w:rsid w:val="00195C6E"/>
    <w:rsid w:val="001B266A"/>
    <w:rsid w:val="001B488E"/>
    <w:rsid w:val="001C6508"/>
    <w:rsid w:val="001D1AD8"/>
    <w:rsid w:val="001D3D56"/>
    <w:rsid w:val="001F0599"/>
    <w:rsid w:val="00240654"/>
    <w:rsid w:val="002634C4"/>
    <w:rsid w:val="0027699E"/>
    <w:rsid w:val="002956DE"/>
    <w:rsid w:val="002E4D1A"/>
    <w:rsid w:val="002F16BC"/>
    <w:rsid w:val="002F4E68"/>
    <w:rsid w:val="00322C0B"/>
    <w:rsid w:val="00340FB4"/>
    <w:rsid w:val="00381798"/>
    <w:rsid w:val="003845C1"/>
    <w:rsid w:val="003A0363"/>
    <w:rsid w:val="003A67A3"/>
    <w:rsid w:val="003F107D"/>
    <w:rsid w:val="004008A2"/>
    <w:rsid w:val="004025DF"/>
    <w:rsid w:val="0040540C"/>
    <w:rsid w:val="00423E3E"/>
    <w:rsid w:val="00427AF4"/>
    <w:rsid w:val="004527EA"/>
    <w:rsid w:val="004647DA"/>
    <w:rsid w:val="004729F2"/>
    <w:rsid w:val="004756FC"/>
    <w:rsid w:val="00477D6B"/>
    <w:rsid w:val="004A5971"/>
    <w:rsid w:val="004D6471"/>
    <w:rsid w:val="0051455D"/>
    <w:rsid w:val="0052444F"/>
    <w:rsid w:val="00525B63"/>
    <w:rsid w:val="00525E59"/>
    <w:rsid w:val="005403AF"/>
    <w:rsid w:val="00541348"/>
    <w:rsid w:val="005421DD"/>
    <w:rsid w:val="00554FA5"/>
    <w:rsid w:val="00567A4C"/>
    <w:rsid w:val="00574036"/>
    <w:rsid w:val="00594AA1"/>
    <w:rsid w:val="00595F07"/>
    <w:rsid w:val="005E6516"/>
    <w:rsid w:val="00605827"/>
    <w:rsid w:val="00616671"/>
    <w:rsid w:val="00632A7B"/>
    <w:rsid w:val="00655AED"/>
    <w:rsid w:val="006B0DB5"/>
    <w:rsid w:val="007461F1"/>
    <w:rsid w:val="0077684C"/>
    <w:rsid w:val="007A0A69"/>
    <w:rsid w:val="007D6961"/>
    <w:rsid w:val="007F07CB"/>
    <w:rsid w:val="00800BEA"/>
    <w:rsid w:val="00810CEF"/>
    <w:rsid w:val="0081208D"/>
    <w:rsid w:val="008B2CC1"/>
    <w:rsid w:val="008E7930"/>
    <w:rsid w:val="0090731E"/>
    <w:rsid w:val="00966A22"/>
    <w:rsid w:val="00974CD6"/>
    <w:rsid w:val="009814AA"/>
    <w:rsid w:val="009932B2"/>
    <w:rsid w:val="009A5F5E"/>
    <w:rsid w:val="009D30E6"/>
    <w:rsid w:val="009E3F6F"/>
    <w:rsid w:val="009F499F"/>
    <w:rsid w:val="00A11D74"/>
    <w:rsid w:val="00A600BA"/>
    <w:rsid w:val="00AC0AE4"/>
    <w:rsid w:val="00AD61DB"/>
    <w:rsid w:val="00AE6EEE"/>
    <w:rsid w:val="00B1090C"/>
    <w:rsid w:val="00B35AF5"/>
    <w:rsid w:val="00B45C15"/>
    <w:rsid w:val="00B94FDE"/>
    <w:rsid w:val="00BE0BE0"/>
    <w:rsid w:val="00C57098"/>
    <w:rsid w:val="00C664C8"/>
    <w:rsid w:val="00CD10EA"/>
    <w:rsid w:val="00CE3520"/>
    <w:rsid w:val="00CF0460"/>
    <w:rsid w:val="00CF3410"/>
    <w:rsid w:val="00D43E0F"/>
    <w:rsid w:val="00D45252"/>
    <w:rsid w:val="00D71B4D"/>
    <w:rsid w:val="00D75C1E"/>
    <w:rsid w:val="00D93D55"/>
    <w:rsid w:val="00DB1C48"/>
    <w:rsid w:val="00DD4917"/>
    <w:rsid w:val="00DD6A16"/>
    <w:rsid w:val="00E0091A"/>
    <w:rsid w:val="00E203AA"/>
    <w:rsid w:val="00E5217A"/>
    <w:rsid w:val="00E527A5"/>
    <w:rsid w:val="00E546DD"/>
    <w:rsid w:val="00E76456"/>
    <w:rsid w:val="00EE71CB"/>
    <w:rsid w:val="00F07917"/>
    <w:rsid w:val="00F16975"/>
    <w:rsid w:val="00F66152"/>
    <w:rsid w:val="00FE19E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06A878-DEF1-4D65-A329-4D73580E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Title">
    <w:name w:val="Title"/>
    <w:basedOn w:val="Heading1"/>
    <w:next w:val="Normal"/>
    <w:link w:val="TitleChar"/>
    <w:qFormat/>
    <w:rsid w:val="00037E41"/>
    <w:pPr>
      <w:spacing w:before="0" w:after="480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037E41"/>
    <w:rPr>
      <w:rFonts w:ascii="Arial" w:eastAsiaTheme="majorEastAsia" w:hAnsi="Arial" w:cstheme="majorBidi"/>
      <w:b/>
      <w:bCs/>
      <w:caps/>
      <w:spacing w:val="-10"/>
      <w:kern w:val="28"/>
      <w:sz w:val="28"/>
      <w:szCs w:val="56"/>
      <w:lang w:eastAsia="zh-CN"/>
    </w:rPr>
  </w:style>
  <w:style w:type="character" w:styleId="Hyperlink">
    <w:name w:val="Hyperlink"/>
    <w:basedOn w:val="DefaultParagraphFont"/>
    <w:semiHidden/>
    <w:unhideWhenUsed/>
    <w:rsid w:val="001654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9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25C72-2F8F-4AD7-9B26-DF27CA75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CWS_9 (F)</Template>
  <TotalTime>3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CWS/10/1</vt:lpstr>
      <vt:lpstr>CWS/10/1</vt:lpstr>
    </vt:vector>
  </TitlesOfParts>
  <Company>WIPO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CWS/10/1 Prov.3</dc:title>
  <dc:creator>WIPO</dc:creator>
  <cp:keywords>FOR OFFICIAL USE ONLY</cp:keywords>
  <cp:lastModifiedBy>CHAVAS Louison</cp:lastModifiedBy>
  <cp:revision>2</cp:revision>
  <cp:lastPrinted>2011-05-19T12:37:00Z</cp:lastPrinted>
  <dcterms:created xsi:type="dcterms:W3CDTF">2022-11-17T15:04:00Z</dcterms:created>
  <dcterms:modified xsi:type="dcterms:W3CDTF">2022-11-17T15:04:00Z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eb7a0301-a09b-4b7d-bf25-247b90ccf23d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