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3614F0" w:rsidRDefault="00DB0349" w:rsidP="00DB0349">
      <w:pPr>
        <w:spacing w:after="120"/>
        <w:jc w:val="right"/>
        <w:rPr>
          <w:lang w:val="fr-FR"/>
        </w:rPr>
      </w:pPr>
      <w:r w:rsidRPr="003614F0">
        <w:rPr>
          <w:noProof/>
          <w:lang w:val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3614F0">
        <w:rPr>
          <w:rFonts w:ascii="Arial Black" w:hAnsi="Arial Black"/>
          <w:caps/>
          <w:noProof/>
          <w:sz w:val="15"/>
          <w:szCs w:val="15"/>
          <w:lang w:val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5C1E14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3614F0" w:rsidRDefault="00197881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3614F0">
        <w:rPr>
          <w:rFonts w:ascii="Arial Black" w:hAnsi="Arial Black"/>
          <w:caps/>
          <w:sz w:val="15"/>
          <w:szCs w:val="15"/>
          <w:lang w:val="fr-FR"/>
        </w:rPr>
        <w:t>CWS/10/</w:t>
      </w:r>
      <w:bookmarkStart w:id="0" w:name="Code"/>
      <w:bookmarkEnd w:id="0"/>
      <w:r w:rsidR="00490C89" w:rsidRPr="003614F0">
        <w:rPr>
          <w:rFonts w:ascii="Arial Black" w:hAnsi="Arial Black"/>
          <w:caps/>
          <w:sz w:val="15"/>
          <w:szCs w:val="15"/>
          <w:lang w:val="fr-FR"/>
        </w:rPr>
        <w:t>19</w:t>
      </w:r>
    </w:p>
    <w:p w:rsidR="008B2CC1" w:rsidRPr="003614F0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3614F0">
        <w:rPr>
          <w:rFonts w:ascii="Arial Black" w:hAnsi="Arial Black"/>
          <w:caps/>
          <w:sz w:val="15"/>
          <w:szCs w:val="15"/>
          <w:lang w:val="fr-FR"/>
        </w:rPr>
        <w:t>Original</w:t>
      </w:r>
      <w:r w:rsidR="00D9616B" w:rsidRPr="003614F0">
        <w:rPr>
          <w:rFonts w:ascii="Arial Black" w:hAnsi="Arial Black"/>
          <w:caps/>
          <w:sz w:val="15"/>
          <w:szCs w:val="15"/>
          <w:lang w:val="fr-FR"/>
        </w:rPr>
        <w:t> :</w:t>
      </w:r>
      <w:r w:rsidRPr="003614F0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490C89" w:rsidRPr="003614F0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:rsidR="008B2CC1" w:rsidRPr="003614F0" w:rsidRDefault="00DB0349" w:rsidP="00DB0349">
      <w:pPr>
        <w:spacing w:after="1200"/>
        <w:jc w:val="right"/>
        <w:rPr>
          <w:rFonts w:ascii="Arial Black" w:hAnsi="Arial Black"/>
          <w:b/>
          <w:caps/>
          <w:sz w:val="15"/>
          <w:szCs w:val="15"/>
          <w:lang w:val="fr-FR"/>
        </w:rPr>
      </w:pPr>
      <w:r w:rsidRPr="003614F0">
        <w:rPr>
          <w:rFonts w:ascii="Arial Black" w:hAnsi="Arial Black"/>
          <w:caps/>
          <w:sz w:val="15"/>
          <w:szCs w:val="15"/>
          <w:lang w:val="fr-FR"/>
        </w:rPr>
        <w:t>date</w:t>
      </w:r>
      <w:r w:rsidR="00D9616B" w:rsidRPr="003614F0">
        <w:rPr>
          <w:rFonts w:ascii="Arial Black" w:hAnsi="Arial Black"/>
          <w:caps/>
          <w:sz w:val="15"/>
          <w:szCs w:val="15"/>
          <w:lang w:val="fr-FR"/>
        </w:rPr>
        <w:t> :</w:t>
      </w:r>
      <w:r w:rsidRPr="003614F0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490C89" w:rsidRPr="003614F0">
        <w:rPr>
          <w:rFonts w:ascii="Arial Black" w:hAnsi="Arial Black"/>
          <w:caps/>
          <w:sz w:val="15"/>
          <w:szCs w:val="15"/>
          <w:lang w:val="fr-FR"/>
        </w:rPr>
        <w:t>20 septembre 2022</w:t>
      </w:r>
    </w:p>
    <w:bookmarkEnd w:id="2"/>
    <w:p w:rsidR="00C40E15" w:rsidRPr="003614F0" w:rsidRDefault="00197881" w:rsidP="00DB0349">
      <w:pPr>
        <w:spacing w:after="600"/>
        <w:rPr>
          <w:b/>
          <w:sz w:val="28"/>
          <w:szCs w:val="28"/>
          <w:lang w:val="fr-FR"/>
        </w:rPr>
      </w:pPr>
      <w:r w:rsidRPr="003614F0">
        <w:rPr>
          <w:b/>
          <w:sz w:val="28"/>
          <w:szCs w:val="28"/>
          <w:lang w:val="fr-FR"/>
        </w:rPr>
        <w:t>Comité des normes de l</w:t>
      </w:r>
      <w:r w:rsidR="00D9616B" w:rsidRPr="003614F0">
        <w:rPr>
          <w:b/>
          <w:sz w:val="28"/>
          <w:szCs w:val="28"/>
          <w:lang w:val="fr-FR"/>
        </w:rPr>
        <w:t>’</w:t>
      </w:r>
      <w:r w:rsidRPr="003614F0">
        <w:rPr>
          <w:b/>
          <w:sz w:val="28"/>
          <w:szCs w:val="28"/>
          <w:lang w:val="fr-FR"/>
        </w:rPr>
        <w:t>OMPI (</w:t>
      </w:r>
      <w:bookmarkStart w:id="3" w:name="_GoBack"/>
      <w:bookmarkEnd w:id="3"/>
      <w:r w:rsidRPr="003614F0">
        <w:rPr>
          <w:b/>
          <w:sz w:val="28"/>
          <w:szCs w:val="28"/>
          <w:lang w:val="fr-FR"/>
        </w:rPr>
        <w:t>CWS)</w:t>
      </w:r>
    </w:p>
    <w:p w:rsidR="008B2CC1" w:rsidRPr="003614F0" w:rsidRDefault="00197881" w:rsidP="008B2CC1">
      <w:pPr>
        <w:rPr>
          <w:b/>
          <w:sz w:val="28"/>
          <w:szCs w:val="24"/>
          <w:lang w:val="fr-FR"/>
        </w:rPr>
      </w:pPr>
      <w:r w:rsidRPr="003614F0">
        <w:rPr>
          <w:b/>
          <w:sz w:val="24"/>
          <w:lang w:val="fr-FR"/>
        </w:rPr>
        <w:t>Dix</w:t>
      </w:r>
      <w:r w:rsidR="00D9616B" w:rsidRPr="003614F0">
        <w:rPr>
          <w:b/>
          <w:sz w:val="24"/>
          <w:lang w:val="fr-FR"/>
        </w:rPr>
        <w:t>ième session</w:t>
      </w:r>
    </w:p>
    <w:p w:rsidR="008B2CC1" w:rsidRPr="003614F0" w:rsidRDefault="00197881" w:rsidP="00DB0349">
      <w:pPr>
        <w:spacing w:after="720"/>
        <w:rPr>
          <w:b/>
          <w:sz w:val="28"/>
          <w:szCs w:val="24"/>
          <w:lang w:val="fr-FR"/>
        </w:rPr>
      </w:pPr>
      <w:r w:rsidRPr="003614F0">
        <w:rPr>
          <w:b/>
          <w:sz w:val="24"/>
          <w:lang w:val="fr-FR"/>
        </w:rPr>
        <w:t>Genève, 21</w:t>
      </w:r>
      <w:r w:rsidR="008236DE" w:rsidRPr="003614F0">
        <w:rPr>
          <w:b/>
          <w:sz w:val="24"/>
          <w:lang w:val="fr-FR"/>
        </w:rPr>
        <w:t xml:space="preserve"> </w:t>
      </w:r>
      <w:r w:rsidRPr="003614F0">
        <w:rPr>
          <w:b/>
          <w:sz w:val="24"/>
          <w:lang w:val="fr-FR"/>
        </w:rPr>
        <w:t>– 2</w:t>
      </w:r>
      <w:r w:rsidR="00D9616B" w:rsidRPr="003614F0">
        <w:rPr>
          <w:b/>
          <w:sz w:val="24"/>
          <w:lang w:val="fr-FR"/>
        </w:rPr>
        <w:t>5 novembre 20</w:t>
      </w:r>
      <w:r w:rsidRPr="003614F0">
        <w:rPr>
          <w:b/>
          <w:sz w:val="24"/>
          <w:lang w:val="fr-FR"/>
        </w:rPr>
        <w:t>22</w:t>
      </w:r>
    </w:p>
    <w:p w:rsidR="008B2CC1" w:rsidRPr="003614F0" w:rsidRDefault="00490C89" w:rsidP="00DB0349">
      <w:pPr>
        <w:spacing w:after="360"/>
        <w:rPr>
          <w:caps/>
          <w:sz w:val="24"/>
          <w:lang w:val="fr-FR"/>
        </w:rPr>
      </w:pPr>
      <w:bookmarkStart w:id="4" w:name="TitleOfDoc"/>
      <w:r w:rsidRPr="003614F0">
        <w:rPr>
          <w:caps/>
          <w:sz w:val="24"/>
          <w:lang w:val="fr-FR"/>
        </w:rPr>
        <w:t>Rapport 2021 sur les rapports techniques annuels</w:t>
      </w:r>
    </w:p>
    <w:p w:rsidR="00525B63" w:rsidRPr="003614F0" w:rsidRDefault="00490C89" w:rsidP="00DB0349">
      <w:pPr>
        <w:spacing w:after="960"/>
        <w:rPr>
          <w:i/>
          <w:lang w:val="fr-FR"/>
        </w:rPr>
      </w:pPr>
      <w:bookmarkStart w:id="5" w:name="Prepared"/>
      <w:bookmarkEnd w:id="4"/>
      <w:r w:rsidRPr="003614F0">
        <w:rPr>
          <w:i/>
          <w:lang w:val="fr-FR"/>
        </w:rPr>
        <w:t>Document établi par le Bureau international</w:t>
      </w:r>
    </w:p>
    <w:bookmarkEnd w:id="5"/>
    <w:p w:rsidR="00490C89" w:rsidRPr="003614F0" w:rsidRDefault="00490C89" w:rsidP="00490C89">
      <w:pPr>
        <w:pStyle w:val="Heading2"/>
        <w:rPr>
          <w:rFonts w:eastAsia="Malgun Gothic"/>
          <w:szCs w:val="22"/>
          <w:lang w:val="fr-FR"/>
        </w:rPr>
      </w:pPr>
      <w:r w:rsidRPr="003614F0">
        <w:rPr>
          <w:lang w:val="fr-FR"/>
        </w:rPr>
        <w:t>Rappel</w:t>
      </w:r>
    </w:p>
    <w:p w:rsidR="00490C89" w:rsidRPr="003614F0" w:rsidRDefault="00490C89" w:rsidP="00490C89">
      <w:pPr>
        <w:pStyle w:val="ONUMFS"/>
        <w:rPr>
          <w:lang w:val="fr-FR"/>
        </w:rPr>
      </w:pPr>
      <w:r w:rsidRPr="003614F0">
        <w:rPr>
          <w:lang w:val="fr-FR"/>
        </w:rPr>
        <w:t>À sa neuv</w:t>
      </w:r>
      <w:r w:rsidR="00D9616B" w:rsidRPr="003614F0">
        <w:rPr>
          <w:lang w:val="fr-FR"/>
        </w:rPr>
        <w:t>ième session</w:t>
      </w:r>
      <w:r w:rsidRPr="003614F0">
        <w:rPr>
          <w:lang w:val="fr-FR"/>
        </w:rPr>
        <w:t xml:space="preserve">, tenue </w:t>
      </w:r>
      <w:r w:rsidR="00D9616B" w:rsidRPr="003614F0">
        <w:rPr>
          <w:lang w:val="fr-FR"/>
        </w:rPr>
        <w:t>en 2021</w:t>
      </w:r>
      <w:r w:rsidRPr="003614F0">
        <w:rPr>
          <w:lang w:val="fr-FR"/>
        </w:rPr>
        <w:t>,</w:t>
      </w:r>
      <w:r w:rsidR="00D9616B" w:rsidRPr="003614F0">
        <w:rPr>
          <w:lang w:val="fr-FR"/>
        </w:rPr>
        <w:t xml:space="preserve"> le CWS</w:t>
      </w:r>
      <w:r w:rsidRPr="003614F0">
        <w:rPr>
          <w:lang w:val="fr-FR"/>
        </w:rPr>
        <w:t xml:space="preserve"> a approuvé la modification du mode de </w:t>
      </w:r>
      <w:proofErr w:type="gramStart"/>
      <w:r w:rsidRPr="003614F0">
        <w:rPr>
          <w:lang w:val="fr-FR"/>
        </w:rPr>
        <w:t>collecte</w:t>
      </w:r>
      <w:proofErr w:type="gramEnd"/>
      <w:r w:rsidRPr="003614F0">
        <w:rPr>
          <w:lang w:val="fr-FR"/>
        </w:rPr>
        <w:t xml:space="preserve"> des rapports techniques annuels, compte tenu de la baisse du taux de participation des offices de propriété intellectuel</w:t>
      </w:r>
      <w:r w:rsidR="003614F0" w:rsidRPr="003614F0">
        <w:rPr>
          <w:lang w:val="fr-FR"/>
        </w:rPr>
        <w:t>le.  Le</w:t>
      </w:r>
      <w:r w:rsidR="00D9616B" w:rsidRPr="003614F0">
        <w:rPr>
          <w:lang w:val="fr-FR"/>
        </w:rPr>
        <w:t> CWS</w:t>
      </w:r>
      <w:r w:rsidRPr="003614F0">
        <w:rPr>
          <w:lang w:val="fr-FR"/>
        </w:rPr>
        <w:t xml:space="preserve"> a adopté un format simplifié permettant aux offices de fournir des liens vers leur rapport annuel ou leur site</w:t>
      </w:r>
      <w:r w:rsidR="00B91762" w:rsidRPr="003614F0">
        <w:rPr>
          <w:lang w:val="fr-FR"/>
        </w:rPr>
        <w:t> </w:t>
      </w:r>
      <w:r w:rsidRPr="003614F0">
        <w:rPr>
          <w:lang w:val="fr-FR"/>
        </w:rPr>
        <w:t>Web au lieu d</w:t>
      </w:r>
      <w:r w:rsidR="00D9616B" w:rsidRPr="003614F0">
        <w:rPr>
          <w:lang w:val="fr-FR"/>
        </w:rPr>
        <w:t>’</w:t>
      </w:r>
      <w:r w:rsidRPr="003614F0">
        <w:rPr>
          <w:lang w:val="fr-FR"/>
        </w:rPr>
        <w:t>un texte s</w:t>
      </w:r>
      <w:r w:rsidR="00D9616B" w:rsidRPr="003614F0">
        <w:rPr>
          <w:lang w:val="fr-FR"/>
        </w:rPr>
        <w:t>’</w:t>
      </w:r>
      <w:r w:rsidRPr="003614F0">
        <w:rPr>
          <w:lang w:val="fr-FR"/>
        </w:rPr>
        <w:t>ils le souhaite</w:t>
      </w:r>
      <w:r w:rsidR="003614F0" w:rsidRPr="003614F0">
        <w:rPr>
          <w:lang w:val="fr-FR"/>
        </w:rPr>
        <w:t>nt.  Le</w:t>
      </w:r>
      <w:r w:rsidRPr="003614F0">
        <w:rPr>
          <w:lang w:val="fr-FR"/>
        </w:rPr>
        <w:t xml:space="preserve"> format simplifié sera utilisé pendant trois</w:t>
      </w:r>
      <w:r w:rsidR="00B91762" w:rsidRPr="003614F0">
        <w:rPr>
          <w:lang w:val="fr-FR"/>
        </w:rPr>
        <w:t> </w:t>
      </w:r>
      <w:r w:rsidRPr="003614F0">
        <w:rPr>
          <w:lang w:val="fr-FR"/>
        </w:rPr>
        <w:t>ans, puis</w:t>
      </w:r>
      <w:r w:rsidR="00D9616B" w:rsidRPr="003614F0">
        <w:rPr>
          <w:lang w:val="fr-FR"/>
        </w:rPr>
        <w:t xml:space="preserve"> le CWS</w:t>
      </w:r>
      <w:r w:rsidRPr="003614F0">
        <w:rPr>
          <w:lang w:val="fr-FR"/>
        </w:rPr>
        <w:t xml:space="preserve"> réexaminera la question de savoir s</w:t>
      </w:r>
      <w:r w:rsidR="00D9616B" w:rsidRPr="003614F0">
        <w:rPr>
          <w:lang w:val="fr-FR"/>
        </w:rPr>
        <w:t>’</w:t>
      </w:r>
      <w:r w:rsidRPr="003614F0">
        <w:rPr>
          <w:lang w:val="fr-FR"/>
        </w:rPr>
        <w:t xml:space="preserve">il convient de poursuivre la collecte de rapports techniques annuels (voir les </w:t>
      </w:r>
      <w:r w:rsidR="00D9616B" w:rsidRPr="003614F0">
        <w:rPr>
          <w:lang w:val="fr-FR"/>
        </w:rPr>
        <w:t>paragraphes 9</w:t>
      </w:r>
      <w:r w:rsidRPr="003614F0">
        <w:rPr>
          <w:lang w:val="fr-FR"/>
        </w:rPr>
        <w:t>7 à 105 du document CWS/9/25).</w:t>
      </w:r>
    </w:p>
    <w:p w:rsidR="00490C89" w:rsidRPr="003614F0" w:rsidRDefault="00490C89" w:rsidP="00490C89">
      <w:pPr>
        <w:pStyle w:val="Heading2"/>
        <w:rPr>
          <w:lang w:val="fr-FR"/>
        </w:rPr>
      </w:pPr>
      <w:r w:rsidRPr="003614F0">
        <w:rPr>
          <w:lang w:val="fr-FR"/>
        </w:rPr>
        <w:t>Rapport d</w:t>
      </w:r>
      <w:r w:rsidR="00D9616B" w:rsidRPr="003614F0">
        <w:rPr>
          <w:lang w:val="fr-FR"/>
        </w:rPr>
        <w:t>’</w:t>
      </w:r>
      <w:r w:rsidRPr="003614F0">
        <w:rPr>
          <w:lang w:val="fr-FR"/>
        </w:rPr>
        <w:t>activité</w:t>
      </w:r>
    </w:p>
    <w:p w:rsidR="00490C89" w:rsidRPr="003614F0" w:rsidRDefault="00490C89" w:rsidP="00490C89">
      <w:pPr>
        <w:pStyle w:val="ONUMFS"/>
        <w:rPr>
          <w:lang w:val="fr-FR"/>
        </w:rPr>
      </w:pPr>
      <w:r w:rsidRPr="003614F0">
        <w:rPr>
          <w:lang w:val="fr-FR"/>
        </w:rPr>
        <w:t xml:space="preserve">En </w:t>
      </w:r>
      <w:r w:rsidR="00D9616B" w:rsidRPr="003614F0">
        <w:rPr>
          <w:lang w:val="fr-FR"/>
        </w:rPr>
        <w:t>avril 20</w:t>
      </w:r>
      <w:r w:rsidRPr="003614F0">
        <w:rPr>
          <w:lang w:val="fr-FR"/>
        </w:rPr>
        <w:t>22, le Secrétariat a diffusé un modèle de rapport technique annuel simplifié auprès des fournisseurs de rapports enregistrés pour observations.  Quatre</w:t>
      </w:r>
      <w:r w:rsidR="00B91762" w:rsidRPr="003614F0">
        <w:rPr>
          <w:lang w:val="fr-FR"/>
        </w:rPr>
        <w:t> </w:t>
      </w:r>
      <w:r w:rsidRPr="003614F0">
        <w:rPr>
          <w:lang w:val="fr-FR"/>
        </w:rPr>
        <w:t>offices ont répondu à la demande et tous approuvaient le modèle simplifié pour autant que les autres pratiques en la matière ne soient pas modifiées (</w:t>
      </w:r>
      <w:r w:rsidR="00D9616B" w:rsidRPr="003614F0">
        <w:rPr>
          <w:lang w:val="fr-FR"/>
        </w:rPr>
        <w:t>à savoir</w:t>
      </w:r>
      <w:r w:rsidRPr="003614F0">
        <w:rPr>
          <w:lang w:val="fr-FR"/>
        </w:rPr>
        <w:t>, annoncer la collecte de rapport au moyen de circulaires et permettre aux offices de fournir des réponses en texte intégr</w:t>
      </w:r>
      <w:r w:rsidR="003614F0" w:rsidRPr="003614F0">
        <w:rPr>
          <w:lang w:val="fr-FR"/>
        </w:rPr>
        <w:t>al).  Le</w:t>
      </w:r>
      <w:r w:rsidRPr="003614F0">
        <w:rPr>
          <w:lang w:val="fr-FR"/>
        </w:rPr>
        <w:t xml:space="preserve"> Secrétariat a confirmé que ces pratiques continueraient d</w:t>
      </w:r>
      <w:r w:rsidR="00D9616B" w:rsidRPr="003614F0">
        <w:rPr>
          <w:lang w:val="fr-FR"/>
        </w:rPr>
        <w:t>’</w:t>
      </w:r>
      <w:r w:rsidRPr="003614F0">
        <w:rPr>
          <w:lang w:val="fr-FR"/>
        </w:rPr>
        <w:t>être appliquées pendant la période d</w:t>
      </w:r>
      <w:r w:rsidR="00D9616B" w:rsidRPr="003614F0">
        <w:rPr>
          <w:lang w:val="fr-FR"/>
        </w:rPr>
        <w:t>’</w:t>
      </w:r>
      <w:r w:rsidRPr="003614F0">
        <w:rPr>
          <w:lang w:val="fr-FR"/>
        </w:rPr>
        <w:t>essai de trois</w:t>
      </w:r>
      <w:r w:rsidR="00B91762" w:rsidRPr="003614F0">
        <w:rPr>
          <w:lang w:val="fr-FR"/>
        </w:rPr>
        <w:t> </w:t>
      </w:r>
      <w:r w:rsidRPr="003614F0">
        <w:rPr>
          <w:lang w:val="fr-FR"/>
        </w:rPr>
        <w:t>ans du format simplifié.</w:t>
      </w:r>
    </w:p>
    <w:p w:rsidR="00D9616B" w:rsidRPr="003614F0" w:rsidRDefault="00490C89" w:rsidP="00490C89">
      <w:pPr>
        <w:pStyle w:val="ONUMFS"/>
        <w:rPr>
          <w:lang w:val="fr-FR"/>
        </w:rPr>
      </w:pPr>
      <w:r w:rsidRPr="003614F0">
        <w:rPr>
          <w:lang w:val="fr-FR"/>
        </w:rPr>
        <w:t xml:space="preserve">En </w:t>
      </w:r>
      <w:r w:rsidR="00D9616B" w:rsidRPr="003614F0">
        <w:rPr>
          <w:lang w:val="fr-FR"/>
        </w:rPr>
        <w:t>juin 20</w:t>
      </w:r>
      <w:r w:rsidRPr="003614F0">
        <w:rPr>
          <w:lang w:val="fr-FR"/>
        </w:rPr>
        <w:t>22, le Secrétariat a diffusé les circulaires C.</w:t>
      </w:r>
      <w:r w:rsidR="00B91762" w:rsidRPr="003614F0">
        <w:rPr>
          <w:lang w:val="fr-FR"/>
        </w:rPr>
        <w:t> </w:t>
      </w:r>
      <w:r w:rsidRPr="003614F0">
        <w:rPr>
          <w:lang w:val="fr-FR"/>
        </w:rPr>
        <w:t>CWS 158, 159 et 160, dans lesquelles il priait les offices de propriété intellectuelle de présenter des rapports techniques annuels sur les activités qu</w:t>
      </w:r>
      <w:r w:rsidR="00D9616B" w:rsidRPr="003614F0">
        <w:rPr>
          <w:lang w:val="fr-FR"/>
        </w:rPr>
        <w:t>’</w:t>
      </w:r>
      <w:r w:rsidRPr="003614F0">
        <w:rPr>
          <w:lang w:val="fr-FR"/>
        </w:rPr>
        <w:t xml:space="preserve">ils avaient menées </w:t>
      </w:r>
      <w:r w:rsidR="00D9616B" w:rsidRPr="003614F0">
        <w:rPr>
          <w:lang w:val="fr-FR"/>
        </w:rPr>
        <w:t>en 2021</w:t>
      </w:r>
      <w:r w:rsidRPr="003614F0">
        <w:rPr>
          <w:lang w:val="fr-FR"/>
        </w:rPr>
        <w:t>.  Des communications ont été reçues de 17</w:t>
      </w:r>
      <w:r w:rsidR="00672046">
        <w:rPr>
          <w:lang w:val="fr-FR"/>
        </w:rPr>
        <w:t> </w:t>
      </w:r>
      <w:r w:rsidRPr="003614F0">
        <w:rPr>
          <w:lang w:val="fr-FR"/>
        </w:rPr>
        <w:t>offices de propriété intellectuelle, ce qui représente une légère baisse par rapport à l</w:t>
      </w:r>
      <w:r w:rsidR="00D9616B" w:rsidRPr="003614F0">
        <w:rPr>
          <w:lang w:val="fr-FR"/>
        </w:rPr>
        <w:t>’</w:t>
      </w:r>
      <w:r w:rsidRPr="003614F0">
        <w:rPr>
          <w:lang w:val="fr-FR"/>
        </w:rPr>
        <w:t>année dernière où 19</w:t>
      </w:r>
      <w:r w:rsidR="00672046">
        <w:rPr>
          <w:lang w:val="fr-FR"/>
        </w:rPr>
        <w:t> </w:t>
      </w:r>
      <w:r w:rsidRPr="003614F0">
        <w:rPr>
          <w:lang w:val="fr-FR"/>
        </w:rPr>
        <w:t>offices avaient fourni des informations sur les activités qu</w:t>
      </w:r>
      <w:r w:rsidR="00D9616B" w:rsidRPr="003614F0">
        <w:rPr>
          <w:lang w:val="fr-FR"/>
        </w:rPr>
        <w:t>’</w:t>
      </w:r>
      <w:r w:rsidRPr="003614F0">
        <w:rPr>
          <w:lang w:val="fr-FR"/>
        </w:rPr>
        <w:t xml:space="preserve">ils avaient menées </w:t>
      </w:r>
      <w:r w:rsidR="00D9616B" w:rsidRPr="003614F0">
        <w:rPr>
          <w:lang w:val="fr-FR"/>
        </w:rPr>
        <w:t>en 2020</w:t>
      </w:r>
      <w:r w:rsidRPr="003614F0">
        <w:rPr>
          <w:lang w:val="fr-FR"/>
        </w:rPr>
        <w:t>.</w:t>
      </w:r>
    </w:p>
    <w:p w:rsidR="00490C89" w:rsidRPr="003614F0" w:rsidRDefault="00490C89" w:rsidP="00490C89">
      <w:pPr>
        <w:pStyle w:val="ONUMFS"/>
        <w:rPr>
          <w:lang w:val="fr-FR"/>
        </w:rPr>
      </w:pPr>
      <w:r w:rsidRPr="003614F0">
        <w:rPr>
          <w:lang w:val="fr-FR"/>
        </w:rPr>
        <w:lastRenderedPageBreak/>
        <w:t>Sur les 17</w:t>
      </w:r>
      <w:r w:rsidR="00672046">
        <w:rPr>
          <w:lang w:val="fr-FR"/>
        </w:rPr>
        <w:t> </w:t>
      </w:r>
      <w:r w:rsidRPr="003614F0">
        <w:rPr>
          <w:lang w:val="fr-FR"/>
        </w:rPr>
        <w:t xml:space="preserve">offices de propriété intellectuelle ayant fourni des communications </w:t>
      </w:r>
      <w:r w:rsidR="00D9616B" w:rsidRPr="003614F0">
        <w:rPr>
          <w:lang w:val="fr-FR"/>
        </w:rPr>
        <w:t>pour 2021</w:t>
      </w:r>
      <w:r w:rsidRPr="003614F0">
        <w:rPr>
          <w:lang w:val="fr-FR"/>
        </w:rPr>
        <w:t>, sept ont utilisé le format simplifié des rapports techniques annuels pour fournir principalement des liens vers des informations sur leurs sites</w:t>
      </w:r>
      <w:r w:rsidR="00B91762" w:rsidRPr="003614F0">
        <w:rPr>
          <w:lang w:val="fr-FR"/>
        </w:rPr>
        <w:t> </w:t>
      </w:r>
      <w:r w:rsidRPr="003614F0">
        <w:rPr>
          <w:lang w:val="fr-FR"/>
        </w:rPr>
        <w:t>W</w:t>
      </w:r>
      <w:r w:rsidR="003614F0" w:rsidRPr="003614F0">
        <w:rPr>
          <w:lang w:val="fr-FR"/>
        </w:rPr>
        <w:t>eb.  Ce</w:t>
      </w:r>
      <w:r w:rsidRPr="003614F0">
        <w:rPr>
          <w:lang w:val="fr-FR"/>
        </w:rPr>
        <w:t>s participants ont tout de même saisi une quantité importante de texte afin de donner des instructions ou des informations qui ne figuraient pas sur site</w:t>
      </w:r>
      <w:r w:rsidR="00B91762" w:rsidRPr="003614F0">
        <w:rPr>
          <w:lang w:val="fr-FR"/>
        </w:rPr>
        <w:t> </w:t>
      </w:r>
      <w:r w:rsidRPr="003614F0">
        <w:rPr>
          <w:lang w:val="fr-FR"/>
        </w:rPr>
        <w:t>Web.</w:t>
      </w:r>
    </w:p>
    <w:p w:rsidR="00490C89" w:rsidRPr="003614F0" w:rsidRDefault="00490C89" w:rsidP="00490C89">
      <w:pPr>
        <w:pStyle w:val="ONUMFS"/>
        <w:rPr>
          <w:lang w:val="fr-FR"/>
        </w:rPr>
      </w:pPr>
      <w:r w:rsidRPr="003614F0">
        <w:rPr>
          <w:lang w:val="fr-FR"/>
        </w:rPr>
        <w:t>Au moment de l</w:t>
      </w:r>
      <w:r w:rsidR="00D9616B" w:rsidRPr="003614F0">
        <w:rPr>
          <w:lang w:val="fr-FR"/>
        </w:rPr>
        <w:t>’</w:t>
      </w:r>
      <w:r w:rsidRPr="003614F0">
        <w:rPr>
          <w:lang w:val="fr-FR"/>
        </w:rPr>
        <w:t xml:space="preserve">établissement du présent document, le Bureau international travaillait à la publication des rapports techniques annuels présentés </w:t>
      </w:r>
      <w:r w:rsidR="00D9616B" w:rsidRPr="003614F0">
        <w:rPr>
          <w:lang w:val="fr-FR"/>
        </w:rPr>
        <w:t>en 2021</w:t>
      </w:r>
      <w:r w:rsidRPr="003614F0">
        <w:rPr>
          <w:lang w:val="fr-FR"/>
        </w:rPr>
        <w:t>.  Ces rapports seront disponibles, en temps utile, sur le Wiki qui leur est consacré, à l</w:t>
      </w:r>
      <w:r w:rsidR="00D9616B" w:rsidRPr="003614F0">
        <w:rPr>
          <w:lang w:val="fr-FR"/>
        </w:rPr>
        <w:t>’</w:t>
      </w:r>
      <w:r w:rsidRPr="003614F0">
        <w:rPr>
          <w:lang w:val="fr-FR"/>
        </w:rPr>
        <w:t>adresse suivante</w:t>
      </w:r>
      <w:r w:rsidR="003614F0" w:rsidRPr="003614F0">
        <w:rPr>
          <w:lang w:val="fr-FR"/>
        </w:rPr>
        <w:t> </w:t>
      </w:r>
      <w:r w:rsidRPr="003614F0">
        <w:rPr>
          <w:lang w:val="fr-FR"/>
        </w:rPr>
        <w:t xml:space="preserve">: </w:t>
      </w:r>
      <w:hyperlink r:id="rId8" w:history="1">
        <w:r w:rsidRPr="003614F0">
          <w:rPr>
            <w:rStyle w:val="Hyperlink"/>
            <w:lang w:val="fr-FR"/>
          </w:rPr>
          <w:t>https://www3.wipo.int/confluence/x/dgfBAw</w:t>
        </w:r>
      </w:hyperlink>
      <w:r w:rsidRPr="003614F0">
        <w:rPr>
          <w:lang w:val="fr-FR"/>
        </w:rPr>
        <w:t>.</w:t>
      </w:r>
    </w:p>
    <w:p w:rsidR="00490C89" w:rsidRPr="003614F0" w:rsidRDefault="00490C89" w:rsidP="00D82442">
      <w:pPr>
        <w:pStyle w:val="ONUMFS"/>
        <w:ind w:left="5533"/>
        <w:rPr>
          <w:i/>
          <w:lang w:val="fr-FR"/>
        </w:rPr>
      </w:pPr>
      <w:r w:rsidRPr="003614F0">
        <w:rPr>
          <w:i/>
          <w:lang w:val="fr-FR"/>
        </w:rPr>
        <w:t>Le CWS est invité à prendre note du contenu du présent document.</w:t>
      </w:r>
    </w:p>
    <w:p w:rsidR="000F5E56" w:rsidRPr="003614F0" w:rsidRDefault="00490C89" w:rsidP="00490C89">
      <w:pPr>
        <w:pStyle w:val="Endofdocument-Annex"/>
      </w:pPr>
      <w:r w:rsidRPr="003614F0">
        <w:t>[Fin du document]</w:t>
      </w:r>
    </w:p>
    <w:sectPr w:rsidR="000F5E56" w:rsidRPr="003614F0" w:rsidSect="00490C8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A3A" w:rsidRDefault="00411A3A">
      <w:r>
        <w:separator/>
      </w:r>
    </w:p>
  </w:endnote>
  <w:endnote w:type="continuationSeparator" w:id="0">
    <w:p w:rsidR="00411A3A" w:rsidRPr="009D30E6" w:rsidRDefault="00411A3A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11A3A" w:rsidRPr="009D30E6" w:rsidRDefault="00411A3A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411A3A" w:rsidRPr="009D30E6" w:rsidRDefault="00411A3A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A3A" w:rsidRDefault="00411A3A">
      <w:r>
        <w:separator/>
      </w:r>
    </w:p>
  </w:footnote>
  <w:footnote w:type="continuationSeparator" w:id="0">
    <w:p w:rsidR="00411A3A" w:rsidRDefault="00411A3A" w:rsidP="007461F1">
      <w:r>
        <w:separator/>
      </w:r>
    </w:p>
    <w:p w:rsidR="00411A3A" w:rsidRPr="009D30E6" w:rsidRDefault="00411A3A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411A3A" w:rsidRPr="009D30E6" w:rsidRDefault="00411A3A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490C89" w:rsidP="00477D6B">
    <w:pPr>
      <w:jc w:val="right"/>
    </w:pPr>
    <w:bookmarkStart w:id="6" w:name="Code2"/>
    <w:bookmarkEnd w:id="6"/>
    <w:r>
      <w:t>CWS/10/19</w:t>
    </w:r>
  </w:p>
  <w:p w:rsidR="004F4E31" w:rsidRDefault="00D82442" w:rsidP="00D82442">
    <w:pPr>
      <w:spacing w:after="480"/>
      <w:jc w:val="right"/>
    </w:pPr>
    <w:r>
      <w:t>page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1824A4">
      <w:rPr>
        <w:noProof/>
      </w:rPr>
      <w:t>2</w:t>
    </w:r>
    <w:r w:rsidR="00F1697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89"/>
    <w:rsid w:val="00011B7D"/>
    <w:rsid w:val="0005415B"/>
    <w:rsid w:val="00075432"/>
    <w:rsid w:val="000F5E56"/>
    <w:rsid w:val="001362EE"/>
    <w:rsid w:val="001824A4"/>
    <w:rsid w:val="001832A6"/>
    <w:rsid w:val="00195C6E"/>
    <w:rsid w:val="00197881"/>
    <w:rsid w:val="001B266A"/>
    <w:rsid w:val="001D3D56"/>
    <w:rsid w:val="00240654"/>
    <w:rsid w:val="002634C4"/>
    <w:rsid w:val="002D4918"/>
    <w:rsid w:val="002E4D1A"/>
    <w:rsid w:val="002F16BC"/>
    <w:rsid w:val="002F4E68"/>
    <w:rsid w:val="00315FCA"/>
    <w:rsid w:val="003614F0"/>
    <w:rsid w:val="003845C1"/>
    <w:rsid w:val="003A1BCD"/>
    <w:rsid w:val="004008A2"/>
    <w:rsid w:val="004025DF"/>
    <w:rsid w:val="00411A3A"/>
    <w:rsid w:val="00423E3E"/>
    <w:rsid w:val="00427AF4"/>
    <w:rsid w:val="004647DA"/>
    <w:rsid w:val="00477D6B"/>
    <w:rsid w:val="00490C89"/>
    <w:rsid w:val="004D6471"/>
    <w:rsid w:val="004F4E31"/>
    <w:rsid w:val="00525B63"/>
    <w:rsid w:val="00547476"/>
    <w:rsid w:val="00561DB8"/>
    <w:rsid w:val="00567A4C"/>
    <w:rsid w:val="005E6516"/>
    <w:rsid w:val="00605827"/>
    <w:rsid w:val="00672046"/>
    <w:rsid w:val="00676936"/>
    <w:rsid w:val="006B0DB5"/>
    <w:rsid w:val="006E4243"/>
    <w:rsid w:val="007461F1"/>
    <w:rsid w:val="007D6961"/>
    <w:rsid w:val="007F07CB"/>
    <w:rsid w:val="00810CEF"/>
    <w:rsid w:val="0081208D"/>
    <w:rsid w:val="008236DE"/>
    <w:rsid w:val="00842A13"/>
    <w:rsid w:val="008B2CC1"/>
    <w:rsid w:val="008E7930"/>
    <w:rsid w:val="0090731E"/>
    <w:rsid w:val="00966A22"/>
    <w:rsid w:val="00974CD6"/>
    <w:rsid w:val="009D30E6"/>
    <w:rsid w:val="009E3F6F"/>
    <w:rsid w:val="009F499F"/>
    <w:rsid w:val="00A02BD3"/>
    <w:rsid w:val="00AA1F20"/>
    <w:rsid w:val="00AC0AE4"/>
    <w:rsid w:val="00AD61DB"/>
    <w:rsid w:val="00B87BCF"/>
    <w:rsid w:val="00B91762"/>
    <w:rsid w:val="00BA62D4"/>
    <w:rsid w:val="00C153FD"/>
    <w:rsid w:val="00C40E15"/>
    <w:rsid w:val="00C664C8"/>
    <w:rsid w:val="00C76A79"/>
    <w:rsid w:val="00CA15F5"/>
    <w:rsid w:val="00CF0460"/>
    <w:rsid w:val="00D45252"/>
    <w:rsid w:val="00D71B4D"/>
    <w:rsid w:val="00D75C1E"/>
    <w:rsid w:val="00D82442"/>
    <w:rsid w:val="00D93D55"/>
    <w:rsid w:val="00D9616B"/>
    <w:rsid w:val="00DB0349"/>
    <w:rsid w:val="00DD6A16"/>
    <w:rsid w:val="00E0091A"/>
    <w:rsid w:val="00E203AA"/>
    <w:rsid w:val="00E527A5"/>
    <w:rsid w:val="00E76456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AE8599-257F-450A-A37E-05D3BC54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490C89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490C89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Endofdocument">
    <w:name w:val="End of document"/>
    <w:basedOn w:val="Normal"/>
    <w:rsid w:val="00490C89"/>
    <w:pPr>
      <w:spacing w:line="260" w:lineRule="atLeast"/>
      <w:ind w:left="5534"/>
    </w:pPr>
    <w:rPr>
      <w:rFonts w:eastAsia="Times New Roman" w:cs="Times New Roman"/>
      <w:sz w:val="20"/>
      <w:lang w:val="fr-FR" w:eastAsia="en-US"/>
    </w:rPr>
  </w:style>
  <w:style w:type="character" w:styleId="Hyperlink">
    <w:name w:val="Hyperlink"/>
    <w:basedOn w:val="DefaultParagraphFont"/>
    <w:unhideWhenUsed/>
    <w:rsid w:val="00490C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onfluence/x/dgfBA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0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CWS_10 (F)</Template>
  <TotalTime>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CWS/10/19</vt:lpstr>
    </vt:vector>
  </TitlesOfParts>
  <Company>WIPO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CWS/10/19</dc:title>
  <dc:creator>WIPO</dc:creator>
  <cp:keywords>FOR OFFICIAL USE ONLY</cp:keywords>
  <cp:lastModifiedBy>CHAVAS Louison</cp:lastModifiedBy>
  <cp:revision>2</cp:revision>
  <cp:lastPrinted>2011-05-19T12:37:00Z</cp:lastPrinted>
  <dcterms:created xsi:type="dcterms:W3CDTF">2022-10-12T15:27:00Z</dcterms:created>
  <dcterms:modified xsi:type="dcterms:W3CDTF">2022-10-12T15:27:00Z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