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116BA" w:rsidRDefault="00DB0349" w:rsidP="00DB0349">
      <w:pPr>
        <w:spacing w:after="120"/>
        <w:jc w:val="right"/>
        <w:rPr>
          <w:lang w:val="fr-FR"/>
        </w:rPr>
      </w:pPr>
      <w:r w:rsidRPr="00A116BA">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116BA">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8BC79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A116BA" w:rsidRDefault="00197881" w:rsidP="00DB0349">
      <w:pPr>
        <w:jc w:val="right"/>
        <w:rPr>
          <w:rFonts w:ascii="Arial Black" w:hAnsi="Arial Black"/>
          <w:caps/>
          <w:sz w:val="15"/>
          <w:szCs w:val="15"/>
          <w:lang w:val="fr-FR"/>
        </w:rPr>
      </w:pPr>
      <w:r w:rsidRPr="00A116BA">
        <w:rPr>
          <w:rFonts w:ascii="Arial Black" w:hAnsi="Arial Black"/>
          <w:caps/>
          <w:sz w:val="15"/>
          <w:szCs w:val="15"/>
          <w:lang w:val="fr-FR"/>
        </w:rPr>
        <w:t>CWS/10/</w:t>
      </w:r>
      <w:bookmarkStart w:id="0" w:name="Code"/>
      <w:bookmarkEnd w:id="0"/>
      <w:r w:rsidR="00462F53" w:rsidRPr="00A116BA">
        <w:rPr>
          <w:rFonts w:ascii="Arial Black" w:hAnsi="Arial Black"/>
          <w:caps/>
          <w:sz w:val="15"/>
          <w:szCs w:val="15"/>
          <w:lang w:val="fr-FR"/>
        </w:rPr>
        <w:t>15</w:t>
      </w:r>
    </w:p>
    <w:p w:rsidR="008B2CC1" w:rsidRPr="00A116BA" w:rsidRDefault="00DB0349" w:rsidP="00DB0349">
      <w:pPr>
        <w:jc w:val="right"/>
        <w:rPr>
          <w:rFonts w:ascii="Arial Black" w:hAnsi="Arial Black"/>
          <w:caps/>
          <w:sz w:val="15"/>
          <w:szCs w:val="15"/>
          <w:lang w:val="fr-FR"/>
        </w:rPr>
      </w:pPr>
      <w:r w:rsidRPr="00A116BA">
        <w:rPr>
          <w:rFonts w:ascii="Arial Black" w:hAnsi="Arial Black"/>
          <w:caps/>
          <w:sz w:val="15"/>
          <w:szCs w:val="15"/>
          <w:lang w:val="fr-FR"/>
        </w:rPr>
        <w:t>Original</w:t>
      </w:r>
      <w:r w:rsidR="001425D8" w:rsidRPr="00A116BA">
        <w:rPr>
          <w:rFonts w:ascii="Arial Black" w:hAnsi="Arial Black"/>
          <w:caps/>
          <w:sz w:val="15"/>
          <w:szCs w:val="15"/>
          <w:lang w:val="fr-FR"/>
        </w:rPr>
        <w:t> :</w:t>
      </w:r>
      <w:r w:rsidRPr="00A116BA">
        <w:rPr>
          <w:rFonts w:ascii="Arial Black" w:hAnsi="Arial Black"/>
          <w:caps/>
          <w:sz w:val="15"/>
          <w:szCs w:val="15"/>
          <w:lang w:val="fr-FR"/>
        </w:rPr>
        <w:t xml:space="preserve"> </w:t>
      </w:r>
      <w:bookmarkStart w:id="1" w:name="Original"/>
      <w:r w:rsidR="00462F53" w:rsidRPr="00A116BA">
        <w:rPr>
          <w:rFonts w:ascii="Arial Black" w:hAnsi="Arial Black"/>
          <w:caps/>
          <w:sz w:val="15"/>
          <w:szCs w:val="15"/>
          <w:lang w:val="fr-FR"/>
        </w:rPr>
        <w:t>anglais</w:t>
      </w:r>
    </w:p>
    <w:bookmarkEnd w:id="1"/>
    <w:p w:rsidR="008B2CC1" w:rsidRPr="00A116BA" w:rsidRDefault="00DB0349" w:rsidP="00DB0349">
      <w:pPr>
        <w:spacing w:after="1200"/>
        <w:jc w:val="right"/>
        <w:rPr>
          <w:rFonts w:ascii="Arial Black" w:hAnsi="Arial Black"/>
          <w:b/>
          <w:caps/>
          <w:sz w:val="15"/>
          <w:szCs w:val="15"/>
          <w:lang w:val="fr-FR"/>
        </w:rPr>
      </w:pPr>
      <w:r w:rsidRPr="00A116BA">
        <w:rPr>
          <w:rFonts w:ascii="Arial Black" w:hAnsi="Arial Black"/>
          <w:caps/>
          <w:sz w:val="15"/>
          <w:szCs w:val="15"/>
          <w:lang w:val="fr-FR"/>
        </w:rPr>
        <w:t>date</w:t>
      </w:r>
      <w:r w:rsidR="001425D8" w:rsidRPr="00A116BA">
        <w:rPr>
          <w:rFonts w:ascii="Arial Black" w:hAnsi="Arial Black"/>
          <w:caps/>
          <w:sz w:val="15"/>
          <w:szCs w:val="15"/>
          <w:lang w:val="fr-FR"/>
        </w:rPr>
        <w:t> :</w:t>
      </w:r>
      <w:r w:rsidRPr="00A116BA">
        <w:rPr>
          <w:rFonts w:ascii="Arial Black" w:hAnsi="Arial Black"/>
          <w:caps/>
          <w:sz w:val="15"/>
          <w:szCs w:val="15"/>
          <w:lang w:val="fr-FR"/>
        </w:rPr>
        <w:t xml:space="preserve"> </w:t>
      </w:r>
      <w:bookmarkStart w:id="2" w:name="Date"/>
      <w:r w:rsidR="00462F53" w:rsidRPr="00A116BA">
        <w:rPr>
          <w:rFonts w:ascii="Arial Black" w:hAnsi="Arial Black"/>
          <w:caps/>
          <w:sz w:val="15"/>
          <w:szCs w:val="15"/>
          <w:lang w:val="fr-FR"/>
        </w:rPr>
        <w:t>19 septembre 2022</w:t>
      </w:r>
    </w:p>
    <w:bookmarkEnd w:id="2"/>
    <w:p w:rsidR="00C40E15" w:rsidRPr="00A116BA" w:rsidRDefault="00197881" w:rsidP="00DB0349">
      <w:pPr>
        <w:spacing w:after="600"/>
        <w:rPr>
          <w:b/>
          <w:sz w:val="28"/>
          <w:szCs w:val="28"/>
          <w:lang w:val="fr-FR"/>
        </w:rPr>
      </w:pPr>
      <w:r w:rsidRPr="00A116BA">
        <w:rPr>
          <w:b/>
          <w:sz w:val="28"/>
          <w:szCs w:val="28"/>
          <w:lang w:val="fr-FR"/>
        </w:rPr>
        <w:t>Comité des normes de l</w:t>
      </w:r>
      <w:r w:rsidR="001425D8" w:rsidRPr="00A116BA">
        <w:rPr>
          <w:b/>
          <w:sz w:val="28"/>
          <w:szCs w:val="28"/>
          <w:lang w:val="fr-FR"/>
        </w:rPr>
        <w:t>’</w:t>
      </w:r>
      <w:r w:rsidRPr="00A116BA">
        <w:rPr>
          <w:b/>
          <w:sz w:val="28"/>
          <w:szCs w:val="28"/>
          <w:lang w:val="fr-FR"/>
        </w:rPr>
        <w:t>OMPI (CWS)</w:t>
      </w:r>
    </w:p>
    <w:p w:rsidR="008B2CC1" w:rsidRPr="00A116BA" w:rsidRDefault="00197881" w:rsidP="008B2CC1">
      <w:pPr>
        <w:rPr>
          <w:b/>
          <w:sz w:val="28"/>
          <w:szCs w:val="24"/>
          <w:lang w:val="fr-FR"/>
        </w:rPr>
      </w:pPr>
      <w:r w:rsidRPr="00A116BA">
        <w:rPr>
          <w:b/>
          <w:sz w:val="24"/>
          <w:lang w:val="fr-FR"/>
        </w:rPr>
        <w:t>Dix</w:t>
      </w:r>
      <w:r w:rsidR="001425D8" w:rsidRPr="00A116BA">
        <w:rPr>
          <w:b/>
          <w:sz w:val="24"/>
          <w:lang w:val="fr-FR"/>
        </w:rPr>
        <w:t>ième session</w:t>
      </w:r>
    </w:p>
    <w:p w:rsidR="008B2CC1" w:rsidRPr="00A116BA" w:rsidRDefault="00197881" w:rsidP="00DB0349">
      <w:pPr>
        <w:spacing w:after="720"/>
        <w:rPr>
          <w:b/>
          <w:sz w:val="28"/>
          <w:szCs w:val="24"/>
          <w:lang w:val="fr-FR"/>
        </w:rPr>
      </w:pPr>
      <w:r w:rsidRPr="00A116BA">
        <w:rPr>
          <w:b/>
          <w:sz w:val="24"/>
          <w:lang w:val="fr-FR"/>
        </w:rPr>
        <w:t>Genève, 21</w:t>
      </w:r>
      <w:r w:rsidR="008236DE" w:rsidRPr="00A116BA">
        <w:rPr>
          <w:b/>
          <w:sz w:val="24"/>
          <w:lang w:val="fr-FR"/>
        </w:rPr>
        <w:t xml:space="preserve"> </w:t>
      </w:r>
      <w:r w:rsidRPr="00A116BA">
        <w:rPr>
          <w:b/>
          <w:sz w:val="24"/>
          <w:lang w:val="fr-FR"/>
        </w:rPr>
        <w:t>– 2</w:t>
      </w:r>
      <w:r w:rsidR="001425D8" w:rsidRPr="00A116BA">
        <w:rPr>
          <w:b/>
          <w:sz w:val="24"/>
          <w:lang w:val="fr-FR"/>
        </w:rPr>
        <w:t>5 novembre 20</w:t>
      </w:r>
      <w:r w:rsidRPr="00A116BA">
        <w:rPr>
          <w:b/>
          <w:sz w:val="24"/>
          <w:lang w:val="fr-FR"/>
        </w:rPr>
        <w:t>22</w:t>
      </w:r>
    </w:p>
    <w:p w:rsidR="00462F53" w:rsidRPr="00A116BA" w:rsidRDefault="00462F53" w:rsidP="00462F53">
      <w:pPr>
        <w:spacing w:after="360"/>
        <w:outlineLvl w:val="0"/>
        <w:rPr>
          <w:caps/>
          <w:sz w:val="24"/>
          <w:lang w:val="fr-FR"/>
        </w:rPr>
      </w:pPr>
      <w:bookmarkStart w:id="3" w:name="TitleOfDoc"/>
      <w:r w:rsidRPr="00A116BA">
        <w:rPr>
          <w:caps/>
          <w:sz w:val="24"/>
          <w:lang w:val="fr-FR"/>
        </w:rPr>
        <w:t>Analyse des résultats de l</w:t>
      </w:r>
      <w:r w:rsidR="001425D8" w:rsidRPr="00A116BA">
        <w:rPr>
          <w:caps/>
          <w:sz w:val="24"/>
          <w:lang w:val="fr-FR"/>
        </w:rPr>
        <w:t>’</w:t>
      </w:r>
      <w:r w:rsidRPr="00A116BA">
        <w:rPr>
          <w:caps/>
          <w:sz w:val="24"/>
          <w:lang w:val="fr-FR"/>
        </w:rPr>
        <w:t>enquête sur les pratiques des offices en matière de transformation numérique</w:t>
      </w:r>
    </w:p>
    <w:p w:rsidR="00462F53" w:rsidRPr="00A116BA" w:rsidRDefault="00462F53" w:rsidP="00462F53">
      <w:pPr>
        <w:spacing w:after="1040"/>
        <w:rPr>
          <w:i/>
          <w:lang w:val="fr-FR"/>
        </w:rPr>
      </w:pPr>
      <w:bookmarkStart w:id="4" w:name="Prepared"/>
      <w:bookmarkEnd w:id="3"/>
      <w:bookmarkEnd w:id="4"/>
      <w:r w:rsidRPr="00A116BA">
        <w:rPr>
          <w:i/>
          <w:lang w:val="fr-FR"/>
        </w:rPr>
        <w:t>Document établi par le Bureau international</w:t>
      </w:r>
    </w:p>
    <w:p w:rsidR="00462F53" w:rsidRPr="00A116BA" w:rsidRDefault="00A116BA" w:rsidP="00A116BA">
      <w:pPr>
        <w:pStyle w:val="Heading2"/>
        <w:rPr>
          <w:rFonts w:eastAsia="Malgun Gothic"/>
          <w:szCs w:val="22"/>
          <w:lang w:val="fr-FR"/>
        </w:rPr>
      </w:pPr>
      <w:r w:rsidRPr="00A116BA">
        <w:rPr>
          <w:lang w:val="fr-FR"/>
        </w:rPr>
        <w:t>Rappel</w:t>
      </w:r>
    </w:p>
    <w:p w:rsidR="00462F53" w:rsidRPr="00A116BA" w:rsidRDefault="00462F53" w:rsidP="00A116BA">
      <w:pPr>
        <w:pStyle w:val="ONUMFS"/>
        <w:rPr>
          <w:lang w:val="fr-FR"/>
        </w:rPr>
      </w:pPr>
      <w:r w:rsidRPr="00A116BA">
        <w:rPr>
          <w:lang w:val="fr-FR"/>
        </w:rPr>
        <w:t>À sa neuv</w:t>
      </w:r>
      <w:r w:rsidR="001425D8" w:rsidRPr="00A116BA">
        <w:rPr>
          <w:lang w:val="fr-FR"/>
        </w:rPr>
        <w:t>ième session</w:t>
      </w:r>
      <w:r w:rsidRPr="00A116BA">
        <w:rPr>
          <w:lang w:val="fr-FR"/>
        </w:rPr>
        <w:t xml:space="preserve">, tenue </w:t>
      </w:r>
      <w:r w:rsidR="001425D8" w:rsidRPr="00A116BA">
        <w:rPr>
          <w:lang w:val="fr-FR"/>
        </w:rPr>
        <w:t>en 2021</w:t>
      </w:r>
      <w:r w:rsidRPr="00A116BA">
        <w:rPr>
          <w:lang w:val="fr-FR"/>
        </w:rPr>
        <w:t>, le Comité des normes de l</w:t>
      </w:r>
      <w:r w:rsidR="001425D8" w:rsidRPr="00A116BA">
        <w:rPr>
          <w:lang w:val="fr-FR"/>
        </w:rPr>
        <w:t>’</w:t>
      </w:r>
      <w:r w:rsidRPr="00A116BA">
        <w:rPr>
          <w:lang w:val="fr-FR"/>
        </w:rPr>
        <w:t>OMPI (CWS) a pris note des progrès accomplis par l</w:t>
      </w:r>
      <w:r w:rsidR="001425D8" w:rsidRPr="00A116BA">
        <w:rPr>
          <w:lang w:val="fr-FR"/>
        </w:rPr>
        <w:t>’</w:t>
      </w:r>
      <w:r w:rsidRPr="00A116BA">
        <w:rPr>
          <w:lang w:val="fr-FR"/>
        </w:rPr>
        <w:t>Équipe d</w:t>
      </w:r>
      <w:r w:rsidR="001425D8" w:rsidRPr="00A116BA">
        <w:rPr>
          <w:lang w:val="fr-FR"/>
        </w:rPr>
        <w:t>’</w:t>
      </w:r>
      <w:r w:rsidRPr="00A116BA">
        <w:rPr>
          <w:lang w:val="fr-FR"/>
        </w:rPr>
        <w:t>experts chargée de la transformation numérique dans le cadre de la tâche n°</w:t>
      </w:r>
      <w:r w:rsidR="009B288D" w:rsidRPr="00A116BA">
        <w:rPr>
          <w:lang w:val="fr-FR"/>
        </w:rPr>
        <w:t> </w:t>
      </w:r>
      <w:r w:rsidRPr="00A116BA">
        <w:rPr>
          <w:lang w:val="fr-FR"/>
        </w:rPr>
        <w:t xml:space="preserve">62. </w:t>
      </w:r>
      <w:r w:rsidR="001425D8" w:rsidRPr="00A116BA">
        <w:rPr>
          <w:lang w:val="fr-FR"/>
        </w:rPr>
        <w:t xml:space="preserve"> Le CWS</w:t>
      </w:r>
      <w:r w:rsidRPr="00A116BA">
        <w:rPr>
          <w:lang w:val="fr-FR"/>
        </w:rPr>
        <w:t xml:space="preserve"> a approuvé une enquête proposée par l</w:t>
      </w:r>
      <w:r w:rsidR="001425D8" w:rsidRPr="00A116BA">
        <w:rPr>
          <w:lang w:val="fr-FR"/>
        </w:rPr>
        <w:t>’</w:t>
      </w:r>
      <w:r w:rsidRPr="00A116BA">
        <w:rPr>
          <w:lang w:val="fr-FR"/>
        </w:rPr>
        <w:t>équipe d</w:t>
      </w:r>
      <w:r w:rsidR="001425D8" w:rsidRPr="00A116BA">
        <w:rPr>
          <w:lang w:val="fr-FR"/>
        </w:rPr>
        <w:t>’</w:t>
      </w:r>
      <w:r w:rsidRPr="00A116BA">
        <w:rPr>
          <w:lang w:val="fr-FR"/>
        </w:rPr>
        <w:t xml:space="preserve">experts destinée à recueillir auprès des offices de propriété intellectuelle des informations concernant leurs pratiques en matière de réception, de traitement et de publication numériques (voir les </w:t>
      </w:r>
      <w:r w:rsidR="001425D8" w:rsidRPr="00A116BA">
        <w:rPr>
          <w:lang w:val="fr-FR"/>
        </w:rPr>
        <w:t>paragraphes 8</w:t>
      </w:r>
      <w:r w:rsidRPr="00A116BA">
        <w:rPr>
          <w:lang w:val="fr-FR"/>
        </w:rPr>
        <w:t>9 à 95 du document CWS/9/25).</w:t>
      </w:r>
    </w:p>
    <w:p w:rsidR="00462F53" w:rsidRPr="00A116BA" w:rsidRDefault="00A116BA" w:rsidP="00A116BA">
      <w:pPr>
        <w:pStyle w:val="Heading2"/>
        <w:rPr>
          <w:rFonts w:eastAsia="Malgun Gothic"/>
          <w:szCs w:val="22"/>
          <w:lang w:val="fr-FR"/>
        </w:rPr>
      </w:pPr>
      <w:r>
        <w:rPr>
          <w:lang w:val="fr-FR"/>
        </w:rPr>
        <w:t>R</w:t>
      </w:r>
      <w:r w:rsidRPr="00A116BA">
        <w:rPr>
          <w:lang w:val="fr-FR"/>
        </w:rPr>
        <w:t>ésultats de l’enquête</w:t>
      </w:r>
    </w:p>
    <w:p w:rsidR="00462F53" w:rsidRPr="00A116BA" w:rsidRDefault="00462F53" w:rsidP="00A116BA">
      <w:pPr>
        <w:pStyle w:val="ONUMFS"/>
        <w:rPr>
          <w:lang w:val="fr-FR"/>
        </w:rPr>
      </w:pPr>
      <w:r w:rsidRPr="00A116BA">
        <w:rPr>
          <w:lang w:val="fr-FR"/>
        </w:rPr>
        <w:t xml:space="preserve">En </w:t>
      </w:r>
      <w:r w:rsidR="001425D8" w:rsidRPr="00A116BA">
        <w:rPr>
          <w:lang w:val="fr-FR"/>
        </w:rPr>
        <w:t>mars 20</w:t>
      </w:r>
      <w:r w:rsidRPr="00A116BA">
        <w:rPr>
          <w:lang w:val="fr-FR"/>
        </w:rPr>
        <w:t>22, le Secrétariat a publié la circulaire C.CWS</w:t>
      </w:r>
      <w:r w:rsidR="00A116BA">
        <w:rPr>
          <w:lang w:val="fr-FR"/>
        </w:rPr>
        <w:t> </w:t>
      </w:r>
      <w:r w:rsidRPr="00A116BA">
        <w:rPr>
          <w:lang w:val="fr-FR"/>
        </w:rPr>
        <w:t>155, dans laquelle il invitait les offices de propriété intellectuelle à participer à l</w:t>
      </w:r>
      <w:r w:rsidR="001425D8" w:rsidRPr="00A116BA">
        <w:rPr>
          <w:lang w:val="fr-FR"/>
        </w:rPr>
        <w:t>’</w:t>
      </w:r>
      <w:r w:rsidRPr="00A116BA">
        <w:rPr>
          <w:lang w:val="fr-FR"/>
        </w:rPr>
        <w:t>enquête sur la transformation numérique.  Des réponses ont été reçues de 41</w:t>
      </w:r>
      <w:r w:rsidR="00A116BA">
        <w:rPr>
          <w:lang w:val="fr-FR"/>
        </w:rPr>
        <w:t> </w:t>
      </w:r>
      <w:r w:rsidRPr="00A116BA">
        <w:rPr>
          <w:lang w:val="fr-FR"/>
        </w:rPr>
        <w:t>offices de propriété intellectuelle couvrant 40</w:t>
      </w:r>
      <w:r w:rsidR="00A116BA">
        <w:rPr>
          <w:lang w:val="fr-FR"/>
        </w:rPr>
        <w:t> </w:t>
      </w:r>
      <w:r w:rsidRPr="00A116BA">
        <w:rPr>
          <w:lang w:val="fr-FR"/>
        </w:rPr>
        <w:t>États membres et régions.  La différence entre ces deux</w:t>
      </w:r>
      <w:r w:rsidR="009B288D" w:rsidRPr="00A116BA">
        <w:rPr>
          <w:lang w:val="fr-FR"/>
        </w:rPr>
        <w:t> </w:t>
      </w:r>
      <w:r w:rsidRPr="00A116BA">
        <w:rPr>
          <w:lang w:val="fr-FR"/>
        </w:rPr>
        <w:t>nombres tient à l</w:t>
      </w:r>
      <w:r w:rsidR="001425D8" w:rsidRPr="00A116BA">
        <w:rPr>
          <w:lang w:val="fr-FR"/>
        </w:rPr>
        <w:t>’</w:t>
      </w:r>
      <w:r w:rsidRPr="00A116BA">
        <w:rPr>
          <w:lang w:val="fr-FR"/>
        </w:rPr>
        <w:t>introduction d</w:t>
      </w:r>
      <w:r w:rsidR="001425D8" w:rsidRPr="00A116BA">
        <w:rPr>
          <w:lang w:val="fr-FR"/>
        </w:rPr>
        <w:t>’</w:t>
      </w:r>
      <w:r w:rsidRPr="00A116BA">
        <w:rPr>
          <w:lang w:val="fr-FR"/>
        </w:rPr>
        <w:t>une nouvelle pratiq</w:t>
      </w:r>
      <w:r w:rsidR="00A116BA" w:rsidRPr="00A116BA">
        <w:rPr>
          <w:lang w:val="fr-FR"/>
        </w:rPr>
        <w:t>ue.  De</w:t>
      </w:r>
      <w:r w:rsidRPr="00A116BA">
        <w:rPr>
          <w:lang w:val="fr-FR"/>
        </w:rPr>
        <w:t>puis cette enquête, le Secrétariat enregistre et publie les communications de chaque office séparément et ne regroupe plus les communications de plusieurs offices d</w:t>
      </w:r>
      <w:r w:rsidR="001425D8" w:rsidRPr="00A116BA">
        <w:rPr>
          <w:lang w:val="fr-FR"/>
        </w:rPr>
        <w:t>’</w:t>
      </w:r>
      <w:r w:rsidRPr="00A116BA">
        <w:rPr>
          <w:lang w:val="fr-FR"/>
        </w:rPr>
        <w:t>un même État membre.  Deux</w:t>
      </w:r>
      <w:r w:rsidR="009B288D" w:rsidRPr="00A116BA">
        <w:rPr>
          <w:lang w:val="fr-FR"/>
        </w:rPr>
        <w:t> </w:t>
      </w:r>
      <w:r w:rsidRPr="00A116BA">
        <w:rPr>
          <w:lang w:val="fr-FR"/>
        </w:rPr>
        <w:t>bureaux différents en Algérie</w:t>
      </w:r>
      <w:r w:rsidRPr="00A116BA">
        <w:rPr>
          <w:rStyle w:val="FootnoteReference"/>
          <w:lang w:val="fr-FR" w:eastAsia="en-US"/>
        </w:rPr>
        <w:footnoteReference w:id="2"/>
      </w:r>
      <w:r w:rsidRPr="00A116BA">
        <w:rPr>
          <w:lang w:val="fr-FR"/>
        </w:rPr>
        <w:t xml:space="preserve"> ayant répondu à cette enquête, le nombre d</w:t>
      </w:r>
      <w:r w:rsidR="001425D8" w:rsidRPr="00A116BA">
        <w:rPr>
          <w:lang w:val="fr-FR"/>
        </w:rPr>
        <w:t>’</w:t>
      </w:r>
      <w:r w:rsidRPr="00A116BA">
        <w:rPr>
          <w:lang w:val="fr-FR"/>
        </w:rPr>
        <w:t>offices est supérieur au nombre d</w:t>
      </w:r>
      <w:r w:rsidR="001425D8" w:rsidRPr="00A116BA">
        <w:rPr>
          <w:lang w:val="fr-FR"/>
        </w:rPr>
        <w:t>’</w:t>
      </w:r>
      <w:r w:rsidRPr="00A116BA">
        <w:rPr>
          <w:lang w:val="fr-FR"/>
        </w:rPr>
        <w:t>États membres et d</w:t>
      </w:r>
      <w:r w:rsidR="001425D8" w:rsidRPr="00A116BA">
        <w:rPr>
          <w:lang w:val="fr-FR"/>
        </w:rPr>
        <w:t>’</w:t>
      </w:r>
      <w:r w:rsidRPr="00A116BA">
        <w:rPr>
          <w:lang w:val="fr-FR"/>
        </w:rPr>
        <w:t>offices régionaux.  Les résultats de l</w:t>
      </w:r>
      <w:r w:rsidR="001425D8" w:rsidRPr="00A116BA">
        <w:rPr>
          <w:lang w:val="fr-FR"/>
        </w:rPr>
        <w:t>’</w:t>
      </w:r>
      <w:r w:rsidRPr="00A116BA">
        <w:rPr>
          <w:lang w:val="fr-FR"/>
        </w:rPr>
        <w:t>enquête devraient être publiés dans la partie</w:t>
      </w:r>
      <w:r w:rsidR="00A116BA">
        <w:rPr>
          <w:lang w:val="fr-FR"/>
        </w:rPr>
        <w:t> </w:t>
      </w:r>
      <w:r w:rsidRPr="00A116BA">
        <w:rPr>
          <w:lang w:val="fr-FR"/>
        </w:rPr>
        <w:t>7 du Manuel de l</w:t>
      </w:r>
      <w:r w:rsidR="001425D8" w:rsidRPr="00A116BA">
        <w:rPr>
          <w:lang w:val="fr-FR"/>
        </w:rPr>
        <w:t>’</w:t>
      </w:r>
      <w:r w:rsidRPr="00A116BA">
        <w:rPr>
          <w:lang w:val="fr-FR"/>
        </w:rPr>
        <w:t>OMPI à l</w:t>
      </w:r>
      <w:r w:rsidR="001425D8" w:rsidRPr="00A116BA">
        <w:rPr>
          <w:lang w:val="fr-FR"/>
        </w:rPr>
        <w:t>’</w:t>
      </w:r>
      <w:r w:rsidRPr="00A116BA">
        <w:rPr>
          <w:lang w:val="fr-FR"/>
        </w:rPr>
        <w:t>automne</w:t>
      </w:r>
      <w:r w:rsidR="00A116BA">
        <w:rPr>
          <w:lang w:val="fr-FR"/>
        </w:rPr>
        <w:t> </w:t>
      </w:r>
      <w:r w:rsidRPr="00A116BA">
        <w:rPr>
          <w:lang w:val="fr-FR"/>
        </w:rPr>
        <w:t>2022, dès que toutes les réponses auront été traduites et mises en forme.</w:t>
      </w:r>
    </w:p>
    <w:p w:rsidR="00462F53" w:rsidRPr="00A116BA" w:rsidRDefault="00A116BA" w:rsidP="00A116BA">
      <w:pPr>
        <w:pStyle w:val="Heading2"/>
        <w:rPr>
          <w:rFonts w:eastAsia="Malgun Gothic"/>
          <w:szCs w:val="22"/>
          <w:lang w:val="fr-FR"/>
        </w:rPr>
      </w:pPr>
      <w:r>
        <w:rPr>
          <w:lang w:val="fr-FR"/>
        </w:rPr>
        <w:lastRenderedPageBreak/>
        <w:t>A</w:t>
      </w:r>
      <w:r w:rsidRPr="00A116BA">
        <w:rPr>
          <w:lang w:val="fr-FR"/>
        </w:rPr>
        <w:t>nalyse des résultats de l’enquête</w:t>
      </w:r>
    </w:p>
    <w:p w:rsidR="00462F53" w:rsidRPr="00A116BA" w:rsidRDefault="00462F53" w:rsidP="00A116BA">
      <w:pPr>
        <w:pStyle w:val="ONUMFS"/>
        <w:rPr>
          <w:lang w:val="fr-FR"/>
        </w:rPr>
      </w:pPr>
      <w:r w:rsidRPr="00A116BA">
        <w:rPr>
          <w:lang w:val="fr-FR"/>
        </w:rPr>
        <w:t>Des réponses ont été reçues de 40</w:t>
      </w:r>
      <w:r w:rsidR="00A116BA">
        <w:rPr>
          <w:lang w:val="fr-FR"/>
        </w:rPr>
        <w:t> </w:t>
      </w:r>
      <w:r w:rsidRPr="00A116BA">
        <w:rPr>
          <w:lang w:val="fr-FR"/>
        </w:rPr>
        <w:t>États membres et offices de propriété intellectuelle régionaux</w:t>
      </w:r>
      <w:r w:rsidR="001425D8" w:rsidRPr="00A116BA">
        <w:rPr>
          <w:lang w:val="fr-FR"/>
        </w:rPr>
        <w:t> :</w:t>
      </w:r>
      <w:r w:rsidRPr="00A116BA">
        <w:rPr>
          <w:lang w:val="fr-FR"/>
        </w:rPr>
        <w:t xml:space="preserve"> Afghanistan</w:t>
      </w:r>
      <w:r w:rsidR="009B288D" w:rsidRPr="00A116BA">
        <w:rPr>
          <w:lang w:val="fr-FR"/>
        </w:rPr>
        <w:t xml:space="preserve">; </w:t>
      </w:r>
      <w:r w:rsidRPr="00A116BA">
        <w:rPr>
          <w:lang w:val="fr-FR"/>
        </w:rPr>
        <w:t xml:space="preserve"> Australie</w:t>
      </w:r>
      <w:r w:rsidR="009B288D" w:rsidRPr="00A116BA">
        <w:rPr>
          <w:lang w:val="fr-FR"/>
        </w:rPr>
        <w:t xml:space="preserve">; </w:t>
      </w:r>
      <w:r w:rsidRPr="00A116BA">
        <w:rPr>
          <w:lang w:val="fr-FR"/>
        </w:rPr>
        <w:t xml:space="preserve"> Azerbaïdjan</w:t>
      </w:r>
      <w:r w:rsidR="009B288D" w:rsidRPr="00A116BA">
        <w:rPr>
          <w:lang w:val="fr-FR"/>
        </w:rPr>
        <w:t xml:space="preserve">; </w:t>
      </w:r>
      <w:r w:rsidRPr="00A116BA">
        <w:rPr>
          <w:lang w:val="fr-FR"/>
        </w:rPr>
        <w:t xml:space="preserve"> Bahreïn</w:t>
      </w:r>
      <w:r w:rsidR="009B288D" w:rsidRPr="00A116BA">
        <w:rPr>
          <w:lang w:val="fr-FR"/>
        </w:rPr>
        <w:t xml:space="preserve">; </w:t>
      </w:r>
      <w:r w:rsidRPr="00A116BA">
        <w:rPr>
          <w:lang w:val="fr-FR"/>
        </w:rPr>
        <w:t xml:space="preserve"> Brésil</w:t>
      </w:r>
      <w:r w:rsidR="009B288D" w:rsidRPr="00A116BA">
        <w:rPr>
          <w:lang w:val="fr-FR"/>
        </w:rPr>
        <w:t xml:space="preserve">; </w:t>
      </w:r>
      <w:r w:rsidRPr="00A116BA">
        <w:rPr>
          <w:lang w:val="fr-FR"/>
        </w:rPr>
        <w:t xml:space="preserve"> Canada</w:t>
      </w:r>
      <w:r w:rsidR="009B288D" w:rsidRPr="00A116BA">
        <w:rPr>
          <w:lang w:val="fr-FR"/>
        </w:rPr>
        <w:t xml:space="preserve">; </w:t>
      </w:r>
      <w:r w:rsidRPr="00A116BA">
        <w:rPr>
          <w:lang w:val="fr-FR"/>
        </w:rPr>
        <w:t xml:space="preserve"> Chili</w:t>
      </w:r>
      <w:r w:rsidR="009B288D" w:rsidRPr="00A116BA">
        <w:rPr>
          <w:lang w:val="fr-FR"/>
        </w:rPr>
        <w:t xml:space="preserve">; </w:t>
      </w:r>
      <w:r w:rsidRPr="00A116BA">
        <w:rPr>
          <w:lang w:val="fr-FR"/>
        </w:rPr>
        <w:t xml:space="preserve"> Chine</w:t>
      </w:r>
      <w:r w:rsidR="009B288D" w:rsidRPr="00A116BA">
        <w:rPr>
          <w:lang w:val="fr-FR"/>
        </w:rPr>
        <w:t xml:space="preserve">; </w:t>
      </w:r>
      <w:r w:rsidRPr="00A116BA">
        <w:rPr>
          <w:lang w:val="fr-FR"/>
        </w:rPr>
        <w:t xml:space="preserve"> Danemark</w:t>
      </w:r>
      <w:r w:rsidR="009B288D" w:rsidRPr="00A116BA">
        <w:rPr>
          <w:lang w:val="fr-FR"/>
        </w:rPr>
        <w:t xml:space="preserve">; </w:t>
      </w:r>
      <w:r w:rsidRPr="00A116BA">
        <w:rPr>
          <w:lang w:val="fr-FR"/>
        </w:rPr>
        <w:t xml:space="preserve"> Algérie</w:t>
      </w:r>
      <w:r w:rsidR="009B288D" w:rsidRPr="00A116BA">
        <w:rPr>
          <w:lang w:val="fr-FR"/>
        </w:rPr>
        <w:t xml:space="preserve">; </w:t>
      </w:r>
      <w:r w:rsidRPr="00A116BA">
        <w:rPr>
          <w:lang w:val="fr-FR"/>
        </w:rPr>
        <w:t xml:space="preserve"> Estonie</w:t>
      </w:r>
      <w:r w:rsidR="009B288D" w:rsidRPr="00A116BA">
        <w:rPr>
          <w:lang w:val="fr-FR"/>
        </w:rPr>
        <w:t xml:space="preserve">; </w:t>
      </w:r>
      <w:r w:rsidRPr="00A116BA">
        <w:rPr>
          <w:lang w:val="fr-FR"/>
        </w:rPr>
        <w:t xml:space="preserve"> Espagne</w:t>
      </w:r>
      <w:r w:rsidR="009B288D" w:rsidRPr="00A116BA">
        <w:rPr>
          <w:lang w:val="fr-FR"/>
        </w:rPr>
        <w:t xml:space="preserve">; </w:t>
      </w:r>
      <w:r w:rsidRPr="00A116BA">
        <w:rPr>
          <w:lang w:val="fr-FR"/>
        </w:rPr>
        <w:t xml:space="preserve"> Finlande</w:t>
      </w:r>
      <w:r w:rsidR="009B288D" w:rsidRPr="00A116BA">
        <w:rPr>
          <w:lang w:val="fr-FR"/>
        </w:rPr>
        <w:t xml:space="preserve">; </w:t>
      </w:r>
      <w:r w:rsidRPr="00A116BA">
        <w:rPr>
          <w:lang w:val="fr-FR"/>
        </w:rPr>
        <w:t xml:space="preserve"> Hong Kong (Chine)</w:t>
      </w:r>
      <w:r w:rsidR="009B288D" w:rsidRPr="00A116BA">
        <w:rPr>
          <w:lang w:val="fr-FR"/>
        </w:rPr>
        <w:t xml:space="preserve">; </w:t>
      </w:r>
      <w:r w:rsidRPr="00A116BA">
        <w:rPr>
          <w:lang w:val="fr-FR"/>
        </w:rPr>
        <w:t xml:space="preserve"> Croatie</w:t>
      </w:r>
      <w:r w:rsidR="009B288D" w:rsidRPr="00A116BA">
        <w:rPr>
          <w:lang w:val="fr-FR"/>
        </w:rPr>
        <w:t xml:space="preserve">; </w:t>
      </w:r>
      <w:r w:rsidRPr="00A116BA">
        <w:rPr>
          <w:lang w:val="fr-FR"/>
        </w:rPr>
        <w:t xml:space="preserve"> Hongrie</w:t>
      </w:r>
      <w:r w:rsidR="009B288D" w:rsidRPr="00A116BA">
        <w:rPr>
          <w:lang w:val="fr-FR"/>
        </w:rPr>
        <w:t xml:space="preserve">; </w:t>
      </w:r>
      <w:r w:rsidRPr="00A116BA">
        <w:rPr>
          <w:lang w:val="fr-FR"/>
        </w:rPr>
        <w:t xml:space="preserve"> Irlande</w:t>
      </w:r>
      <w:r w:rsidR="009B288D" w:rsidRPr="00A116BA">
        <w:rPr>
          <w:lang w:val="fr-FR"/>
        </w:rPr>
        <w:t xml:space="preserve">; </w:t>
      </w:r>
      <w:r w:rsidRPr="00A116BA">
        <w:rPr>
          <w:lang w:val="fr-FR"/>
        </w:rPr>
        <w:t xml:space="preserve"> Israël</w:t>
      </w:r>
      <w:r w:rsidR="009B288D" w:rsidRPr="00A116BA">
        <w:rPr>
          <w:lang w:val="fr-FR"/>
        </w:rPr>
        <w:t xml:space="preserve">; </w:t>
      </w:r>
      <w:r w:rsidRPr="00A116BA">
        <w:rPr>
          <w:lang w:val="fr-FR"/>
        </w:rPr>
        <w:t xml:space="preserve"> Italie</w:t>
      </w:r>
      <w:r w:rsidR="009B288D" w:rsidRPr="00A116BA">
        <w:rPr>
          <w:lang w:val="fr-FR"/>
        </w:rPr>
        <w:t xml:space="preserve">; </w:t>
      </w:r>
      <w:r w:rsidRPr="00A116BA">
        <w:rPr>
          <w:lang w:val="fr-FR"/>
        </w:rPr>
        <w:t xml:space="preserve"> Jordanie</w:t>
      </w:r>
      <w:r w:rsidR="009B288D" w:rsidRPr="00A116BA">
        <w:rPr>
          <w:lang w:val="fr-FR"/>
        </w:rPr>
        <w:t xml:space="preserve">; </w:t>
      </w:r>
      <w:r w:rsidRPr="00A116BA">
        <w:rPr>
          <w:lang w:val="fr-FR"/>
        </w:rPr>
        <w:t xml:space="preserve"> Japon</w:t>
      </w:r>
      <w:r w:rsidR="009B288D" w:rsidRPr="00A116BA">
        <w:rPr>
          <w:lang w:val="fr-FR"/>
        </w:rPr>
        <w:t xml:space="preserve">; </w:t>
      </w:r>
      <w:r w:rsidRPr="00A116BA">
        <w:rPr>
          <w:lang w:val="fr-FR"/>
        </w:rPr>
        <w:t xml:space="preserve"> Kenya</w:t>
      </w:r>
      <w:r w:rsidR="009B288D" w:rsidRPr="00A116BA">
        <w:rPr>
          <w:lang w:val="fr-FR"/>
        </w:rPr>
        <w:t xml:space="preserve">; </w:t>
      </w:r>
      <w:r w:rsidRPr="00A116BA">
        <w:rPr>
          <w:lang w:val="fr-FR"/>
        </w:rPr>
        <w:t xml:space="preserve"> République de Corée</w:t>
      </w:r>
      <w:r w:rsidR="009B288D" w:rsidRPr="00A116BA">
        <w:rPr>
          <w:lang w:val="fr-FR"/>
        </w:rPr>
        <w:t xml:space="preserve">; </w:t>
      </w:r>
      <w:r w:rsidRPr="00A116BA">
        <w:rPr>
          <w:lang w:val="fr-FR"/>
        </w:rPr>
        <w:t xml:space="preserve"> Lituanie</w:t>
      </w:r>
      <w:r w:rsidR="009B288D" w:rsidRPr="00A116BA">
        <w:rPr>
          <w:lang w:val="fr-FR"/>
        </w:rPr>
        <w:t xml:space="preserve">; </w:t>
      </w:r>
      <w:r w:rsidRPr="00A116BA">
        <w:rPr>
          <w:lang w:val="fr-FR"/>
        </w:rPr>
        <w:t xml:space="preserve"> République de Moldova</w:t>
      </w:r>
      <w:r w:rsidR="009B288D" w:rsidRPr="00A116BA">
        <w:rPr>
          <w:lang w:val="fr-FR"/>
        </w:rPr>
        <w:t xml:space="preserve">; </w:t>
      </w:r>
      <w:r w:rsidRPr="00A116BA">
        <w:rPr>
          <w:lang w:val="fr-FR"/>
        </w:rPr>
        <w:t xml:space="preserve"> Mexique;  Nouvelle</w:t>
      </w:r>
      <w:r w:rsidR="00A116BA">
        <w:rPr>
          <w:lang w:val="fr-FR"/>
        </w:rPr>
        <w:noBreakHyphen/>
      </w:r>
      <w:r w:rsidRPr="00A116BA">
        <w:rPr>
          <w:lang w:val="fr-FR"/>
        </w:rPr>
        <w:t>Zélande</w:t>
      </w:r>
      <w:r w:rsidR="009B288D" w:rsidRPr="00A116BA">
        <w:rPr>
          <w:lang w:val="fr-FR"/>
        </w:rPr>
        <w:t xml:space="preserve">; </w:t>
      </w:r>
      <w:r w:rsidRPr="00A116BA">
        <w:rPr>
          <w:lang w:val="fr-FR"/>
        </w:rPr>
        <w:t xml:space="preserve"> Philippines</w:t>
      </w:r>
      <w:r w:rsidR="009B288D" w:rsidRPr="00A116BA">
        <w:rPr>
          <w:lang w:val="fr-FR"/>
        </w:rPr>
        <w:t xml:space="preserve">; </w:t>
      </w:r>
      <w:r w:rsidRPr="00A116BA">
        <w:rPr>
          <w:lang w:val="fr-FR"/>
        </w:rPr>
        <w:t xml:space="preserve"> Fédération de Russie</w:t>
      </w:r>
      <w:r w:rsidR="009B288D" w:rsidRPr="00A116BA">
        <w:rPr>
          <w:lang w:val="fr-FR"/>
        </w:rPr>
        <w:t xml:space="preserve">; </w:t>
      </w:r>
      <w:r w:rsidRPr="00A116BA">
        <w:rPr>
          <w:lang w:val="fr-FR"/>
        </w:rPr>
        <w:t xml:space="preserve"> </w:t>
      </w:r>
      <w:r w:rsidR="001425D8" w:rsidRPr="00A116BA">
        <w:rPr>
          <w:lang w:val="fr-FR"/>
        </w:rPr>
        <w:t>Arabie saoudite</w:t>
      </w:r>
      <w:r w:rsidR="009B288D" w:rsidRPr="00A116BA">
        <w:rPr>
          <w:lang w:val="fr-FR"/>
        </w:rPr>
        <w:t xml:space="preserve">; </w:t>
      </w:r>
      <w:r w:rsidRPr="00A116BA">
        <w:rPr>
          <w:lang w:val="fr-FR"/>
        </w:rPr>
        <w:t xml:space="preserve"> Suède</w:t>
      </w:r>
      <w:r w:rsidR="009B288D" w:rsidRPr="00A116BA">
        <w:rPr>
          <w:lang w:val="fr-FR"/>
        </w:rPr>
        <w:t xml:space="preserve">; </w:t>
      </w:r>
      <w:r w:rsidRPr="00A116BA">
        <w:rPr>
          <w:lang w:val="fr-FR"/>
        </w:rPr>
        <w:t xml:space="preserve"> Slovaquie</w:t>
      </w:r>
      <w:r w:rsidR="009B288D" w:rsidRPr="00A116BA">
        <w:rPr>
          <w:lang w:val="fr-FR"/>
        </w:rPr>
        <w:t xml:space="preserve">; </w:t>
      </w:r>
      <w:r w:rsidRPr="00A116BA">
        <w:rPr>
          <w:lang w:val="fr-FR"/>
        </w:rPr>
        <w:t xml:space="preserve"> Saint</w:t>
      </w:r>
      <w:r w:rsidR="00A116BA">
        <w:rPr>
          <w:lang w:val="fr-FR"/>
        </w:rPr>
        <w:noBreakHyphen/>
      </w:r>
      <w:r w:rsidRPr="00A116BA">
        <w:rPr>
          <w:lang w:val="fr-FR"/>
        </w:rPr>
        <w:t>Marin</w:t>
      </w:r>
      <w:r w:rsidR="009B288D" w:rsidRPr="00A116BA">
        <w:rPr>
          <w:lang w:val="fr-FR"/>
        </w:rPr>
        <w:t xml:space="preserve">; </w:t>
      </w:r>
      <w:r w:rsidRPr="00A116BA">
        <w:rPr>
          <w:lang w:val="fr-FR"/>
        </w:rPr>
        <w:t xml:space="preserve"> Tchad</w:t>
      </w:r>
      <w:r w:rsidR="009B288D" w:rsidRPr="00A116BA">
        <w:rPr>
          <w:lang w:val="fr-FR"/>
        </w:rPr>
        <w:t xml:space="preserve">; </w:t>
      </w:r>
      <w:r w:rsidRPr="00A116BA">
        <w:rPr>
          <w:lang w:val="fr-FR"/>
        </w:rPr>
        <w:t xml:space="preserve"> Ukraine</w:t>
      </w:r>
      <w:r w:rsidR="009B288D" w:rsidRPr="00A116BA">
        <w:rPr>
          <w:lang w:val="fr-FR"/>
        </w:rPr>
        <w:t xml:space="preserve">; </w:t>
      </w:r>
      <w:r w:rsidRPr="00A116BA">
        <w:rPr>
          <w:lang w:val="fr-FR"/>
        </w:rPr>
        <w:t xml:space="preserve"> États</w:t>
      </w:r>
      <w:r w:rsidR="00A116BA">
        <w:rPr>
          <w:lang w:val="fr-FR"/>
        </w:rPr>
        <w:noBreakHyphen/>
      </w:r>
      <w:r w:rsidRPr="00A116BA">
        <w:rPr>
          <w:lang w:val="fr-FR"/>
        </w:rPr>
        <w:t>Unis d</w:t>
      </w:r>
      <w:r w:rsidR="001425D8" w:rsidRPr="00A116BA">
        <w:rPr>
          <w:lang w:val="fr-FR"/>
        </w:rPr>
        <w:t>’</w:t>
      </w:r>
      <w:r w:rsidRPr="00A116BA">
        <w:rPr>
          <w:lang w:val="fr-FR"/>
        </w:rPr>
        <w:t>Amérique</w:t>
      </w:r>
      <w:r w:rsidR="009B288D" w:rsidRPr="00A116BA">
        <w:rPr>
          <w:lang w:val="fr-FR"/>
        </w:rPr>
        <w:t xml:space="preserve">; </w:t>
      </w:r>
      <w:r w:rsidRPr="00A116BA">
        <w:rPr>
          <w:lang w:val="fr-FR"/>
        </w:rPr>
        <w:t xml:space="preserve"> Uruguay</w:t>
      </w:r>
      <w:r w:rsidR="009B288D" w:rsidRPr="00A116BA">
        <w:rPr>
          <w:lang w:val="fr-FR"/>
        </w:rPr>
        <w:t xml:space="preserve">; </w:t>
      </w:r>
      <w:r w:rsidRPr="00A116BA">
        <w:rPr>
          <w:lang w:val="fr-FR"/>
        </w:rPr>
        <w:t xml:space="preserve"> Office Benelux de la propriété intellectuelle (OBPI)</w:t>
      </w:r>
      <w:r w:rsidR="009B288D" w:rsidRPr="00A116BA">
        <w:rPr>
          <w:lang w:val="fr-FR"/>
        </w:rPr>
        <w:t xml:space="preserve">; </w:t>
      </w:r>
      <w:r w:rsidRPr="00A116BA">
        <w:rPr>
          <w:lang w:val="fr-FR"/>
        </w:rPr>
        <w:t xml:space="preserve"> Office de l</w:t>
      </w:r>
      <w:r w:rsidR="001425D8" w:rsidRPr="00A116BA">
        <w:rPr>
          <w:lang w:val="fr-FR"/>
        </w:rPr>
        <w:t>’</w:t>
      </w:r>
      <w:r w:rsidRPr="00A116BA">
        <w:rPr>
          <w:lang w:val="fr-FR"/>
        </w:rPr>
        <w:t>Union européenne pour la propriété intellectuelle (EUIPO)</w:t>
      </w:r>
      <w:r w:rsidR="009B288D" w:rsidRPr="00A116BA">
        <w:rPr>
          <w:lang w:val="fr-FR"/>
        </w:rPr>
        <w:t xml:space="preserve">; </w:t>
      </w:r>
      <w:r w:rsidRPr="00A116BA">
        <w:rPr>
          <w:lang w:val="fr-FR"/>
        </w:rPr>
        <w:t xml:space="preserve"> et Office européen des brevets (OEB).</w:t>
      </w:r>
    </w:p>
    <w:p w:rsidR="00462F53" w:rsidRPr="00A116BA" w:rsidRDefault="00462F53" w:rsidP="00A116BA">
      <w:pPr>
        <w:pStyle w:val="ONUMFS"/>
        <w:rPr>
          <w:lang w:val="fr-FR"/>
        </w:rPr>
      </w:pPr>
      <w:r w:rsidRPr="00A116BA">
        <w:rPr>
          <w:lang w:val="fr-FR"/>
        </w:rPr>
        <w:t>Le Bureau international a fourni à l</w:t>
      </w:r>
      <w:r w:rsidR="001425D8" w:rsidRPr="00A116BA">
        <w:rPr>
          <w:lang w:val="fr-FR"/>
        </w:rPr>
        <w:t>’</w:t>
      </w:r>
      <w:r w:rsidRPr="00A116BA">
        <w:rPr>
          <w:lang w:val="fr-FR"/>
        </w:rPr>
        <w:t>Équipe d</w:t>
      </w:r>
      <w:r w:rsidR="001425D8" w:rsidRPr="00A116BA">
        <w:rPr>
          <w:lang w:val="fr-FR"/>
        </w:rPr>
        <w:t>’</w:t>
      </w:r>
      <w:r w:rsidRPr="00A116BA">
        <w:rPr>
          <w:lang w:val="fr-FR"/>
        </w:rPr>
        <w:t>experts chargée de la transformation numérique les réponses des offices et un projet d</w:t>
      </w:r>
      <w:r w:rsidR="001425D8" w:rsidRPr="00A116BA">
        <w:rPr>
          <w:lang w:val="fr-FR"/>
        </w:rPr>
        <w:t>’</w:t>
      </w:r>
      <w:r w:rsidRPr="00A116BA">
        <w:rPr>
          <w:lang w:val="fr-FR"/>
        </w:rPr>
        <w:t>analyse des résultats de l</w:t>
      </w:r>
      <w:r w:rsidR="001425D8" w:rsidRPr="00A116BA">
        <w:rPr>
          <w:lang w:val="fr-FR"/>
        </w:rPr>
        <w:t>’</w:t>
      </w:r>
      <w:r w:rsidRPr="00A116BA">
        <w:rPr>
          <w:lang w:val="fr-FR"/>
        </w:rPr>
        <w:t>enquête pour examen et commentaires.  En consultation avec le responsable de l</w:t>
      </w:r>
      <w:r w:rsidR="001425D8" w:rsidRPr="00A116BA">
        <w:rPr>
          <w:lang w:val="fr-FR"/>
        </w:rPr>
        <w:t>’</w:t>
      </w:r>
      <w:r w:rsidRPr="00A116BA">
        <w:rPr>
          <w:lang w:val="fr-FR"/>
        </w:rPr>
        <w:t>équipe d</w:t>
      </w:r>
      <w:r w:rsidR="001425D8" w:rsidRPr="00A116BA">
        <w:rPr>
          <w:lang w:val="fr-FR"/>
        </w:rPr>
        <w:t>’</w:t>
      </w:r>
      <w:r w:rsidRPr="00A116BA">
        <w:rPr>
          <w:lang w:val="fr-FR"/>
        </w:rPr>
        <w:t>experts, l</w:t>
      </w:r>
      <w:r w:rsidR="001425D8" w:rsidRPr="00A116BA">
        <w:rPr>
          <w:lang w:val="fr-FR"/>
        </w:rPr>
        <w:t>’</w:t>
      </w:r>
      <w:r w:rsidRPr="00A116BA">
        <w:rPr>
          <w:lang w:val="fr-FR"/>
        </w:rPr>
        <w:t>analyse suivante a été établie.</w:t>
      </w:r>
    </w:p>
    <w:p w:rsidR="001425D8" w:rsidRPr="00A116BA" w:rsidRDefault="00462F53" w:rsidP="00A116BA">
      <w:pPr>
        <w:pStyle w:val="ONUMFS"/>
        <w:rPr>
          <w:lang w:val="fr-FR"/>
        </w:rPr>
      </w:pPr>
      <w:r w:rsidRPr="00A116BA">
        <w:rPr>
          <w:lang w:val="fr-FR"/>
        </w:rPr>
        <w:t>On trouvera ci</w:t>
      </w:r>
      <w:r w:rsidR="00A116BA">
        <w:rPr>
          <w:lang w:val="fr-FR"/>
        </w:rPr>
        <w:noBreakHyphen/>
      </w:r>
      <w:r w:rsidRPr="00A116BA">
        <w:rPr>
          <w:lang w:val="fr-FR"/>
        </w:rPr>
        <w:t>après un aperçu des résultats obten</w:t>
      </w:r>
      <w:r w:rsidR="00A116BA" w:rsidRPr="00A116BA">
        <w:rPr>
          <w:lang w:val="fr-FR"/>
        </w:rPr>
        <w:t>us.  La</w:t>
      </w:r>
      <w:r w:rsidRPr="00A116BA">
        <w:rPr>
          <w:lang w:val="fr-FR"/>
        </w:rPr>
        <w:t xml:space="preserve"> plupart des offices ayant répondu à l</w:t>
      </w:r>
      <w:r w:rsidR="001425D8" w:rsidRPr="00A116BA">
        <w:rPr>
          <w:lang w:val="fr-FR"/>
        </w:rPr>
        <w:t>’</w:t>
      </w:r>
      <w:r w:rsidRPr="00A116BA">
        <w:rPr>
          <w:lang w:val="fr-FR"/>
        </w:rPr>
        <w:t>enquête (31) indiquent que le format de fichier PDF est le plus fréquemment utilisé, suivi du papier (30) et du format Microsoft Word DOCX en présentation libre (19).  Plus de la moitié des offices ayant répondu (24) indiquent fournir une validation initiale fondée sur le contenu aux déposants avant la soumission des documents afin de réduire le nombre d</w:t>
      </w:r>
      <w:r w:rsidR="001425D8" w:rsidRPr="00A116BA">
        <w:rPr>
          <w:lang w:val="fr-FR"/>
        </w:rPr>
        <w:t>’</w:t>
      </w:r>
      <w:r w:rsidRPr="00A116BA">
        <w:rPr>
          <w:lang w:val="fr-FR"/>
        </w:rPr>
        <w:t>éléments non conformes quant à la forme.</w:t>
      </w:r>
    </w:p>
    <w:p w:rsidR="001425D8" w:rsidRPr="00A116BA" w:rsidRDefault="00462F53" w:rsidP="00A116BA">
      <w:pPr>
        <w:pStyle w:val="ONUMFS"/>
        <w:rPr>
          <w:lang w:val="fr-FR"/>
        </w:rPr>
      </w:pPr>
      <w:r w:rsidRPr="00A116BA">
        <w:rPr>
          <w:lang w:val="fr-FR"/>
        </w:rPr>
        <w:t>À une question connexe, la très grande majorité des offices (38) ont répondu qu</w:t>
      </w:r>
      <w:r w:rsidR="001425D8" w:rsidRPr="00A116BA">
        <w:rPr>
          <w:lang w:val="fr-FR"/>
        </w:rPr>
        <w:t>’</w:t>
      </w:r>
      <w:r w:rsidRPr="00A116BA">
        <w:rPr>
          <w:lang w:val="fr-FR"/>
        </w:rPr>
        <w:t>ils fournissaient un outil de nettoyage destiné à supprimer des documents les métadonnées indésirables avant leur soumissi</w:t>
      </w:r>
      <w:r w:rsidR="00A116BA" w:rsidRPr="00A116BA">
        <w:rPr>
          <w:lang w:val="fr-FR"/>
        </w:rPr>
        <w:t>on.  En</w:t>
      </w:r>
      <w:r w:rsidRPr="00A116BA">
        <w:rPr>
          <w:lang w:val="fr-FR"/>
        </w:rPr>
        <w:t xml:space="preserve"> outre, bon nombre d</w:t>
      </w:r>
      <w:r w:rsidR="001425D8" w:rsidRPr="00A116BA">
        <w:rPr>
          <w:lang w:val="fr-FR"/>
        </w:rPr>
        <w:t>’</w:t>
      </w:r>
      <w:r w:rsidRPr="00A116BA">
        <w:rPr>
          <w:lang w:val="fr-FR"/>
        </w:rPr>
        <w:t>offices (29) fournissent un retour d</w:t>
      </w:r>
      <w:r w:rsidR="001425D8" w:rsidRPr="00A116BA">
        <w:rPr>
          <w:lang w:val="fr-FR"/>
        </w:rPr>
        <w:t>’</w:t>
      </w:r>
      <w:r w:rsidRPr="00A116BA">
        <w:rPr>
          <w:lang w:val="fr-FR"/>
        </w:rPr>
        <w:t>information pendant le processus de dépôt indiquant en détail les éventuels problèmes dans la demande soumise suite aux validations qu</w:t>
      </w:r>
      <w:r w:rsidR="001425D8" w:rsidRPr="00A116BA">
        <w:rPr>
          <w:lang w:val="fr-FR"/>
        </w:rPr>
        <w:t>’</w:t>
      </w:r>
      <w:r w:rsidRPr="00A116BA">
        <w:rPr>
          <w:lang w:val="fr-FR"/>
        </w:rPr>
        <w:t>ils effectuent.</w:t>
      </w:r>
    </w:p>
    <w:p w:rsidR="001425D8" w:rsidRPr="00A116BA" w:rsidRDefault="00462F53" w:rsidP="00A116BA">
      <w:pPr>
        <w:pStyle w:val="ONUMFS"/>
        <w:rPr>
          <w:lang w:val="fr-FR"/>
        </w:rPr>
      </w:pPr>
      <w:r w:rsidRPr="00A116BA">
        <w:rPr>
          <w:lang w:val="fr-FR"/>
        </w:rPr>
        <w:t>Il n</w:t>
      </w:r>
      <w:r w:rsidR="001425D8" w:rsidRPr="00A116BA">
        <w:rPr>
          <w:lang w:val="fr-FR"/>
        </w:rPr>
        <w:t>’</w:t>
      </w:r>
      <w:r w:rsidRPr="00A116BA">
        <w:rPr>
          <w:lang w:val="fr-FR"/>
        </w:rPr>
        <w:t>est pas surprenant qu</w:t>
      </w:r>
      <w:r w:rsidR="001425D8" w:rsidRPr="00A116BA">
        <w:rPr>
          <w:lang w:val="fr-FR"/>
        </w:rPr>
        <w:t>’</w:t>
      </w:r>
      <w:r w:rsidRPr="00A116BA">
        <w:rPr>
          <w:lang w:val="fr-FR"/>
        </w:rPr>
        <w:t>un très grand nombre d</w:t>
      </w:r>
      <w:r w:rsidR="001425D8" w:rsidRPr="00A116BA">
        <w:rPr>
          <w:lang w:val="fr-FR"/>
        </w:rPr>
        <w:t>’</w:t>
      </w:r>
      <w:r w:rsidRPr="00A116BA">
        <w:rPr>
          <w:lang w:val="fr-FR"/>
        </w:rPr>
        <w:t>offices (31) aient déclaré que les documents constitutifs de la demande initialement soumis sont considérés comme l</w:t>
      </w:r>
      <w:r w:rsidR="001425D8" w:rsidRPr="00A116BA">
        <w:rPr>
          <w:lang w:val="fr-FR"/>
        </w:rPr>
        <w:t>’</w:t>
      </w:r>
      <w:r w:rsidRPr="00A116BA">
        <w:rPr>
          <w:lang w:val="fr-FR"/>
        </w:rPr>
        <w:t>exemplaire de la demande faisant foi.  Le format image initialement soumis est également conservé par certains offices (12).  En outre, la plupart des offices ont indiqué qu</w:t>
      </w:r>
      <w:r w:rsidR="001425D8" w:rsidRPr="00A116BA">
        <w:rPr>
          <w:lang w:val="fr-FR"/>
        </w:rPr>
        <w:t>’</w:t>
      </w:r>
      <w:r w:rsidRPr="00A116BA">
        <w:rPr>
          <w:lang w:val="fr-FR"/>
        </w:rPr>
        <w:t>ils afficheraient le format initialement soumis (27) à des fins d</w:t>
      </w:r>
      <w:r w:rsidR="001425D8" w:rsidRPr="00A116BA">
        <w:rPr>
          <w:lang w:val="fr-FR"/>
        </w:rPr>
        <w:t>’</w:t>
      </w:r>
      <w:r w:rsidRPr="00A116BA">
        <w:rPr>
          <w:lang w:val="fr-FR"/>
        </w:rPr>
        <w:t>examen et d</w:t>
      </w:r>
      <w:r w:rsidR="001425D8" w:rsidRPr="00A116BA">
        <w:rPr>
          <w:lang w:val="fr-FR"/>
        </w:rPr>
        <w:t>’</w:t>
      </w:r>
      <w:r w:rsidRPr="00A116BA">
        <w:rPr>
          <w:lang w:val="fr-FR"/>
        </w:rPr>
        <w:t>administration de la demande.</w:t>
      </w:r>
    </w:p>
    <w:p w:rsidR="00462F53" w:rsidRPr="00A116BA" w:rsidRDefault="00462F53" w:rsidP="00A116BA">
      <w:pPr>
        <w:pStyle w:val="ONUMFS"/>
        <w:rPr>
          <w:lang w:val="fr-FR"/>
        </w:rPr>
      </w:pPr>
      <w:r w:rsidRPr="00A116BA">
        <w:rPr>
          <w:lang w:val="fr-FR"/>
        </w:rPr>
        <w:t>Le responsable de l</w:t>
      </w:r>
      <w:r w:rsidR="001425D8" w:rsidRPr="00A116BA">
        <w:rPr>
          <w:lang w:val="fr-FR"/>
        </w:rPr>
        <w:t>’</w:t>
      </w:r>
      <w:r w:rsidRPr="00A116BA">
        <w:rPr>
          <w:lang w:val="fr-FR"/>
        </w:rPr>
        <w:t>équipe d</w:t>
      </w:r>
      <w:r w:rsidR="001425D8" w:rsidRPr="00A116BA">
        <w:rPr>
          <w:lang w:val="fr-FR"/>
        </w:rPr>
        <w:t>’</w:t>
      </w:r>
      <w:r w:rsidRPr="00A116BA">
        <w:rPr>
          <w:lang w:val="fr-FR"/>
        </w:rPr>
        <w:t>experts souligne que les informations relatives aux documents et images soumis constituent un aspect essentiel à prendre en considération dans la planification des travaux futurs de l</w:t>
      </w:r>
      <w:r w:rsidR="001425D8" w:rsidRPr="00A116BA">
        <w:rPr>
          <w:lang w:val="fr-FR"/>
        </w:rPr>
        <w:t>’</w:t>
      </w:r>
      <w:r w:rsidRPr="00A116BA">
        <w:rPr>
          <w:lang w:val="fr-FR"/>
        </w:rPr>
        <w:t>équi</w:t>
      </w:r>
      <w:r w:rsidR="00A116BA" w:rsidRPr="00A116BA">
        <w:rPr>
          <w:lang w:val="fr-FR"/>
        </w:rPr>
        <w:t>pe.  Le</w:t>
      </w:r>
      <w:r w:rsidRPr="00A116BA">
        <w:rPr>
          <w:lang w:val="fr-FR"/>
        </w:rPr>
        <w:t>s offices et les déposants considèrent la demande initialement soumise comme l</w:t>
      </w:r>
      <w:r w:rsidR="001425D8" w:rsidRPr="00A116BA">
        <w:rPr>
          <w:lang w:val="fr-FR"/>
        </w:rPr>
        <w:t>’</w:t>
      </w:r>
      <w:r w:rsidRPr="00A116BA">
        <w:rPr>
          <w:lang w:val="fr-FR"/>
        </w:rPr>
        <w:t>exemplaire faisant foi, ce qui signifie que les offices devront toujours conserver la demande sous sa forme originale, ainsi que toutes les conversions nécessaires pour traiter les données pour le flux de travail interne.</w:t>
      </w:r>
    </w:p>
    <w:p w:rsidR="00462F53" w:rsidRPr="00A116BA" w:rsidRDefault="00462F53" w:rsidP="00A116BA">
      <w:pPr>
        <w:pStyle w:val="ONUMFS"/>
        <w:rPr>
          <w:lang w:val="fr-FR"/>
        </w:rPr>
      </w:pPr>
      <w:r w:rsidRPr="00A116BA">
        <w:rPr>
          <w:lang w:val="fr-FR"/>
        </w:rPr>
        <w:t>En ce qui concerne la publication, la plupart des offices ayant répondu ont indiqué qu</w:t>
      </w:r>
      <w:r w:rsidR="001425D8" w:rsidRPr="00A116BA">
        <w:rPr>
          <w:lang w:val="fr-FR"/>
        </w:rPr>
        <w:t>’</w:t>
      </w:r>
      <w:r w:rsidRPr="00A116BA">
        <w:rPr>
          <w:lang w:val="fr-FR"/>
        </w:rPr>
        <w:t>ils utiliseraient le format du document initialement soumis (20) ou un format converti par l</w:t>
      </w:r>
      <w:r w:rsidR="001425D8" w:rsidRPr="00A116BA">
        <w:rPr>
          <w:lang w:val="fr-FR"/>
        </w:rPr>
        <w:t>’</w:t>
      </w:r>
      <w:r w:rsidR="00A116BA">
        <w:rPr>
          <w:lang w:val="fr-FR"/>
        </w:rPr>
        <w:t>office </w:t>
      </w:r>
      <w:r w:rsidRPr="00A116BA">
        <w:rPr>
          <w:lang w:val="fr-FR"/>
        </w:rPr>
        <w:t>(20).  Il convient de noter que les offices avaient la possibilité de sélectionner plusieurs réponses pour cette question.  Plusieurs offices (10) ont indiqué qu</w:t>
      </w:r>
      <w:r w:rsidR="001425D8" w:rsidRPr="00A116BA">
        <w:rPr>
          <w:lang w:val="fr-FR"/>
        </w:rPr>
        <w:t>’</w:t>
      </w:r>
      <w:r w:rsidRPr="00A116BA">
        <w:rPr>
          <w:lang w:val="fr-FR"/>
        </w:rPr>
        <w:t>ils envisageaient d</w:t>
      </w:r>
      <w:r w:rsidR="001425D8" w:rsidRPr="00A116BA">
        <w:rPr>
          <w:lang w:val="fr-FR"/>
        </w:rPr>
        <w:t>’</w:t>
      </w:r>
      <w:r w:rsidRPr="00A116BA">
        <w:rPr>
          <w:lang w:val="fr-FR"/>
        </w:rPr>
        <w:t>arrêter la publication sur un support matériel dans les cinq</w:t>
      </w:r>
      <w:r w:rsidR="009B288D" w:rsidRPr="00A116BA">
        <w:rPr>
          <w:lang w:val="fr-FR"/>
        </w:rPr>
        <w:t> </w:t>
      </w:r>
      <w:r w:rsidRPr="00A116BA">
        <w:rPr>
          <w:lang w:val="fr-FR"/>
        </w:rPr>
        <w:t>prochaines années</w:t>
      </w:r>
      <w:r w:rsidR="00A116BA">
        <w:rPr>
          <w:lang w:val="fr-FR"/>
        </w:rPr>
        <w:t>.</w:t>
      </w:r>
    </w:p>
    <w:p w:rsidR="00462F53" w:rsidRPr="00A116BA" w:rsidRDefault="00A116BA" w:rsidP="00A116BA">
      <w:pPr>
        <w:pStyle w:val="Heading2"/>
        <w:rPr>
          <w:rFonts w:eastAsia="Malgun Gothic"/>
          <w:szCs w:val="22"/>
          <w:lang w:val="fr-FR"/>
        </w:rPr>
      </w:pPr>
      <w:r>
        <w:rPr>
          <w:lang w:val="fr-FR"/>
        </w:rPr>
        <w:t>A</w:t>
      </w:r>
      <w:r w:rsidRPr="00A116BA">
        <w:rPr>
          <w:lang w:val="fr-FR"/>
        </w:rPr>
        <w:t>utres mesures</w:t>
      </w:r>
    </w:p>
    <w:p w:rsidR="001425D8" w:rsidRPr="00A116BA" w:rsidRDefault="00462F53" w:rsidP="00A116BA">
      <w:pPr>
        <w:pStyle w:val="ONUMFS"/>
        <w:rPr>
          <w:lang w:val="fr-FR"/>
        </w:rPr>
      </w:pPr>
      <w:r w:rsidRPr="00A116BA">
        <w:rPr>
          <w:lang w:val="fr-FR"/>
        </w:rPr>
        <w:t>Après avoir examiné les résultats de cette enquête, le responsable de l</w:t>
      </w:r>
      <w:r w:rsidR="001425D8" w:rsidRPr="00A116BA">
        <w:rPr>
          <w:lang w:val="fr-FR"/>
        </w:rPr>
        <w:t>’</w:t>
      </w:r>
      <w:r w:rsidRPr="00A116BA">
        <w:rPr>
          <w:lang w:val="fr-FR"/>
        </w:rPr>
        <w:t>équipe d</w:t>
      </w:r>
      <w:r w:rsidR="001425D8" w:rsidRPr="00A116BA">
        <w:rPr>
          <w:lang w:val="fr-FR"/>
        </w:rPr>
        <w:t>’</w:t>
      </w:r>
      <w:r w:rsidRPr="00A116BA">
        <w:rPr>
          <w:lang w:val="fr-FR"/>
        </w:rPr>
        <w:t>experts recommande d</w:t>
      </w:r>
      <w:r w:rsidR="001425D8" w:rsidRPr="00A116BA">
        <w:rPr>
          <w:lang w:val="fr-FR"/>
        </w:rPr>
        <w:t>’</w:t>
      </w:r>
      <w:r w:rsidRPr="00A116BA">
        <w:rPr>
          <w:lang w:val="fr-FR"/>
        </w:rPr>
        <w:t>établir un plan afin que l</w:t>
      </w:r>
      <w:r w:rsidR="001425D8" w:rsidRPr="00A116BA">
        <w:rPr>
          <w:lang w:val="fr-FR"/>
        </w:rPr>
        <w:t>’</w:t>
      </w:r>
      <w:r w:rsidRPr="00A116BA">
        <w:rPr>
          <w:lang w:val="fr-FR"/>
        </w:rPr>
        <w:t>équipe puisse travailler à l</w:t>
      </w:r>
      <w:r w:rsidR="001425D8" w:rsidRPr="00A116BA">
        <w:rPr>
          <w:lang w:val="fr-FR"/>
        </w:rPr>
        <w:t>’</w:t>
      </w:r>
      <w:r w:rsidRPr="00A116BA">
        <w:rPr>
          <w:lang w:val="fr-FR"/>
        </w:rPr>
        <w:t>uniformisation de deux</w:t>
      </w:r>
      <w:r w:rsidR="009B288D" w:rsidRPr="00A116BA">
        <w:rPr>
          <w:lang w:val="fr-FR"/>
        </w:rPr>
        <w:t> </w:t>
      </w:r>
      <w:r w:rsidRPr="00A116BA">
        <w:rPr>
          <w:lang w:val="fr-FR"/>
        </w:rPr>
        <w:t>aspects de la procédure de demande de brevet</w:t>
      </w:r>
      <w:r w:rsidR="001425D8" w:rsidRPr="00A116BA">
        <w:rPr>
          <w:lang w:val="fr-FR"/>
        </w:rPr>
        <w:t> :</w:t>
      </w:r>
      <w:r w:rsidRPr="00A116BA">
        <w:rPr>
          <w:lang w:val="fr-FR"/>
        </w:rPr>
        <w:t xml:space="preserve"> </w:t>
      </w:r>
      <w:r w:rsidR="001425D8" w:rsidRPr="00A116BA">
        <w:rPr>
          <w:lang w:val="fr-FR"/>
        </w:rPr>
        <w:t>la RÉC</w:t>
      </w:r>
      <w:r w:rsidRPr="00A116BA">
        <w:rPr>
          <w:lang w:val="fr-FR"/>
        </w:rPr>
        <w:t>EPTION et l</w:t>
      </w:r>
      <w:r w:rsidR="001425D8" w:rsidRPr="00A116BA">
        <w:rPr>
          <w:lang w:val="fr-FR"/>
        </w:rPr>
        <w:t>’</w:t>
      </w:r>
      <w:r w:rsidRPr="00A116BA">
        <w:rPr>
          <w:lang w:val="fr-FR"/>
        </w:rPr>
        <w:t>EXPORTATION.  Ces deux</w:t>
      </w:r>
      <w:r w:rsidR="009B288D" w:rsidRPr="00A116BA">
        <w:rPr>
          <w:lang w:val="fr-FR"/>
        </w:rPr>
        <w:t> </w:t>
      </w:r>
      <w:r w:rsidRPr="00A116BA">
        <w:rPr>
          <w:lang w:val="fr-FR"/>
        </w:rPr>
        <w:t>aspects sont ceux qui se prêtent le plus à un rapprochement entre offices et seront également utiles aux déposants.</w:t>
      </w:r>
    </w:p>
    <w:p w:rsidR="00462F53" w:rsidRPr="00A116BA" w:rsidRDefault="00462F53" w:rsidP="00A116BA">
      <w:pPr>
        <w:pStyle w:val="ONUMFS"/>
        <w:rPr>
          <w:lang w:val="fr-FR"/>
        </w:rPr>
      </w:pPr>
      <w:r w:rsidRPr="00A116BA">
        <w:rPr>
          <w:lang w:val="fr-FR"/>
        </w:rPr>
        <w:t>Réception</w:t>
      </w:r>
      <w:r w:rsidR="009B288D" w:rsidRPr="00A116BA">
        <w:rPr>
          <w:lang w:val="fr-FR"/>
        </w:rPr>
        <w:t> </w:t>
      </w:r>
      <w:r w:rsidRPr="00A116BA">
        <w:rPr>
          <w:lang w:val="fr-FR"/>
        </w:rPr>
        <w:t>: la plupart des offices demandent des informations similaires en ce qui concerne la réception, avec les éléments de base tels que les données bibliographiques, les revendications, le résumé des spécifications et les dessins.  L</w:t>
      </w:r>
      <w:r w:rsidR="001425D8" w:rsidRPr="00A116BA">
        <w:rPr>
          <w:lang w:val="fr-FR"/>
        </w:rPr>
        <w:t>’</w:t>
      </w:r>
      <w:r w:rsidRPr="00A116BA">
        <w:rPr>
          <w:lang w:val="fr-FR"/>
        </w:rPr>
        <w:t>équipe d</w:t>
      </w:r>
      <w:r w:rsidR="001425D8" w:rsidRPr="00A116BA">
        <w:rPr>
          <w:lang w:val="fr-FR"/>
        </w:rPr>
        <w:t>’</w:t>
      </w:r>
      <w:r w:rsidRPr="00A116BA">
        <w:rPr>
          <w:lang w:val="fr-FR"/>
        </w:rPr>
        <w:t xml:space="preserve">experts devrait se pencher sur les possibilités de conversion du format </w:t>
      </w:r>
      <w:proofErr w:type="spellStart"/>
      <w:r w:rsidRPr="00A116BA">
        <w:rPr>
          <w:lang w:val="fr-FR"/>
        </w:rPr>
        <w:t>DocX</w:t>
      </w:r>
      <w:proofErr w:type="spellEnd"/>
      <w:r w:rsidRPr="00A116BA">
        <w:rPr>
          <w:lang w:val="fr-FR"/>
        </w:rPr>
        <w:t xml:space="preserve"> en XML pour les offices.</w:t>
      </w:r>
    </w:p>
    <w:p w:rsidR="001425D8" w:rsidRPr="00A116BA" w:rsidRDefault="00462F53" w:rsidP="00A116BA">
      <w:pPr>
        <w:pStyle w:val="ONUMFS"/>
        <w:rPr>
          <w:lang w:val="fr-FR"/>
        </w:rPr>
      </w:pPr>
      <w:r w:rsidRPr="00A116BA">
        <w:rPr>
          <w:lang w:val="fr-FR"/>
        </w:rPr>
        <w:t>Exportation</w:t>
      </w:r>
      <w:r w:rsidR="009B288D" w:rsidRPr="00A116BA">
        <w:rPr>
          <w:lang w:val="fr-FR"/>
        </w:rPr>
        <w:t> </w:t>
      </w:r>
      <w:r w:rsidRPr="00A116BA">
        <w:rPr>
          <w:lang w:val="fr-FR"/>
        </w:rPr>
        <w:t>: la plupart des offices proposent des publications (exportation) dans un ou plusieurs formats.  L</w:t>
      </w:r>
      <w:r w:rsidR="001425D8" w:rsidRPr="00A116BA">
        <w:rPr>
          <w:lang w:val="fr-FR"/>
        </w:rPr>
        <w:t>’</w:t>
      </w:r>
      <w:r w:rsidRPr="00A116BA">
        <w:rPr>
          <w:lang w:val="fr-FR"/>
        </w:rPr>
        <w:t>équipe d</w:t>
      </w:r>
      <w:r w:rsidR="001425D8" w:rsidRPr="00A116BA">
        <w:rPr>
          <w:lang w:val="fr-FR"/>
        </w:rPr>
        <w:t>’</w:t>
      </w:r>
      <w:r w:rsidRPr="00A116BA">
        <w:rPr>
          <w:lang w:val="fr-FR"/>
        </w:rPr>
        <w:t>experts pourrait prendre des mesures pour encourager les offices à fournir leurs publications dans un format commun conforme à la norme</w:t>
      </w:r>
      <w:r w:rsidR="009B288D" w:rsidRPr="00A116BA">
        <w:rPr>
          <w:lang w:val="fr-FR"/>
        </w:rPr>
        <w:t> </w:t>
      </w:r>
      <w:r w:rsidRPr="00A116BA">
        <w:rPr>
          <w:lang w:val="fr-FR"/>
        </w:rPr>
        <w:t>ST.96, en plus des autres formats existan</w:t>
      </w:r>
      <w:r w:rsidR="00A116BA" w:rsidRPr="00A116BA">
        <w:rPr>
          <w:lang w:val="fr-FR"/>
        </w:rPr>
        <w:t>ts.  Ce</w:t>
      </w:r>
      <w:r w:rsidRPr="00A116BA">
        <w:rPr>
          <w:lang w:val="fr-FR"/>
        </w:rPr>
        <w:t>la permettra aux utilisateurs de l</w:t>
      </w:r>
      <w:r w:rsidR="001425D8" w:rsidRPr="00A116BA">
        <w:rPr>
          <w:lang w:val="fr-FR"/>
        </w:rPr>
        <w:t>’</w:t>
      </w:r>
      <w:r w:rsidRPr="00A116BA">
        <w:rPr>
          <w:lang w:val="fr-FR"/>
        </w:rPr>
        <w:t>information en matière de brevets de disposer d</w:t>
      </w:r>
      <w:r w:rsidR="001425D8" w:rsidRPr="00A116BA">
        <w:rPr>
          <w:lang w:val="fr-FR"/>
        </w:rPr>
        <w:t>’</w:t>
      </w:r>
      <w:r w:rsidRPr="00A116BA">
        <w:rPr>
          <w:lang w:val="fr-FR"/>
        </w:rPr>
        <w:t>au moins un format commun sur lequel ils pourront s</w:t>
      </w:r>
      <w:r w:rsidR="001425D8" w:rsidRPr="00A116BA">
        <w:rPr>
          <w:lang w:val="fr-FR"/>
        </w:rPr>
        <w:t>’</w:t>
      </w:r>
      <w:r w:rsidRPr="00A116BA">
        <w:rPr>
          <w:lang w:val="fr-FR"/>
        </w:rPr>
        <w:t>appuyer pour l</w:t>
      </w:r>
      <w:r w:rsidR="001425D8" w:rsidRPr="00A116BA">
        <w:rPr>
          <w:lang w:val="fr-FR"/>
        </w:rPr>
        <w:t>’</w:t>
      </w:r>
      <w:r w:rsidRPr="00A116BA">
        <w:rPr>
          <w:lang w:val="fr-FR"/>
        </w:rPr>
        <w:t>utilisation des données.</w:t>
      </w:r>
    </w:p>
    <w:p w:rsidR="00462F53" w:rsidRDefault="00462F53" w:rsidP="00A116BA">
      <w:pPr>
        <w:pStyle w:val="ONUMFS"/>
        <w:rPr>
          <w:lang w:val="fr-FR"/>
        </w:rPr>
      </w:pPr>
      <w:r w:rsidRPr="00A116BA">
        <w:rPr>
          <w:lang w:val="fr-FR"/>
        </w:rPr>
        <w:t>Si</w:t>
      </w:r>
      <w:r w:rsidR="001425D8" w:rsidRPr="00A116BA">
        <w:rPr>
          <w:lang w:val="fr-FR"/>
        </w:rPr>
        <w:t xml:space="preserve"> le CWS</w:t>
      </w:r>
      <w:r w:rsidRPr="00A116BA">
        <w:rPr>
          <w:lang w:val="fr-FR"/>
        </w:rPr>
        <w:t xml:space="preserve"> approuve le contenu de l</w:t>
      </w:r>
      <w:r w:rsidR="001425D8" w:rsidRPr="00A116BA">
        <w:rPr>
          <w:lang w:val="fr-FR"/>
        </w:rPr>
        <w:t>’</w:t>
      </w:r>
      <w:r w:rsidRPr="00A116BA">
        <w:rPr>
          <w:lang w:val="fr-FR"/>
        </w:rPr>
        <w:t>analyse de l</w:t>
      </w:r>
      <w:r w:rsidR="001425D8" w:rsidRPr="00A116BA">
        <w:rPr>
          <w:lang w:val="fr-FR"/>
        </w:rPr>
        <w:t>’</w:t>
      </w:r>
      <w:r w:rsidRPr="00A116BA">
        <w:rPr>
          <w:lang w:val="fr-FR"/>
        </w:rPr>
        <w:t>enquête qui précède, celle</w:t>
      </w:r>
      <w:r w:rsidR="00A116BA">
        <w:rPr>
          <w:lang w:val="fr-FR"/>
        </w:rPr>
        <w:noBreakHyphen/>
      </w:r>
      <w:r w:rsidRPr="00A116BA">
        <w:rPr>
          <w:lang w:val="fr-FR"/>
        </w:rPr>
        <w:t>ci sera publiée conjointement avec les résultats de l</w:t>
      </w:r>
      <w:r w:rsidR="001425D8" w:rsidRPr="00A116BA">
        <w:rPr>
          <w:lang w:val="fr-FR"/>
        </w:rPr>
        <w:t>’</w:t>
      </w:r>
      <w:r w:rsidRPr="00A116BA">
        <w:rPr>
          <w:lang w:val="fr-FR"/>
        </w:rPr>
        <w:t>enquête dans la partie</w:t>
      </w:r>
      <w:r w:rsidR="00A116BA">
        <w:rPr>
          <w:lang w:val="fr-FR"/>
        </w:rPr>
        <w:t> </w:t>
      </w:r>
      <w:r w:rsidRPr="00A116BA">
        <w:rPr>
          <w:lang w:val="fr-FR"/>
        </w:rPr>
        <w:t>7 du Manuel de l</w:t>
      </w:r>
      <w:r w:rsidR="001425D8" w:rsidRPr="00A116BA">
        <w:rPr>
          <w:lang w:val="fr-FR"/>
        </w:rPr>
        <w:t>’</w:t>
      </w:r>
      <w:r w:rsidRPr="00A116BA">
        <w:rPr>
          <w:lang w:val="fr-FR"/>
        </w:rPr>
        <w:t>OMPI.</w:t>
      </w:r>
    </w:p>
    <w:p w:rsidR="000D56BD" w:rsidRPr="00A116BA" w:rsidRDefault="000D56BD" w:rsidP="000D56BD">
      <w:pPr>
        <w:pStyle w:val="ONUMFS"/>
        <w:numPr>
          <w:ilvl w:val="0"/>
          <w:numId w:val="0"/>
        </w:numPr>
        <w:rPr>
          <w:lang w:val="fr-FR"/>
        </w:rPr>
      </w:pPr>
      <w:bookmarkStart w:id="5" w:name="_GoBack"/>
      <w:bookmarkEnd w:id="5"/>
    </w:p>
    <w:p w:rsidR="001425D8" w:rsidRPr="00A116BA" w:rsidRDefault="00462F53" w:rsidP="00A116BA">
      <w:pPr>
        <w:pStyle w:val="ONUMFS"/>
        <w:ind w:left="5533"/>
        <w:rPr>
          <w:i/>
        </w:rPr>
      </w:pPr>
      <w:r w:rsidRPr="00A116BA">
        <w:rPr>
          <w:i/>
        </w:rPr>
        <w:t>Le CWS est invité</w:t>
      </w:r>
    </w:p>
    <w:p w:rsidR="001425D8" w:rsidRPr="00A116BA" w:rsidRDefault="00462F53" w:rsidP="00A116BA">
      <w:pPr>
        <w:pStyle w:val="ONUMFS"/>
        <w:numPr>
          <w:ilvl w:val="1"/>
          <w:numId w:val="6"/>
        </w:numPr>
        <w:tabs>
          <w:tab w:val="left" w:pos="6804"/>
        </w:tabs>
        <w:ind w:left="5533" w:firstLine="704"/>
        <w:rPr>
          <w:i/>
        </w:rPr>
      </w:pPr>
      <w:proofErr w:type="gramStart"/>
      <w:r w:rsidRPr="00A116BA">
        <w:rPr>
          <w:i/>
        </w:rPr>
        <w:t>à</w:t>
      </w:r>
      <w:proofErr w:type="gramEnd"/>
      <w:r w:rsidRPr="00A116BA">
        <w:rPr>
          <w:i/>
        </w:rPr>
        <w:t xml:space="preserve"> prendre note du contenu du présent document,</w:t>
      </w:r>
    </w:p>
    <w:p w:rsidR="00462F53" w:rsidRPr="00A116BA" w:rsidRDefault="00462F53" w:rsidP="00A116BA">
      <w:pPr>
        <w:pStyle w:val="ONUMFS"/>
        <w:numPr>
          <w:ilvl w:val="1"/>
          <w:numId w:val="6"/>
        </w:numPr>
        <w:tabs>
          <w:tab w:val="left" w:pos="6804"/>
        </w:tabs>
        <w:ind w:left="5533" w:firstLine="704"/>
        <w:rPr>
          <w:i/>
        </w:rPr>
      </w:pPr>
      <w:proofErr w:type="gramStart"/>
      <w:r w:rsidRPr="00A116BA">
        <w:rPr>
          <w:i/>
        </w:rPr>
        <w:t>à</w:t>
      </w:r>
      <w:proofErr w:type="gramEnd"/>
      <w:r w:rsidRPr="00A116BA">
        <w:rPr>
          <w:i/>
        </w:rPr>
        <w:t xml:space="preserve"> examiner et à approuver le contenu de l</w:t>
      </w:r>
      <w:r w:rsidR="001425D8" w:rsidRPr="00A116BA">
        <w:rPr>
          <w:i/>
        </w:rPr>
        <w:t>’</w:t>
      </w:r>
      <w:r w:rsidRPr="00A116BA">
        <w:rPr>
          <w:i/>
        </w:rPr>
        <w:t>analyse de l</w:t>
      </w:r>
      <w:r w:rsidR="001425D8" w:rsidRPr="00A116BA">
        <w:rPr>
          <w:i/>
        </w:rPr>
        <w:t>’</w:t>
      </w:r>
      <w:r w:rsidRPr="00A116BA">
        <w:rPr>
          <w:i/>
        </w:rPr>
        <w:t xml:space="preserve">enquête figurant aux </w:t>
      </w:r>
      <w:r w:rsidR="001425D8" w:rsidRPr="00A116BA">
        <w:rPr>
          <w:i/>
        </w:rPr>
        <w:t>paragraphes 3</w:t>
      </w:r>
      <w:r w:rsidRPr="00A116BA">
        <w:rPr>
          <w:i/>
        </w:rPr>
        <w:t xml:space="preserve"> à 9 ci</w:t>
      </w:r>
      <w:r w:rsidR="00A116BA" w:rsidRPr="00A116BA">
        <w:rPr>
          <w:i/>
        </w:rPr>
        <w:noBreakHyphen/>
      </w:r>
      <w:r w:rsidRPr="00A116BA">
        <w:rPr>
          <w:i/>
        </w:rPr>
        <w:t>dessus afin qu</w:t>
      </w:r>
      <w:r w:rsidR="001425D8" w:rsidRPr="00A116BA">
        <w:rPr>
          <w:i/>
        </w:rPr>
        <w:t>’</w:t>
      </w:r>
      <w:r w:rsidRPr="00A116BA">
        <w:rPr>
          <w:i/>
        </w:rPr>
        <w:t>elle soit publiée conjointement avec les résultats de l</w:t>
      </w:r>
      <w:r w:rsidR="001425D8" w:rsidRPr="00A116BA">
        <w:rPr>
          <w:i/>
        </w:rPr>
        <w:t>’</w:t>
      </w:r>
      <w:r w:rsidRPr="00A116BA">
        <w:rPr>
          <w:i/>
        </w:rPr>
        <w:t>enquête dans le Manuel de l</w:t>
      </w:r>
      <w:r w:rsidR="001425D8" w:rsidRPr="00A116BA">
        <w:rPr>
          <w:i/>
        </w:rPr>
        <w:t>’</w:t>
      </w:r>
      <w:r w:rsidRPr="00A116BA">
        <w:rPr>
          <w:i/>
        </w:rPr>
        <w:t>OMPI et</w:t>
      </w:r>
    </w:p>
    <w:p w:rsidR="00462F53" w:rsidRPr="00A116BA" w:rsidRDefault="00462F53" w:rsidP="00A116BA">
      <w:pPr>
        <w:pStyle w:val="ONUMFS"/>
        <w:numPr>
          <w:ilvl w:val="1"/>
          <w:numId w:val="6"/>
        </w:numPr>
        <w:tabs>
          <w:tab w:val="left" w:pos="6804"/>
        </w:tabs>
        <w:ind w:left="5533" w:firstLine="704"/>
        <w:rPr>
          <w:i/>
        </w:rPr>
      </w:pPr>
      <w:proofErr w:type="gramStart"/>
      <w:r w:rsidRPr="00A116BA">
        <w:rPr>
          <w:i/>
        </w:rPr>
        <w:t>à</w:t>
      </w:r>
      <w:proofErr w:type="gramEnd"/>
      <w:r w:rsidRPr="00A116BA">
        <w:rPr>
          <w:i/>
        </w:rPr>
        <w:t xml:space="preserve"> examiner et à approuver les points du programme de travail de l</w:t>
      </w:r>
      <w:r w:rsidR="001425D8" w:rsidRPr="00A116BA">
        <w:rPr>
          <w:i/>
        </w:rPr>
        <w:t>’</w:t>
      </w:r>
      <w:r w:rsidRPr="00A116BA">
        <w:rPr>
          <w:i/>
        </w:rPr>
        <w:t>équipe d</w:t>
      </w:r>
      <w:r w:rsidR="001425D8" w:rsidRPr="00A116BA">
        <w:rPr>
          <w:i/>
        </w:rPr>
        <w:t>’</w:t>
      </w:r>
      <w:r w:rsidRPr="00A116BA">
        <w:rPr>
          <w:i/>
        </w:rPr>
        <w:t xml:space="preserve">experts décrits aux </w:t>
      </w:r>
      <w:r w:rsidR="001425D8" w:rsidRPr="00A116BA">
        <w:rPr>
          <w:i/>
        </w:rPr>
        <w:t>paragraphes 1</w:t>
      </w:r>
      <w:r w:rsidRPr="00A116BA">
        <w:rPr>
          <w:i/>
        </w:rPr>
        <w:t>0 à 12 ci</w:t>
      </w:r>
      <w:r w:rsidR="00A116BA" w:rsidRPr="00A116BA">
        <w:rPr>
          <w:i/>
        </w:rPr>
        <w:noBreakHyphen/>
      </w:r>
      <w:r w:rsidRPr="00A116BA">
        <w:rPr>
          <w:i/>
        </w:rPr>
        <w:t>dessus.</w:t>
      </w:r>
    </w:p>
    <w:p w:rsidR="000F5E56" w:rsidRPr="00A116BA" w:rsidRDefault="00462F53" w:rsidP="00462F53">
      <w:pPr>
        <w:pStyle w:val="Endofdocument-Annex"/>
        <w:rPr>
          <w:lang w:val="fr-FR"/>
        </w:rPr>
      </w:pPr>
      <w:r w:rsidRPr="00A116BA">
        <w:rPr>
          <w:lang w:val="fr-FR"/>
        </w:rPr>
        <w:t>[Fin du document]</w:t>
      </w:r>
    </w:p>
    <w:sectPr w:rsidR="000F5E56" w:rsidRPr="00A116BA" w:rsidSect="00462F5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E2B" w:rsidRDefault="00DE0E2B">
      <w:r>
        <w:separator/>
      </w:r>
    </w:p>
  </w:endnote>
  <w:endnote w:type="continuationSeparator" w:id="0">
    <w:p w:rsidR="00DE0E2B" w:rsidRPr="009D30E6" w:rsidRDefault="00DE0E2B" w:rsidP="00D45252">
      <w:pPr>
        <w:rPr>
          <w:sz w:val="17"/>
          <w:szCs w:val="17"/>
        </w:rPr>
      </w:pPr>
      <w:r w:rsidRPr="009D30E6">
        <w:rPr>
          <w:sz w:val="17"/>
          <w:szCs w:val="17"/>
        </w:rPr>
        <w:separator/>
      </w:r>
    </w:p>
    <w:p w:rsidR="00DE0E2B" w:rsidRPr="009D30E6" w:rsidRDefault="00DE0E2B" w:rsidP="00D45252">
      <w:pPr>
        <w:spacing w:after="60"/>
        <w:rPr>
          <w:sz w:val="17"/>
          <w:szCs w:val="17"/>
        </w:rPr>
      </w:pPr>
      <w:r w:rsidRPr="009D30E6">
        <w:rPr>
          <w:sz w:val="17"/>
          <w:szCs w:val="17"/>
        </w:rPr>
        <w:t>[Suite de la note de la page précédente]</w:t>
      </w:r>
    </w:p>
  </w:endnote>
  <w:endnote w:type="continuationNotice" w:id="1">
    <w:p w:rsidR="00DE0E2B" w:rsidRPr="009D30E6" w:rsidRDefault="00DE0E2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BA" w:rsidRDefault="00A11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BA" w:rsidRDefault="00A11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BA" w:rsidRDefault="00A1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E2B" w:rsidRDefault="00DE0E2B">
      <w:r>
        <w:separator/>
      </w:r>
    </w:p>
  </w:footnote>
  <w:footnote w:type="continuationSeparator" w:id="0">
    <w:p w:rsidR="00DE0E2B" w:rsidRDefault="00DE0E2B" w:rsidP="007461F1">
      <w:r>
        <w:separator/>
      </w:r>
    </w:p>
    <w:p w:rsidR="00DE0E2B" w:rsidRPr="009D30E6" w:rsidRDefault="00DE0E2B" w:rsidP="007461F1">
      <w:pPr>
        <w:spacing w:after="60"/>
        <w:rPr>
          <w:sz w:val="17"/>
          <w:szCs w:val="17"/>
        </w:rPr>
      </w:pPr>
      <w:r w:rsidRPr="009D30E6">
        <w:rPr>
          <w:sz w:val="17"/>
          <w:szCs w:val="17"/>
        </w:rPr>
        <w:t>[Suite de la note de la page précédente]</w:t>
      </w:r>
    </w:p>
  </w:footnote>
  <w:footnote w:type="continuationNotice" w:id="1">
    <w:p w:rsidR="00DE0E2B" w:rsidRPr="009D30E6" w:rsidRDefault="00DE0E2B" w:rsidP="007461F1">
      <w:pPr>
        <w:spacing w:before="60"/>
        <w:jc w:val="right"/>
        <w:rPr>
          <w:sz w:val="17"/>
          <w:szCs w:val="17"/>
        </w:rPr>
      </w:pPr>
      <w:r w:rsidRPr="009D30E6">
        <w:rPr>
          <w:sz w:val="17"/>
          <w:szCs w:val="17"/>
        </w:rPr>
        <w:t>[Suite de la note page suivante]</w:t>
      </w:r>
    </w:p>
  </w:footnote>
  <w:footnote w:id="2">
    <w:p w:rsidR="00462F53" w:rsidRDefault="00462F53" w:rsidP="00462F53">
      <w:pPr>
        <w:pStyle w:val="FootnoteText"/>
      </w:pPr>
      <w:r>
        <w:rPr>
          <w:rStyle w:val="FootnoteReference"/>
        </w:rPr>
        <w:footnoteRef/>
      </w:r>
      <w:r>
        <w:t xml:space="preserve"> </w:t>
      </w:r>
      <w:r w:rsidR="00A116BA">
        <w:tab/>
      </w:r>
      <w:r>
        <w:t>L</w:t>
      </w:r>
      <w:r w:rsidR="009A23B5">
        <w:t>’“I</w:t>
      </w:r>
      <w:r>
        <w:t>nstitut National Algérien de la Propriété Industriell</w:t>
      </w:r>
      <w:r w:rsidR="009A23B5">
        <w:t>e”</w:t>
      </w:r>
      <w:r>
        <w:t xml:space="preserve"> et l</w:t>
      </w:r>
      <w:r w:rsidR="009A23B5">
        <w:t>’“O</w:t>
      </w:r>
      <w:r>
        <w:t>ffice national des droits d</w:t>
      </w:r>
      <w:r w:rsidR="009A23B5">
        <w:t>’</w:t>
      </w:r>
      <w:r>
        <w:t>auteur et des droits voisin</w:t>
      </w:r>
      <w:r w:rsidR="009A23B5">
        <w: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BA" w:rsidRDefault="00A11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62F53" w:rsidP="00477D6B">
    <w:pPr>
      <w:jc w:val="right"/>
    </w:pPr>
    <w:bookmarkStart w:id="6" w:name="Code2"/>
    <w:bookmarkEnd w:id="6"/>
    <w:r>
      <w:t>CWS/10/15</w:t>
    </w:r>
  </w:p>
  <w:p w:rsidR="004F4E31" w:rsidRDefault="00F16975" w:rsidP="00A116BA">
    <w:pPr>
      <w:spacing w:after="480"/>
      <w:jc w:val="right"/>
    </w:pPr>
    <w:r>
      <w:t>page</w:t>
    </w:r>
    <w:r w:rsidR="00A116BA">
      <w:t> </w:t>
    </w:r>
    <w:r>
      <w:fldChar w:fldCharType="begin"/>
    </w:r>
    <w:r>
      <w:instrText xml:space="preserve"> PAGE  \* MERGEFORMAT </w:instrText>
    </w:r>
    <w:r>
      <w:fldChar w:fldCharType="separate"/>
    </w:r>
    <w:r w:rsidR="000D56BD">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BA" w:rsidRDefault="00A11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0878B3"/>
    <w:multiLevelType w:val="hybridMultilevel"/>
    <w:tmpl w:val="58308FDC"/>
    <w:lvl w:ilvl="0" w:tplc="36BAC89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53"/>
    <w:rsid w:val="00011B7D"/>
    <w:rsid w:val="00075432"/>
    <w:rsid w:val="000D56BD"/>
    <w:rsid w:val="000F5E56"/>
    <w:rsid w:val="001362EE"/>
    <w:rsid w:val="001425D8"/>
    <w:rsid w:val="001832A6"/>
    <w:rsid w:val="00195C6E"/>
    <w:rsid w:val="00197881"/>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2F53"/>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74CD6"/>
    <w:rsid w:val="009A23B5"/>
    <w:rsid w:val="009B288D"/>
    <w:rsid w:val="009D30E6"/>
    <w:rsid w:val="009E3F6F"/>
    <w:rsid w:val="009F499F"/>
    <w:rsid w:val="00A02BD3"/>
    <w:rsid w:val="00A116BA"/>
    <w:rsid w:val="00AA1F20"/>
    <w:rsid w:val="00AC0AE4"/>
    <w:rsid w:val="00AD61DB"/>
    <w:rsid w:val="00B87BCF"/>
    <w:rsid w:val="00BA62D4"/>
    <w:rsid w:val="00C153FD"/>
    <w:rsid w:val="00C40E15"/>
    <w:rsid w:val="00C664C8"/>
    <w:rsid w:val="00C76A79"/>
    <w:rsid w:val="00CA15F5"/>
    <w:rsid w:val="00CF0460"/>
    <w:rsid w:val="00D45252"/>
    <w:rsid w:val="00D71B4D"/>
    <w:rsid w:val="00D75C1E"/>
    <w:rsid w:val="00D93D55"/>
    <w:rsid w:val="00DB0349"/>
    <w:rsid w:val="00DD6A16"/>
    <w:rsid w:val="00DE0E2B"/>
    <w:rsid w:val="00E0091A"/>
    <w:rsid w:val="00E203AA"/>
    <w:rsid w:val="00E527A5"/>
    <w:rsid w:val="00E76456"/>
    <w:rsid w:val="00EE71CB"/>
    <w:rsid w:val="00F16975"/>
    <w:rsid w:val="00F2330F"/>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218A2"/>
  <w15:docId w15:val="{CFC514EC-7A46-434D-AA28-AD4F35DE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62F53"/>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462F53"/>
    <w:rPr>
      <w:rFonts w:ascii="Arial" w:eastAsia="SimSun" w:hAnsi="Arial" w:cs="Arial"/>
      <w:bCs/>
      <w:iCs/>
      <w:caps/>
      <w:sz w:val="22"/>
      <w:szCs w:val="28"/>
      <w:lang w:eastAsia="zh-CN"/>
    </w:rPr>
  </w:style>
  <w:style w:type="paragraph" w:customStyle="1" w:styleId="Endofdocument">
    <w:name w:val="End of document"/>
    <w:basedOn w:val="Normal"/>
    <w:rsid w:val="00462F53"/>
    <w:pPr>
      <w:spacing w:line="260" w:lineRule="atLeast"/>
      <w:ind w:left="5534"/>
    </w:pPr>
    <w:rPr>
      <w:rFonts w:eastAsia="Times New Roman" w:cs="Times New Roman"/>
      <w:sz w:val="20"/>
      <w:lang w:val="fr-FR" w:eastAsia="en-US"/>
    </w:rPr>
  </w:style>
  <w:style w:type="character" w:customStyle="1" w:styleId="BodyTextChar">
    <w:name w:val="Body Text Char"/>
    <w:basedOn w:val="DefaultParagraphFont"/>
    <w:link w:val="BodyText"/>
    <w:rsid w:val="00462F53"/>
    <w:rPr>
      <w:rFonts w:ascii="Arial" w:eastAsia="SimSun" w:hAnsi="Arial" w:cs="Arial"/>
      <w:sz w:val="22"/>
      <w:lang w:eastAsia="zh-CN"/>
    </w:rPr>
  </w:style>
  <w:style w:type="character" w:styleId="FootnoteReference">
    <w:name w:val="footnote reference"/>
    <w:basedOn w:val="DefaultParagraphFont"/>
    <w:semiHidden/>
    <w:unhideWhenUsed/>
    <w:rsid w:val="00462F53"/>
    <w:rPr>
      <w:vertAlign w:val="superscript"/>
    </w:rPr>
  </w:style>
  <w:style w:type="character" w:styleId="Hyperlink">
    <w:name w:val="Hyperlink"/>
    <w:basedOn w:val="DefaultParagraphFont"/>
    <w:semiHidden/>
    <w:unhideWhenUsed/>
    <w:rsid w:val="00A11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1</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CWS/10/15</vt:lpstr>
    </vt:vector>
  </TitlesOfParts>
  <Company>WIPO</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CWS/10/15</dc:title>
  <dc:creator>WIPO</dc:creator>
  <cp:keywords>FOR OFFICIAL USE ONLY</cp:keywords>
  <cp:lastModifiedBy>CHAVAS Louison</cp:lastModifiedBy>
  <cp:revision>2</cp:revision>
  <cp:lastPrinted>2011-05-19T12:37:00Z</cp:lastPrinted>
  <dcterms:created xsi:type="dcterms:W3CDTF">2022-09-30T10:46:00Z</dcterms:created>
  <dcterms:modified xsi:type="dcterms:W3CDTF">2022-09-30T10:46:00Z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