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007D2" w:rsidRDefault="00DB0349" w:rsidP="00DB0349">
      <w:pPr>
        <w:spacing w:after="120"/>
        <w:jc w:val="right"/>
        <w:rPr>
          <w:lang w:val="fr-FR"/>
        </w:rPr>
      </w:pPr>
      <w:r w:rsidRPr="005007D2">
        <w:rPr>
          <w:noProof/>
          <w:lang w:val="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007D2">
        <w:rPr>
          <w:rFonts w:ascii="Arial Black" w:hAnsi="Arial Black"/>
          <w:caps/>
          <w:noProof/>
          <w:sz w:val="15"/>
          <w:szCs w:val="15"/>
          <w:lang w:val="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B981D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5007D2" w:rsidRDefault="00197881" w:rsidP="00DB0349">
      <w:pPr>
        <w:jc w:val="right"/>
        <w:rPr>
          <w:rFonts w:ascii="Arial Black" w:hAnsi="Arial Black"/>
          <w:caps/>
          <w:sz w:val="15"/>
          <w:szCs w:val="15"/>
          <w:lang w:val="fr-FR"/>
        </w:rPr>
      </w:pPr>
      <w:r w:rsidRPr="005007D2">
        <w:rPr>
          <w:rFonts w:ascii="Arial Black" w:hAnsi="Arial Black"/>
          <w:caps/>
          <w:sz w:val="15"/>
          <w:szCs w:val="15"/>
          <w:lang w:val="fr-FR"/>
        </w:rPr>
        <w:t>CWS/10/</w:t>
      </w:r>
      <w:bookmarkStart w:id="0" w:name="Code"/>
      <w:bookmarkEnd w:id="0"/>
      <w:r w:rsidR="00410318" w:rsidRPr="005007D2">
        <w:rPr>
          <w:rFonts w:ascii="Arial Black" w:hAnsi="Arial Black"/>
          <w:caps/>
          <w:sz w:val="15"/>
          <w:szCs w:val="15"/>
          <w:lang w:val="fr-FR"/>
        </w:rPr>
        <w:t>10</w:t>
      </w:r>
    </w:p>
    <w:p w:rsidR="008B2CC1" w:rsidRPr="005007D2" w:rsidRDefault="00DB0349" w:rsidP="00DB0349">
      <w:pPr>
        <w:jc w:val="right"/>
        <w:rPr>
          <w:rFonts w:ascii="Arial Black" w:hAnsi="Arial Black"/>
          <w:caps/>
          <w:sz w:val="15"/>
          <w:szCs w:val="15"/>
          <w:lang w:val="fr-FR"/>
        </w:rPr>
      </w:pPr>
      <w:r w:rsidRPr="005007D2">
        <w:rPr>
          <w:rFonts w:ascii="Arial Black" w:hAnsi="Arial Black"/>
          <w:caps/>
          <w:sz w:val="15"/>
          <w:szCs w:val="15"/>
          <w:lang w:val="fr-FR"/>
        </w:rPr>
        <w:t>Original</w:t>
      </w:r>
      <w:r w:rsidR="0040457A" w:rsidRPr="005007D2">
        <w:rPr>
          <w:rFonts w:ascii="Arial Black" w:hAnsi="Arial Black"/>
          <w:caps/>
          <w:sz w:val="15"/>
          <w:szCs w:val="15"/>
          <w:lang w:val="fr-FR"/>
        </w:rPr>
        <w:t> :</w:t>
      </w:r>
      <w:r w:rsidRPr="005007D2">
        <w:rPr>
          <w:rFonts w:ascii="Arial Black" w:hAnsi="Arial Black"/>
          <w:caps/>
          <w:sz w:val="15"/>
          <w:szCs w:val="15"/>
          <w:lang w:val="fr-FR"/>
        </w:rPr>
        <w:t xml:space="preserve"> </w:t>
      </w:r>
      <w:bookmarkStart w:id="1" w:name="Original"/>
      <w:r w:rsidR="00410318" w:rsidRPr="005007D2">
        <w:rPr>
          <w:rFonts w:ascii="Arial Black" w:hAnsi="Arial Black"/>
          <w:caps/>
          <w:sz w:val="15"/>
          <w:szCs w:val="15"/>
          <w:lang w:val="fr-FR"/>
        </w:rPr>
        <w:t>anglais</w:t>
      </w:r>
    </w:p>
    <w:bookmarkEnd w:id="1"/>
    <w:p w:rsidR="008B2CC1" w:rsidRPr="005007D2" w:rsidRDefault="00DB0349" w:rsidP="00DB0349">
      <w:pPr>
        <w:spacing w:after="1200"/>
        <w:jc w:val="right"/>
        <w:rPr>
          <w:rFonts w:ascii="Arial Black" w:hAnsi="Arial Black"/>
          <w:b/>
          <w:caps/>
          <w:sz w:val="15"/>
          <w:szCs w:val="15"/>
          <w:lang w:val="fr-FR"/>
        </w:rPr>
      </w:pPr>
      <w:r w:rsidRPr="005007D2">
        <w:rPr>
          <w:rFonts w:ascii="Arial Black" w:hAnsi="Arial Black"/>
          <w:caps/>
          <w:sz w:val="15"/>
          <w:szCs w:val="15"/>
          <w:lang w:val="fr-FR"/>
        </w:rPr>
        <w:t>date</w:t>
      </w:r>
      <w:r w:rsidR="0040457A" w:rsidRPr="005007D2">
        <w:rPr>
          <w:rFonts w:ascii="Arial Black" w:hAnsi="Arial Black"/>
          <w:caps/>
          <w:sz w:val="15"/>
          <w:szCs w:val="15"/>
          <w:lang w:val="fr-FR"/>
        </w:rPr>
        <w:t> :</w:t>
      </w:r>
      <w:r w:rsidRPr="005007D2">
        <w:rPr>
          <w:rFonts w:ascii="Arial Black" w:hAnsi="Arial Black"/>
          <w:caps/>
          <w:sz w:val="15"/>
          <w:szCs w:val="15"/>
          <w:lang w:val="fr-FR"/>
        </w:rPr>
        <w:t xml:space="preserve"> </w:t>
      </w:r>
      <w:bookmarkStart w:id="2" w:name="Date"/>
      <w:r w:rsidR="00410318" w:rsidRPr="005007D2">
        <w:rPr>
          <w:rFonts w:ascii="Arial Black" w:hAnsi="Arial Black"/>
          <w:caps/>
          <w:sz w:val="15"/>
          <w:szCs w:val="15"/>
          <w:lang w:val="fr-FR"/>
        </w:rPr>
        <w:t>26 septembre 2022</w:t>
      </w:r>
    </w:p>
    <w:p w:rsidR="00C40E15" w:rsidRPr="005007D2" w:rsidRDefault="00197881" w:rsidP="00DB0349">
      <w:pPr>
        <w:spacing w:after="600"/>
        <w:rPr>
          <w:b/>
          <w:sz w:val="28"/>
          <w:szCs w:val="28"/>
          <w:lang w:val="fr-FR"/>
        </w:rPr>
      </w:pPr>
      <w:bookmarkStart w:id="3" w:name="_GoBack"/>
      <w:bookmarkEnd w:id="2"/>
      <w:bookmarkEnd w:id="3"/>
      <w:r w:rsidRPr="005007D2">
        <w:rPr>
          <w:b/>
          <w:sz w:val="28"/>
          <w:szCs w:val="28"/>
          <w:lang w:val="fr-FR"/>
        </w:rPr>
        <w:t>Comité des normes de l</w:t>
      </w:r>
      <w:r w:rsidR="0040457A" w:rsidRPr="005007D2">
        <w:rPr>
          <w:b/>
          <w:sz w:val="28"/>
          <w:szCs w:val="28"/>
          <w:lang w:val="fr-FR"/>
        </w:rPr>
        <w:t>’</w:t>
      </w:r>
      <w:r w:rsidRPr="005007D2">
        <w:rPr>
          <w:b/>
          <w:sz w:val="28"/>
          <w:szCs w:val="28"/>
          <w:lang w:val="fr-FR"/>
        </w:rPr>
        <w:t>OMPI (CWS)</w:t>
      </w:r>
    </w:p>
    <w:p w:rsidR="008B2CC1" w:rsidRPr="005007D2" w:rsidRDefault="00197881" w:rsidP="008B2CC1">
      <w:pPr>
        <w:rPr>
          <w:b/>
          <w:sz w:val="28"/>
          <w:szCs w:val="24"/>
          <w:lang w:val="fr-FR"/>
        </w:rPr>
      </w:pPr>
      <w:r w:rsidRPr="005007D2">
        <w:rPr>
          <w:b/>
          <w:sz w:val="24"/>
          <w:lang w:val="fr-FR"/>
        </w:rPr>
        <w:t>Dix</w:t>
      </w:r>
      <w:r w:rsidR="0040457A" w:rsidRPr="005007D2">
        <w:rPr>
          <w:b/>
          <w:sz w:val="24"/>
          <w:lang w:val="fr-FR"/>
        </w:rPr>
        <w:t>ième session</w:t>
      </w:r>
    </w:p>
    <w:p w:rsidR="008B2CC1" w:rsidRPr="005007D2" w:rsidRDefault="00197881" w:rsidP="00DB0349">
      <w:pPr>
        <w:spacing w:after="720"/>
        <w:rPr>
          <w:b/>
          <w:sz w:val="28"/>
          <w:szCs w:val="24"/>
          <w:lang w:val="fr-FR"/>
        </w:rPr>
      </w:pPr>
      <w:r w:rsidRPr="005007D2">
        <w:rPr>
          <w:b/>
          <w:sz w:val="24"/>
          <w:lang w:val="fr-FR"/>
        </w:rPr>
        <w:t>Genève, 21</w:t>
      </w:r>
      <w:r w:rsidR="008236DE" w:rsidRPr="005007D2">
        <w:rPr>
          <w:b/>
          <w:sz w:val="24"/>
          <w:lang w:val="fr-FR"/>
        </w:rPr>
        <w:t xml:space="preserve"> </w:t>
      </w:r>
      <w:r w:rsidRPr="005007D2">
        <w:rPr>
          <w:b/>
          <w:sz w:val="24"/>
          <w:lang w:val="fr-FR"/>
        </w:rPr>
        <w:t>– 2</w:t>
      </w:r>
      <w:r w:rsidR="0040457A" w:rsidRPr="005007D2">
        <w:rPr>
          <w:b/>
          <w:sz w:val="24"/>
          <w:lang w:val="fr-FR"/>
        </w:rPr>
        <w:t>5 novembre 20</w:t>
      </w:r>
      <w:r w:rsidRPr="005007D2">
        <w:rPr>
          <w:b/>
          <w:sz w:val="24"/>
          <w:lang w:val="fr-FR"/>
        </w:rPr>
        <w:t>22</w:t>
      </w:r>
    </w:p>
    <w:p w:rsidR="008B2CC1" w:rsidRPr="005007D2" w:rsidRDefault="00410318" w:rsidP="00DB0349">
      <w:pPr>
        <w:spacing w:after="360"/>
        <w:rPr>
          <w:caps/>
          <w:sz w:val="24"/>
          <w:lang w:val="fr-FR"/>
        </w:rPr>
      </w:pPr>
      <w:bookmarkStart w:id="4" w:name="TitleOfDoc"/>
      <w:r w:rsidRPr="005007D2">
        <w:rPr>
          <w:caps/>
          <w:sz w:val="24"/>
          <w:lang w:val="fr-FR"/>
        </w:rPr>
        <w:t>Proposition de création d</w:t>
      </w:r>
      <w:r w:rsidR="0040457A" w:rsidRPr="005007D2">
        <w:rPr>
          <w:caps/>
          <w:sz w:val="24"/>
          <w:lang w:val="fr-FR"/>
        </w:rPr>
        <w:t>’</w:t>
      </w:r>
      <w:r w:rsidRPr="005007D2">
        <w:rPr>
          <w:caps/>
          <w:sz w:val="24"/>
          <w:lang w:val="fr-FR"/>
        </w:rPr>
        <w:t xml:space="preserve">une base de données </w:t>
      </w:r>
      <w:r w:rsidR="00E80279">
        <w:rPr>
          <w:caps/>
          <w:sz w:val="24"/>
          <w:lang w:val="fr-FR"/>
        </w:rPr>
        <w:t>internationale en </w:t>
      </w:r>
      <w:r w:rsidRPr="005007D2">
        <w:rPr>
          <w:caps/>
          <w:sz w:val="24"/>
          <w:lang w:val="fr-FR"/>
        </w:rPr>
        <w:t>vue de la normalisation des noms des déposants</w:t>
      </w:r>
    </w:p>
    <w:p w:rsidR="00525B63" w:rsidRPr="005007D2" w:rsidRDefault="00410318" w:rsidP="00DB0349">
      <w:pPr>
        <w:spacing w:after="960"/>
        <w:rPr>
          <w:i/>
          <w:lang w:val="fr-FR"/>
        </w:rPr>
      </w:pPr>
      <w:bookmarkStart w:id="5" w:name="Prepared"/>
      <w:bookmarkEnd w:id="4"/>
      <w:r w:rsidRPr="005007D2">
        <w:rPr>
          <w:i/>
          <w:lang w:val="fr-FR"/>
        </w:rPr>
        <w:t>Document établi par le Secrétariat</w:t>
      </w:r>
    </w:p>
    <w:bookmarkEnd w:id="5"/>
    <w:p w:rsidR="00410318" w:rsidRPr="005007D2" w:rsidRDefault="00410318" w:rsidP="00D3416E">
      <w:pPr>
        <w:pStyle w:val="ONUMFS"/>
        <w:rPr>
          <w:szCs w:val="22"/>
          <w:lang w:val="fr-FR"/>
        </w:rPr>
      </w:pPr>
      <w:r w:rsidRPr="005007D2">
        <w:rPr>
          <w:lang w:val="fr-FR"/>
        </w:rPr>
        <w:t>Le 1</w:t>
      </w:r>
      <w:r w:rsidRPr="005007D2">
        <w:rPr>
          <w:vertAlign w:val="superscript"/>
          <w:lang w:val="fr-FR"/>
        </w:rPr>
        <w:t>er</w:t>
      </w:r>
      <w:r w:rsidRPr="005007D2">
        <w:rPr>
          <w:lang w:val="fr-FR"/>
        </w:rPr>
        <w:t> juin 2022, l</w:t>
      </w:r>
      <w:r w:rsidR="0040457A" w:rsidRPr="005007D2">
        <w:rPr>
          <w:lang w:val="fr-FR"/>
        </w:rPr>
        <w:t>’</w:t>
      </w:r>
      <w:r w:rsidRPr="005007D2">
        <w:rPr>
          <w:lang w:val="fr-FR"/>
        </w:rPr>
        <w:t>Autorité saoudienne de la propriété intellectuelle</w:t>
      </w:r>
      <w:r w:rsidR="00E80279">
        <w:rPr>
          <w:lang w:val="fr-FR"/>
        </w:rPr>
        <w:t> </w:t>
      </w:r>
      <w:r w:rsidRPr="005007D2">
        <w:rPr>
          <w:lang w:val="fr-FR"/>
        </w:rPr>
        <w:t>(SAIP) a présenté au Secrétariat un document proposant la création d</w:t>
      </w:r>
      <w:r w:rsidR="0040457A" w:rsidRPr="005007D2">
        <w:rPr>
          <w:lang w:val="fr-FR"/>
        </w:rPr>
        <w:t>’</w:t>
      </w:r>
      <w:r w:rsidRPr="005007D2">
        <w:rPr>
          <w:lang w:val="fr-FR"/>
        </w:rPr>
        <w:t>une base de données internationale en vue de la normalisation des noms des déposan</w:t>
      </w:r>
      <w:r w:rsidR="005007D2" w:rsidRPr="005007D2">
        <w:rPr>
          <w:lang w:val="fr-FR"/>
        </w:rPr>
        <w:t>ts.  La</w:t>
      </w:r>
      <w:r w:rsidR="0040457A" w:rsidRPr="005007D2">
        <w:rPr>
          <w:lang w:val="fr-FR"/>
        </w:rPr>
        <w:t> SAI</w:t>
      </w:r>
      <w:r w:rsidRPr="005007D2">
        <w:rPr>
          <w:lang w:val="fr-FR"/>
        </w:rPr>
        <w:t>P a également demandé d</w:t>
      </w:r>
      <w:r w:rsidR="0040457A" w:rsidRPr="005007D2">
        <w:rPr>
          <w:lang w:val="fr-FR"/>
        </w:rPr>
        <w:t>’</w:t>
      </w:r>
      <w:r w:rsidRPr="005007D2">
        <w:rPr>
          <w:lang w:val="fr-FR"/>
        </w:rPr>
        <w:t>inclure la proposition à l</w:t>
      </w:r>
      <w:r w:rsidR="0040457A" w:rsidRPr="005007D2">
        <w:rPr>
          <w:lang w:val="fr-FR"/>
        </w:rPr>
        <w:t>’</w:t>
      </w:r>
      <w:r w:rsidRPr="005007D2">
        <w:rPr>
          <w:lang w:val="fr-FR"/>
        </w:rPr>
        <w:t>ordre du jour de la présente session du Comité des normes de l</w:t>
      </w:r>
      <w:r w:rsidR="0040457A" w:rsidRPr="005007D2">
        <w:rPr>
          <w:lang w:val="fr-FR"/>
        </w:rPr>
        <w:t>’</w:t>
      </w:r>
      <w:r w:rsidRPr="005007D2">
        <w:rPr>
          <w:lang w:val="fr-FR"/>
        </w:rPr>
        <w:t>OMPI</w:t>
      </w:r>
      <w:r w:rsidR="00E80279">
        <w:rPr>
          <w:lang w:val="fr-FR"/>
        </w:rPr>
        <w:t> </w:t>
      </w:r>
      <w:r w:rsidRPr="005007D2">
        <w:rPr>
          <w:lang w:val="fr-FR"/>
        </w:rPr>
        <w:t>(CWS).  La proposition de</w:t>
      </w:r>
      <w:r w:rsidR="0040457A" w:rsidRPr="005007D2">
        <w:rPr>
          <w:lang w:val="fr-FR"/>
        </w:rPr>
        <w:t xml:space="preserve"> la SAI</w:t>
      </w:r>
      <w:r w:rsidRPr="005007D2">
        <w:rPr>
          <w:lang w:val="fr-FR"/>
        </w:rPr>
        <w:t>P figure dans l</w:t>
      </w:r>
      <w:r w:rsidR="0040457A" w:rsidRPr="005007D2">
        <w:rPr>
          <w:lang w:val="fr-FR"/>
        </w:rPr>
        <w:t>’</w:t>
      </w:r>
      <w:r w:rsidRPr="005007D2">
        <w:rPr>
          <w:lang w:val="fr-FR"/>
        </w:rPr>
        <w:t>annexe du présent document.</w:t>
      </w:r>
    </w:p>
    <w:p w:rsidR="0040457A" w:rsidRPr="005007D2" w:rsidRDefault="00410318" w:rsidP="00D3416E">
      <w:pPr>
        <w:pStyle w:val="ONUMFS"/>
        <w:rPr>
          <w:lang w:val="fr-FR"/>
        </w:rPr>
      </w:pPr>
      <w:r w:rsidRPr="005007D2">
        <w:rPr>
          <w:lang w:val="fr-FR"/>
        </w:rPr>
        <w:t>Si le comité estime que la proposition relève de son mandat, un descriptif de projet détaillé sera élaboré et comprendra des informations supplémentaires, tel</w:t>
      </w:r>
      <w:r w:rsidR="00E80279">
        <w:rPr>
          <w:lang w:val="fr-FR"/>
        </w:rPr>
        <w:t>le</w:t>
      </w:r>
      <w:r w:rsidRPr="005007D2">
        <w:rPr>
          <w:lang w:val="fr-FR"/>
        </w:rPr>
        <w:t>s que les estimations de coûts, les besoins en ressources, les facteurs de risque et de réussite ainsi que les incidences de cette nouvelle tâche sur les tâches en cours au sein du comité.</w:t>
      </w:r>
    </w:p>
    <w:p w:rsidR="00410318" w:rsidRPr="005007D2" w:rsidRDefault="00410318" w:rsidP="00D3416E">
      <w:pPr>
        <w:pStyle w:val="ONUMFS"/>
        <w:rPr>
          <w:szCs w:val="22"/>
          <w:lang w:val="fr-FR"/>
        </w:rPr>
      </w:pPr>
      <w:r w:rsidRPr="005007D2">
        <w:rPr>
          <w:lang w:val="fr-FR"/>
        </w:rPr>
        <w:t>Le Secrétariat note que la proposition semble relever des activités de l</w:t>
      </w:r>
      <w:r w:rsidR="0040457A" w:rsidRPr="005007D2">
        <w:rPr>
          <w:lang w:val="fr-FR"/>
        </w:rPr>
        <w:t>’</w:t>
      </w:r>
      <w:r w:rsidRPr="005007D2">
        <w:rPr>
          <w:lang w:val="fr-FR"/>
        </w:rPr>
        <w:t>Équipe d</w:t>
      </w:r>
      <w:r w:rsidR="0040457A" w:rsidRPr="005007D2">
        <w:rPr>
          <w:lang w:val="fr-FR"/>
        </w:rPr>
        <w:t>’</w:t>
      </w:r>
      <w:r w:rsidRPr="005007D2">
        <w:rPr>
          <w:lang w:val="fr-FR"/>
        </w:rPr>
        <w:t>experts chargée de la normalisation des noms et prend note du cas d</w:t>
      </w:r>
      <w:r w:rsidR="0040457A" w:rsidRPr="005007D2">
        <w:rPr>
          <w:lang w:val="fr-FR"/>
        </w:rPr>
        <w:t>’</w:t>
      </w:r>
      <w:r w:rsidRPr="005007D2">
        <w:rPr>
          <w:lang w:val="fr-FR"/>
        </w:rPr>
        <w:t>utilisation concernant l</w:t>
      </w:r>
      <w:r w:rsidR="0040457A" w:rsidRPr="005007D2">
        <w:rPr>
          <w:lang w:val="fr-FR"/>
        </w:rPr>
        <w:t>’</w:t>
      </w:r>
      <w:r w:rsidRPr="005007D2">
        <w:rPr>
          <w:lang w:val="fr-FR"/>
        </w:rPr>
        <w:t>identité numérique figurant dans l</w:t>
      </w:r>
      <w:r w:rsidR="0040457A" w:rsidRPr="005007D2">
        <w:rPr>
          <w:lang w:val="fr-FR"/>
        </w:rPr>
        <w:t>’</w:t>
      </w:r>
      <w:r w:rsidRPr="005007D2">
        <w:rPr>
          <w:lang w:val="fr-FR"/>
        </w:rPr>
        <w:t>annexe III et des modèles d</w:t>
      </w:r>
      <w:r w:rsidR="0040457A" w:rsidRPr="005007D2">
        <w:rPr>
          <w:lang w:val="fr-FR"/>
        </w:rPr>
        <w:t>’</w:t>
      </w:r>
      <w:r w:rsidRPr="005007D2">
        <w:rPr>
          <w:lang w:val="fr-FR"/>
        </w:rPr>
        <w:t>identifiants décentralisés présentés dans l</w:t>
      </w:r>
      <w:r w:rsidR="0040457A" w:rsidRPr="005007D2">
        <w:rPr>
          <w:lang w:val="fr-FR"/>
        </w:rPr>
        <w:t>’</w:t>
      </w:r>
      <w:r w:rsidRPr="005007D2">
        <w:rPr>
          <w:lang w:val="fr-FR"/>
        </w:rPr>
        <w:t xml:space="preserve">annexe IV du document </w:t>
      </w:r>
      <w:hyperlink r:id="rId8" w:history="1">
        <w:r w:rsidRPr="005007D2">
          <w:rPr>
            <w:rStyle w:val="Hyperlink"/>
            <w:lang w:val="fr-FR"/>
          </w:rPr>
          <w:t>Chaîne de blocs et écosystèmes de la propriété intellectuelle</w:t>
        </w:r>
        <w:r w:rsidR="00E80279">
          <w:rPr>
            <w:rStyle w:val="Hyperlink"/>
            <w:lang w:val="fr-FR"/>
          </w:rPr>
          <w:t> </w:t>
        </w:r>
        <w:r w:rsidR="005007D2" w:rsidRPr="005007D2">
          <w:rPr>
            <w:rStyle w:val="Hyperlink"/>
            <w:lang w:val="fr-FR"/>
          </w:rPr>
          <w:t>:</w:t>
        </w:r>
        <w:r w:rsidRPr="005007D2">
          <w:rPr>
            <w:rStyle w:val="Hyperlink"/>
            <w:lang w:val="fr-FR"/>
          </w:rPr>
          <w:t xml:space="preserve"> un livre blanc de l</w:t>
        </w:r>
        <w:r w:rsidR="0040457A" w:rsidRPr="005007D2">
          <w:rPr>
            <w:rStyle w:val="Hyperlink"/>
            <w:lang w:val="fr-FR"/>
          </w:rPr>
          <w:t>’</w:t>
        </w:r>
        <w:r w:rsidRPr="005007D2">
          <w:rPr>
            <w:rStyle w:val="Hyperlink"/>
            <w:lang w:val="fr-FR"/>
          </w:rPr>
          <w:t>OMPI</w:t>
        </w:r>
      </w:hyperlink>
      <w:r w:rsidRPr="005007D2">
        <w:rPr>
          <w:lang w:val="fr-FR"/>
        </w:rPr>
        <w:t>.</w:t>
      </w:r>
    </w:p>
    <w:p w:rsidR="0040457A" w:rsidRPr="005007D2" w:rsidRDefault="00410318" w:rsidP="00E80279">
      <w:pPr>
        <w:pStyle w:val="ONUMFS"/>
        <w:keepNext/>
        <w:keepLines/>
        <w:ind w:left="5533"/>
        <w:rPr>
          <w:i/>
          <w:lang w:val="fr-FR"/>
        </w:rPr>
      </w:pPr>
      <w:r w:rsidRPr="005007D2">
        <w:rPr>
          <w:i/>
          <w:lang w:val="fr-FR"/>
        </w:rPr>
        <w:lastRenderedPageBreak/>
        <w:t>Le CWS est invité</w:t>
      </w:r>
    </w:p>
    <w:p w:rsidR="00410318" w:rsidRPr="005007D2" w:rsidRDefault="00410318" w:rsidP="00E80279">
      <w:pPr>
        <w:pStyle w:val="ONUMFS"/>
        <w:keepNext/>
        <w:keepLines/>
        <w:numPr>
          <w:ilvl w:val="1"/>
          <w:numId w:val="6"/>
        </w:numPr>
        <w:tabs>
          <w:tab w:val="left" w:pos="6804"/>
        </w:tabs>
        <w:ind w:left="5533" w:firstLine="704"/>
        <w:rPr>
          <w:i/>
          <w:lang w:val="fr-FR"/>
        </w:rPr>
      </w:pPr>
      <w:proofErr w:type="gramStart"/>
      <w:r w:rsidRPr="005007D2">
        <w:rPr>
          <w:i/>
          <w:lang w:val="fr-FR"/>
        </w:rPr>
        <w:t>à</w:t>
      </w:r>
      <w:proofErr w:type="gramEnd"/>
      <w:r w:rsidRPr="005007D2">
        <w:rPr>
          <w:i/>
          <w:lang w:val="fr-FR"/>
        </w:rPr>
        <w:t xml:space="preserve"> prendre note du contenu du présent document et</w:t>
      </w:r>
    </w:p>
    <w:p w:rsidR="00410318" w:rsidRPr="005007D2" w:rsidRDefault="00410318" w:rsidP="00E80279">
      <w:pPr>
        <w:pStyle w:val="ONUMFS"/>
        <w:keepNext/>
        <w:keepLines/>
        <w:numPr>
          <w:ilvl w:val="1"/>
          <w:numId w:val="6"/>
        </w:numPr>
        <w:tabs>
          <w:tab w:val="left" w:pos="6804"/>
        </w:tabs>
        <w:ind w:left="5533" w:firstLine="704"/>
        <w:rPr>
          <w:i/>
          <w:lang w:val="fr-FR"/>
        </w:rPr>
      </w:pPr>
      <w:proofErr w:type="gramStart"/>
      <w:r w:rsidRPr="005007D2">
        <w:rPr>
          <w:i/>
          <w:lang w:val="fr-FR"/>
        </w:rPr>
        <w:t>à</w:t>
      </w:r>
      <w:proofErr w:type="gramEnd"/>
      <w:r w:rsidRPr="005007D2">
        <w:rPr>
          <w:i/>
          <w:lang w:val="fr-FR"/>
        </w:rPr>
        <w:t xml:space="preserve"> examiner la proposition présentée par l</w:t>
      </w:r>
      <w:r w:rsidR="0040457A" w:rsidRPr="005007D2">
        <w:rPr>
          <w:i/>
          <w:lang w:val="fr-FR"/>
        </w:rPr>
        <w:t>’</w:t>
      </w:r>
      <w:r w:rsidRPr="005007D2">
        <w:rPr>
          <w:i/>
          <w:lang w:val="fr-FR"/>
        </w:rPr>
        <w:t>Autorité saoudienne de la propriété intellectuelle, qui figure dans l</w:t>
      </w:r>
      <w:r w:rsidR="0040457A" w:rsidRPr="005007D2">
        <w:rPr>
          <w:i/>
          <w:lang w:val="fr-FR"/>
        </w:rPr>
        <w:t>’</w:t>
      </w:r>
      <w:r w:rsidRPr="005007D2">
        <w:rPr>
          <w:i/>
          <w:lang w:val="fr-FR"/>
        </w:rPr>
        <w:t>annexe du présent document, et à décider des mesures appropriées à entreprendre.</w:t>
      </w:r>
    </w:p>
    <w:p w:rsidR="000F5E56" w:rsidRPr="005007D2" w:rsidRDefault="00410318" w:rsidP="00D3416E">
      <w:pPr>
        <w:pStyle w:val="Endofdocument-Annex"/>
      </w:pPr>
      <w:r w:rsidRPr="005007D2">
        <w:t>[L</w:t>
      </w:r>
      <w:r w:rsidR="0040457A" w:rsidRPr="005007D2">
        <w:t>’</w:t>
      </w:r>
      <w:r w:rsidRPr="005007D2">
        <w:t>annexe suit]</w:t>
      </w:r>
    </w:p>
    <w:sectPr w:rsidR="000F5E56" w:rsidRPr="005007D2" w:rsidSect="0041031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318" w:rsidRDefault="00410318">
      <w:r>
        <w:separator/>
      </w:r>
    </w:p>
  </w:endnote>
  <w:endnote w:type="continuationSeparator" w:id="0">
    <w:p w:rsidR="00410318" w:rsidRPr="009D30E6" w:rsidRDefault="00410318" w:rsidP="00D45252">
      <w:pPr>
        <w:rPr>
          <w:sz w:val="17"/>
          <w:szCs w:val="17"/>
        </w:rPr>
      </w:pPr>
      <w:r w:rsidRPr="009D30E6">
        <w:rPr>
          <w:sz w:val="17"/>
          <w:szCs w:val="17"/>
        </w:rPr>
        <w:separator/>
      </w:r>
    </w:p>
    <w:p w:rsidR="00410318" w:rsidRPr="009D30E6" w:rsidRDefault="00410318" w:rsidP="00D45252">
      <w:pPr>
        <w:spacing w:after="60"/>
        <w:rPr>
          <w:sz w:val="17"/>
          <w:szCs w:val="17"/>
        </w:rPr>
      </w:pPr>
      <w:r w:rsidRPr="009D30E6">
        <w:rPr>
          <w:sz w:val="17"/>
          <w:szCs w:val="17"/>
        </w:rPr>
        <w:t>[Suite de la note de la page précédente]</w:t>
      </w:r>
    </w:p>
  </w:endnote>
  <w:endnote w:type="continuationNotice" w:id="1">
    <w:p w:rsidR="00410318" w:rsidRPr="009D30E6" w:rsidRDefault="0041031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279" w:rsidRDefault="00E80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D2" w:rsidRDefault="00500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279" w:rsidRDefault="00E80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318" w:rsidRDefault="00410318">
      <w:r>
        <w:separator/>
      </w:r>
    </w:p>
  </w:footnote>
  <w:footnote w:type="continuationSeparator" w:id="0">
    <w:p w:rsidR="00410318" w:rsidRDefault="00410318" w:rsidP="007461F1">
      <w:r>
        <w:separator/>
      </w:r>
    </w:p>
    <w:p w:rsidR="00410318" w:rsidRPr="009D30E6" w:rsidRDefault="00410318" w:rsidP="007461F1">
      <w:pPr>
        <w:spacing w:after="60"/>
        <w:rPr>
          <w:sz w:val="17"/>
          <w:szCs w:val="17"/>
        </w:rPr>
      </w:pPr>
      <w:r w:rsidRPr="009D30E6">
        <w:rPr>
          <w:sz w:val="17"/>
          <w:szCs w:val="17"/>
        </w:rPr>
        <w:t>[Suite de la note de la page précédente]</w:t>
      </w:r>
    </w:p>
  </w:footnote>
  <w:footnote w:type="continuationNotice" w:id="1">
    <w:p w:rsidR="00410318" w:rsidRPr="009D30E6" w:rsidRDefault="0041031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279" w:rsidRDefault="00E80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410318" w:rsidP="00477D6B">
    <w:pPr>
      <w:jc w:val="right"/>
    </w:pPr>
    <w:bookmarkStart w:id="6" w:name="Code2"/>
    <w:bookmarkEnd w:id="6"/>
    <w:r>
      <w:t>CWS/10/10</w:t>
    </w:r>
  </w:p>
  <w:p w:rsidR="004F4E31" w:rsidRDefault="00F16975" w:rsidP="00E80279">
    <w:pPr>
      <w:spacing w:after="480"/>
      <w:jc w:val="right"/>
    </w:pPr>
    <w:r>
      <w:t>page</w:t>
    </w:r>
    <w:r w:rsidR="00E80279">
      <w:t> </w:t>
    </w:r>
    <w:r>
      <w:fldChar w:fldCharType="begin"/>
    </w:r>
    <w:r>
      <w:instrText xml:space="preserve"> PAGE  \* MERGEFORMAT </w:instrText>
    </w:r>
    <w:r>
      <w:fldChar w:fldCharType="separate"/>
    </w:r>
    <w:r w:rsidR="00783D1D">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279" w:rsidRDefault="00E80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9D4FF0"/>
    <w:multiLevelType w:val="hybridMultilevel"/>
    <w:tmpl w:val="3FFC3382"/>
    <w:lvl w:ilvl="0" w:tplc="D56C2CDC">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18"/>
    <w:rsid w:val="00011B7D"/>
    <w:rsid w:val="00075432"/>
    <w:rsid w:val="000F5E56"/>
    <w:rsid w:val="001362EE"/>
    <w:rsid w:val="001832A6"/>
    <w:rsid w:val="00195C6E"/>
    <w:rsid w:val="00197881"/>
    <w:rsid w:val="001B266A"/>
    <w:rsid w:val="001D3D56"/>
    <w:rsid w:val="00240654"/>
    <w:rsid w:val="002634C4"/>
    <w:rsid w:val="002D4918"/>
    <w:rsid w:val="002E4D1A"/>
    <w:rsid w:val="002F16BC"/>
    <w:rsid w:val="002F4E68"/>
    <w:rsid w:val="00315FCA"/>
    <w:rsid w:val="003845C1"/>
    <w:rsid w:val="003A1BCD"/>
    <w:rsid w:val="004008A2"/>
    <w:rsid w:val="004025DF"/>
    <w:rsid w:val="0040457A"/>
    <w:rsid w:val="00410318"/>
    <w:rsid w:val="00423E3E"/>
    <w:rsid w:val="00427AF4"/>
    <w:rsid w:val="004647DA"/>
    <w:rsid w:val="00477D6B"/>
    <w:rsid w:val="004D6471"/>
    <w:rsid w:val="004F4E31"/>
    <w:rsid w:val="005007D2"/>
    <w:rsid w:val="00525B63"/>
    <w:rsid w:val="00547476"/>
    <w:rsid w:val="00561DB8"/>
    <w:rsid w:val="00567A4C"/>
    <w:rsid w:val="005E362E"/>
    <w:rsid w:val="005E6516"/>
    <w:rsid w:val="00605827"/>
    <w:rsid w:val="00676936"/>
    <w:rsid w:val="006B0DB5"/>
    <w:rsid w:val="006E4243"/>
    <w:rsid w:val="007461F1"/>
    <w:rsid w:val="00783D1D"/>
    <w:rsid w:val="007D6961"/>
    <w:rsid w:val="007F07CB"/>
    <w:rsid w:val="00810CEF"/>
    <w:rsid w:val="0081208D"/>
    <w:rsid w:val="008236DE"/>
    <w:rsid w:val="00842A13"/>
    <w:rsid w:val="008B2CC1"/>
    <w:rsid w:val="008E7930"/>
    <w:rsid w:val="0090731E"/>
    <w:rsid w:val="00966A22"/>
    <w:rsid w:val="00974CD6"/>
    <w:rsid w:val="009A3C4B"/>
    <w:rsid w:val="009D30E6"/>
    <w:rsid w:val="009E3F6F"/>
    <w:rsid w:val="009F499F"/>
    <w:rsid w:val="00A02BD3"/>
    <w:rsid w:val="00AA1F20"/>
    <w:rsid w:val="00AC0AE4"/>
    <w:rsid w:val="00AD61DB"/>
    <w:rsid w:val="00B87BCF"/>
    <w:rsid w:val="00BA62D4"/>
    <w:rsid w:val="00C153FD"/>
    <w:rsid w:val="00C40E15"/>
    <w:rsid w:val="00C664C8"/>
    <w:rsid w:val="00C76A79"/>
    <w:rsid w:val="00CA15F5"/>
    <w:rsid w:val="00CF0460"/>
    <w:rsid w:val="00D3416E"/>
    <w:rsid w:val="00D45252"/>
    <w:rsid w:val="00D71B4D"/>
    <w:rsid w:val="00D75C1E"/>
    <w:rsid w:val="00D93D55"/>
    <w:rsid w:val="00DB0349"/>
    <w:rsid w:val="00DD6A16"/>
    <w:rsid w:val="00E0091A"/>
    <w:rsid w:val="00E203AA"/>
    <w:rsid w:val="00E527A5"/>
    <w:rsid w:val="00E76456"/>
    <w:rsid w:val="00E80279"/>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4A5B9D8-86E9-4E7D-8FF5-F00F0CE5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D3416E"/>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uiPriority w:val="99"/>
    <w:unhideWhenUsed/>
    <w:rsid w:val="00410318"/>
    <w:rPr>
      <w:color w:val="0000FF"/>
      <w:u w:val="single"/>
    </w:rPr>
  </w:style>
  <w:style w:type="paragraph" w:styleId="ListParagraph">
    <w:name w:val="List Paragraph"/>
    <w:basedOn w:val="Normal"/>
    <w:uiPriority w:val="99"/>
    <w:qFormat/>
    <w:rsid w:val="00410318"/>
    <w:pPr>
      <w:ind w:left="567"/>
    </w:pPr>
    <w:rPr>
      <w:lang w:val="fr-FR"/>
    </w:rPr>
  </w:style>
  <w:style w:type="character" w:customStyle="1" w:styleId="ONUMEChar">
    <w:name w:val="ONUM E Char"/>
    <w:link w:val="ONUME"/>
    <w:rsid w:val="00410318"/>
    <w:rPr>
      <w:rFonts w:ascii="Arial" w:eastAsia="SimSun" w:hAnsi="Arial" w:cs="Arial"/>
      <w:sz w:val="22"/>
      <w:lang w:eastAsia="zh-CN"/>
    </w:rPr>
  </w:style>
  <w:style w:type="character" w:styleId="FollowedHyperlink">
    <w:name w:val="FollowedHyperlink"/>
    <w:basedOn w:val="DefaultParagraphFont"/>
    <w:semiHidden/>
    <w:unhideWhenUsed/>
    <w:rsid w:val="00E80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cws/en/pdf/blockchain-for-ip-ecosystem-whitepaper.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(F)</Template>
  <TotalTime>9</TotalTime>
  <Pages>2</Pages>
  <Words>275</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CWS/10/10</vt:lpstr>
    </vt:vector>
  </TitlesOfParts>
  <Company>WIPO</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CWS/10/10</dc:title>
  <dc:creator>WIPO</dc:creator>
  <cp:keywords>FOR OFFICIAL USE ONLY</cp:keywords>
  <cp:lastModifiedBy>CHAVAS Louison</cp:lastModifiedBy>
  <cp:revision>2</cp:revision>
  <cp:lastPrinted>2011-05-19T12:37:00Z</cp:lastPrinted>
  <dcterms:created xsi:type="dcterms:W3CDTF">2022-10-05T10:38:00Z</dcterms:created>
  <dcterms:modified xsi:type="dcterms:W3CDTF">2022-10-05T10:38:00Z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