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75530" w14:textId="77777777" w:rsidR="0052561A" w:rsidRPr="00776EE6" w:rsidRDefault="00472A6E" w:rsidP="006173A5">
      <w:pPr>
        <w:pBdr>
          <w:bottom w:val="single" w:sz="4" w:space="11" w:color="auto"/>
        </w:pBdr>
        <w:spacing w:after="120"/>
        <w:ind w:right="-57"/>
        <w:jc w:val="right"/>
        <w:rPr>
          <w:lang w:val="es-419"/>
        </w:rPr>
      </w:pPr>
      <w:bookmarkStart w:id="0" w:name="_GoBack"/>
      <w:bookmarkEnd w:id="0"/>
      <w:r w:rsidRPr="00776EE6">
        <w:rPr>
          <w:noProof/>
          <w:lang w:val="en-US" w:eastAsia="en-US"/>
        </w:rPr>
        <w:drawing>
          <wp:inline distT="0" distB="0" distL="0" distR="0" wp14:anchorId="55630D9F" wp14:editId="540E6F97">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456BE2E9" w14:textId="77777777" w:rsidR="0052561A" w:rsidRPr="00776EE6" w:rsidRDefault="006173A5" w:rsidP="00472A6E">
      <w:pPr>
        <w:jc w:val="right"/>
        <w:rPr>
          <w:rFonts w:ascii="Arial Black" w:hAnsi="Arial Black"/>
          <w:caps/>
          <w:sz w:val="15"/>
          <w:lang w:val="es-419"/>
        </w:rPr>
      </w:pPr>
      <w:r w:rsidRPr="00776EE6">
        <w:rPr>
          <w:rFonts w:ascii="Arial Black" w:hAnsi="Arial Black"/>
          <w:caps/>
          <w:sz w:val="15"/>
          <w:lang w:val="es-419"/>
        </w:rPr>
        <w:t>CWS/9/</w:t>
      </w:r>
      <w:bookmarkStart w:id="1" w:name="Code"/>
      <w:bookmarkEnd w:id="1"/>
      <w:r w:rsidR="006B07AA" w:rsidRPr="00776EE6">
        <w:rPr>
          <w:rFonts w:ascii="Arial Black" w:hAnsi="Arial Black"/>
          <w:caps/>
          <w:sz w:val="15"/>
          <w:lang w:val="es-419"/>
        </w:rPr>
        <w:t>9</w:t>
      </w:r>
    </w:p>
    <w:p w14:paraId="56ECE1A1" w14:textId="77777777" w:rsidR="0052561A" w:rsidRPr="00776EE6" w:rsidRDefault="00472A6E" w:rsidP="00472A6E">
      <w:pPr>
        <w:jc w:val="right"/>
        <w:rPr>
          <w:lang w:val="es-419"/>
        </w:rPr>
      </w:pPr>
      <w:r w:rsidRPr="00776EE6">
        <w:rPr>
          <w:rFonts w:ascii="Arial Black" w:hAnsi="Arial Black"/>
          <w:caps/>
          <w:sz w:val="15"/>
          <w:lang w:val="es-419"/>
        </w:rPr>
        <w:t xml:space="preserve">ORIGINAL: </w:t>
      </w:r>
      <w:bookmarkStart w:id="2" w:name="Original"/>
      <w:r w:rsidR="006B07AA" w:rsidRPr="00776EE6">
        <w:rPr>
          <w:rFonts w:ascii="Arial Black" w:hAnsi="Arial Black"/>
          <w:caps/>
          <w:sz w:val="15"/>
          <w:lang w:val="es-419"/>
        </w:rPr>
        <w:t>inglés</w:t>
      </w:r>
    </w:p>
    <w:bookmarkEnd w:id="2"/>
    <w:p w14:paraId="5898C749" w14:textId="77777777" w:rsidR="0052561A" w:rsidRPr="00776EE6" w:rsidRDefault="00472A6E" w:rsidP="00472A6E">
      <w:pPr>
        <w:spacing w:after="1200"/>
        <w:jc w:val="right"/>
        <w:rPr>
          <w:lang w:val="es-419"/>
        </w:rPr>
      </w:pPr>
      <w:r w:rsidRPr="00776EE6">
        <w:rPr>
          <w:rFonts w:ascii="Arial Black" w:hAnsi="Arial Black"/>
          <w:caps/>
          <w:sz w:val="15"/>
          <w:lang w:val="es-419"/>
        </w:rPr>
        <w:t xml:space="preserve">fecha: </w:t>
      </w:r>
      <w:bookmarkStart w:id="3" w:name="Date"/>
      <w:r w:rsidR="006B07AA" w:rsidRPr="00776EE6">
        <w:rPr>
          <w:rFonts w:ascii="Arial Black" w:hAnsi="Arial Black"/>
          <w:caps/>
          <w:sz w:val="15"/>
          <w:lang w:val="es-419"/>
        </w:rPr>
        <w:t>16 de septiembre de 2021</w:t>
      </w:r>
    </w:p>
    <w:bookmarkEnd w:id="3"/>
    <w:p w14:paraId="782227A3" w14:textId="66EFA420" w:rsidR="0052561A" w:rsidRPr="00776EE6" w:rsidRDefault="00167338" w:rsidP="00472A6E">
      <w:pPr>
        <w:pStyle w:val="Heading1"/>
        <w:spacing w:before="0" w:after="480"/>
        <w:rPr>
          <w:sz w:val="28"/>
          <w:lang w:val="es-419"/>
        </w:rPr>
      </w:pPr>
      <w:r w:rsidRPr="00776EE6">
        <w:rPr>
          <w:caps w:val="0"/>
          <w:sz w:val="28"/>
          <w:szCs w:val="28"/>
          <w:lang w:val="es-419"/>
        </w:rPr>
        <w:t>Comité de N</w:t>
      </w:r>
      <w:r w:rsidR="00F00A66">
        <w:rPr>
          <w:caps w:val="0"/>
          <w:sz w:val="28"/>
          <w:szCs w:val="28"/>
          <w:lang w:val="es-419"/>
        </w:rPr>
        <w:t>o</w:t>
      </w:r>
      <w:r w:rsidRPr="00776EE6">
        <w:rPr>
          <w:caps w:val="0"/>
          <w:sz w:val="28"/>
          <w:szCs w:val="28"/>
          <w:lang w:val="es-419"/>
        </w:rPr>
        <w:t>rmas Técnicas de la OMPI (CWS)</w:t>
      </w:r>
    </w:p>
    <w:p w14:paraId="51579C8A" w14:textId="77777777" w:rsidR="0052561A" w:rsidRPr="00776EE6" w:rsidRDefault="006173A5" w:rsidP="005B2EAE">
      <w:pPr>
        <w:outlineLvl w:val="1"/>
        <w:rPr>
          <w:b/>
          <w:sz w:val="24"/>
          <w:szCs w:val="24"/>
          <w:lang w:val="es-419"/>
        </w:rPr>
      </w:pPr>
      <w:r w:rsidRPr="00776EE6">
        <w:rPr>
          <w:b/>
          <w:sz w:val="24"/>
          <w:szCs w:val="24"/>
          <w:lang w:val="es-419"/>
        </w:rPr>
        <w:t>Novena sesión</w:t>
      </w:r>
    </w:p>
    <w:p w14:paraId="291D2B95" w14:textId="77777777" w:rsidR="0052561A" w:rsidRPr="00776EE6" w:rsidRDefault="00167338" w:rsidP="00472A6E">
      <w:pPr>
        <w:spacing w:after="720"/>
        <w:outlineLvl w:val="1"/>
        <w:rPr>
          <w:b/>
          <w:sz w:val="24"/>
          <w:szCs w:val="24"/>
          <w:lang w:val="es-419"/>
        </w:rPr>
      </w:pPr>
      <w:r w:rsidRPr="00776EE6">
        <w:rPr>
          <w:b/>
          <w:sz w:val="24"/>
          <w:szCs w:val="24"/>
          <w:lang w:val="es-419"/>
        </w:rPr>
        <w:t>Ginebra, 1 a 5 de noviembre de 2021</w:t>
      </w:r>
    </w:p>
    <w:p w14:paraId="5F1DB79D" w14:textId="77777777" w:rsidR="0052561A" w:rsidRPr="00776EE6" w:rsidRDefault="006B07AA" w:rsidP="00472A6E">
      <w:pPr>
        <w:spacing w:after="360"/>
        <w:rPr>
          <w:caps/>
          <w:sz w:val="24"/>
          <w:lang w:val="es-419"/>
        </w:rPr>
      </w:pPr>
      <w:bookmarkStart w:id="4" w:name="TitleOfDoc"/>
      <w:r w:rsidRPr="00776EE6">
        <w:rPr>
          <w:caps/>
          <w:sz w:val="24"/>
          <w:lang w:val="es-419"/>
        </w:rPr>
        <w:t>Propuesta de revisión de la Norma ST.27 de la OMPI</w:t>
      </w:r>
    </w:p>
    <w:p w14:paraId="1219DCA0" w14:textId="77777777" w:rsidR="0052561A" w:rsidRPr="00776EE6" w:rsidRDefault="006B07AA" w:rsidP="00472A6E">
      <w:pPr>
        <w:spacing w:after="1040"/>
        <w:rPr>
          <w:i/>
          <w:lang w:val="es-419"/>
        </w:rPr>
      </w:pPr>
      <w:bookmarkStart w:id="5" w:name="Prepared"/>
      <w:bookmarkEnd w:id="4"/>
      <w:bookmarkEnd w:id="5"/>
      <w:r w:rsidRPr="00776EE6">
        <w:rPr>
          <w:i/>
          <w:lang w:val="es-419"/>
        </w:rPr>
        <w:t>preparada por el responsable del Equipo Técnico de la Situación Jurídica</w:t>
      </w:r>
    </w:p>
    <w:p w14:paraId="0531B0C2" w14:textId="77777777" w:rsidR="0052561A" w:rsidRPr="00776EE6" w:rsidRDefault="00B178BE" w:rsidP="00B178BE">
      <w:pPr>
        <w:pStyle w:val="Heading2"/>
        <w:rPr>
          <w:rFonts w:eastAsia="Malgun Gothic"/>
          <w:caps w:val="0"/>
          <w:szCs w:val="22"/>
          <w:lang w:val="es-419"/>
        </w:rPr>
      </w:pPr>
      <w:r w:rsidRPr="00776EE6">
        <w:rPr>
          <w:rFonts w:eastAsia="Malgun Gothic"/>
          <w:caps w:val="0"/>
          <w:szCs w:val="22"/>
          <w:lang w:val="es-419"/>
        </w:rPr>
        <w:t>ANTECEDENTES</w:t>
      </w:r>
    </w:p>
    <w:p w14:paraId="5E56B2A7" w14:textId="602C3871" w:rsidR="0052561A" w:rsidRPr="00776EE6" w:rsidRDefault="00EC772A" w:rsidP="006F7E58">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4E21A1" w:rsidRPr="00776EE6">
        <w:rPr>
          <w:lang w:val="es-419"/>
        </w:rPr>
        <w:t>En su séptima sesión, celebrada en 2019, el Comité de Normas Técnicas de la OMPI (CWS) aprobó una propuesta a fin de añadir tres caracteres reservados a la codificación de las incidencias relativas a la situación jurídica de las patentes en la Norma ST.27 de la OMPI.</w:t>
      </w:r>
      <w:r w:rsidR="00EB7D79">
        <w:rPr>
          <w:lang w:val="es-419"/>
        </w:rPr>
        <w:t xml:space="preserve"> </w:t>
      </w:r>
      <w:r w:rsidR="006F7E58" w:rsidRPr="00776EE6">
        <w:rPr>
          <w:lang w:val="es-419"/>
        </w:rPr>
        <w:t>Estos caracteres se fijaron en forma de “xxx” y se reservaron para su posible uso en el futuro.</w:t>
      </w:r>
      <w:r w:rsidR="00EB7D79">
        <w:rPr>
          <w:lang w:val="es-419"/>
        </w:rPr>
        <w:t xml:space="preserve"> </w:t>
      </w:r>
      <w:r w:rsidR="006F7E58" w:rsidRPr="00776EE6">
        <w:rPr>
          <w:lang w:val="es-419"/>
        </w:rPr>
        <w:t>El Equipo Técnico de la Situación Jurídica tiene previsto analizar los usos que se podría dar a los caracteres reservados y preparar una propuesta para su examen por el CWS. (Véanse los párrafos 120 a 122 del documento CWS/7/29).</w:t>
      </w:r>
    </w:p>
    <w:p w14:paraId="3F10A901" w14:textId="77777777" w:rsidR="0052561A" w:rsidRPr="00776EE6" w:rsidRDefault="006F7E58" w:rsidP="006F7E58">
      <w:pPr>
        <w:pStyle w:val="Heading2"/>
        <w:rPr>
          <w:lang w:val="es-419"/>
        </w:rPr>
      </w:pPr>
      <w:r w:rsidRPr="00776EE6">
        <w:rPr>
          <w:lang w:val="es-419"/>
        </w:rPr>
        <w:t>PROPUESTA DE REVISIÓN DE LA NORMA ST.27 DE LA OMPI</w:t>
      </w:r>
    </w:p>
    <w:p w14:paraId="7D305A42" w14:textId="5C8AFC5B" w:rsidR="0052561A" w:rsidRPr="00776EE6" w:rsidRDefault="00EC772A" w:rsidP="008D312C">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8D312C" w:rsidRPr="00776EE6">
        <w:rPr>
          <w:lang w:val="es-419"/>
        </w:rPr>
        <w:t>Un grupo de miembros del Equipo Técnico mantuvo varios debates en 2020 y 2021 sobre los usos que podrían tener los caracteres reservados.</w:t>
      </w:r>
      <w:r w:rsidRPr="00776EE6">
        <w:rPr>
          <w:lang w:val="es-419"/>
        </w:rPr>
        <w:t xml:space="preserve"> </w:t>
      </w:r>
      <w:r w:rsidR="008D312C" w:rsidRPr="00776EE6">
        <w:rPr>
          <w:lang w:val="es-419"/>
        </w:rPr>
        <w:t xml:space="preserve">Este grupo preparó una propuesta denominada </w:t>
      </w:r>
      <w:r w:rsidR="00C85AD3">
        <w:rPr>
          <w:lang w:val="es-419"/>
        </w:rPr>
        <w:t>“</w:t>
      </w:r>
      <w:r w:rsidR="008D312C" w:rsidRPr="00776EE6">
        <w:rPr>
          <w:lang w:val="es-419"/>
        </w:rPr>
        <w:t>indicadores de procedimiento</w:t>
      </w:r>
      <w:r w:rsidR="00C85AD3">
        <w:rPr>
          <w:lang w:val="es-419"/>
        </w:rPr>
        <w:t>”</w:t>
      </w:r>
      <w:r w:rsidR="008D312C" w:rsidRPr="00776EE6">
        <w:rPr>
          <w:lang w:val="es-419"/>
        </w:rPr>
        <w:t>, que se presentó al Equipo Técnico e</w:t>
      </w:r>
      <w:r w:rsidR="00D1094C">
        <w:rPr>
          <w:lang w:val="es-419"/>
        </w:rPr>
        <w:t>n agosto de </w:t>
      </w:r>
      <w:r w:rsidR="008D312C" w:rsidRPr="00776EE6">
        <w:rPr>
          <w:lang w:val="es-419"/>
        </w:rPr>
        <w:t>2021.</w:t>
      </w:r>
      <w:r w:rsidRPr="00776EE6">
        <w:rPr>
          <w:lang w:val="es-419"/>
        </w:rPr>
        <w:t xml:space="preserve"> </w:t>
      </w:r>
      <w:r w:rsidR="008D312C" w:rsidRPr="00776EE6">
        <w:rPr>
          <w:lang w:val="es-419"/>
        </w:rPr>
        <w:t xml:space="preserve">El Equipo Técnico acordó recomendar la propuesta de </w:t>
      </w:r>
      <w:r w:rsidR="00C85AD3">
        <w:rPr>
          <w:lang w:val="es-419"/>
        </w:rPr>
        <w:t>“</w:t>
      </w:r>
      <w:r w:rsidR="008D312C" w:rsidRPr="00776EE6">
        <w:rPr>
          <w:lang w:val="es-419"/>
        </w:rPr>
        <w:t>indicadores de procedimiento</w:t>
      </w:r>
      <w:r w:rsidR="00C85AD3">
        <w:rPr>
          <w:lang w:val="es-419"/>
        </w:rPr>
        <w:t>”</w:t>
      </w:r>
      <w:r w:rsidR="008D312C" w:rsidRPr="00776EE6">
        <w:rPr>
          <w:lang w:val="es-419"/>
        </w:rPr>
        <w:t xml:space="preserve"> para la Norma ST.27 y someterla al examen del CWS, según se indica a continuación.</w:t>
      </w:r>
    </w:p>
    <w:p w14:paraId="4303A072" w14:textId="70DA0DEB" w:rsidR="0052561A" w:rsidRPr="00776EE6" w:rsidRDefault="00EC772A" w:rsidP="008D312C">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8D312C" w:rsidRPr="00776EE6">
        <w:rPr>
          <w:lang w:val="es-419"/>
        </w:rPr>
        <w:t xml:space="preserve">El Equipo Técnico considera que los </w:t>
      </w:r>
      <w:r w:rsidR="00C85AD3">
        <w:rPr>
          <w:lang w:val="es-419"/>
        </w:rPr>
        <w:t>“</w:t>
      </w:r>
      <w:r w:rsidR="008D312C" w:rsidRPr="00776EE6">
        <w:rPr>
          <w:lang w:val="es-419"/>
        </w:rPr>
        <w:t>indicadores de procedimiento</w:t>
      </w:r>
      <w:r w:rsidR="00C85AD3">
        <w:rPr>
          <w:lang w:val="es-419"/>
        </w:rPr>
        <w:t>”</w:t>
      </w:r>
      <w:r w:rsidR="008D312C" w:rsidRPr="00776EE6">
        <w:rPr>
          <w:lang w:val="es-419"/>
        </w:rPr>
        <w:t xml:space="preserve"> también serían útiles para la situación jurídica de los dibujos y modelos industriales (ST.87) y las marcas (ST.61), y propone que se trabaje a fin de adaptar e incorporar los </w:t>
      </w:r>
      <w:r w:rsidR="00C85AD3">
        <w:rPr>
          <w:lang w:val="es-419"/>
        </w:rPr>
        <w:t>“</w:t>
      </w:r>
      <w:r w:rsidR="008D312C" w:rsidRPr="00776EE6">
        <w:rPr>
          <w:lang w:val="es-419"/>
        </w:rPr>
        <w:t>indicadores de procedimiento</w:t>
      </w:r>
      <w:r w:rsidR="00C85AD3">
        <w:rPr>
          <w:lang w:val="es-419"/>
        </w:rPr>
        <w:t>”</w:t>
      </w:r>
      <w:r w:rsidR="008D312C" w:rsidRPr="00776EE6">
        <w:rPr>
          <w:lang w:val="es-419"/>
        </w:rPr>
        <w:t xml:space="preserve"> a esas Normas.</w:t>
      </w:r>
      <w:r w:rsidRPr="00776EE6">
        <w:rPr>
          <w:lang w:val="es-419"/>
        </w:rPr>
        <w:t xml:space="preserve"> </w:t>
      </w:r>
      <w:r w:rsidR="008D312C" w:rsidRPr="00776EE6">
        <w:rPr>
          <w:lang w:val="es-419"/>
        </w:rPr>
        <w:t>De aprobarse esta labor, se presentará una propuesta de revisión de las Normas en la décima sesión del CWS.</w:t>
      </w:r>
    </w:p>
    <w:p w14:paraId="7D2F02A9" w14:textId="0FCBFEBB" w:rsidR="0052561A" w:rsidRPr="00776EE6" w:rsidRDefault="00EC772A" w:rsidP="00F34B6E">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F34B6E" w:rsidRPr="00776EE6">
        <w:rPr>
          <w:lang w:val="es-419"/>
        </w:rPr>
        <w:t>En el transcurso de esta labor la Oficina Internacional sugirió que se actuali</w:t>
      </w:r>
      <w:r w:rsidR="00081BB7">
        <w:rPr>
          <w:lang w:val="es-419"/>
        </w:rPr>
        <w:t>ce</w:t>
      </w:r>
      <w:r w:rsidR="00F34B6E" w:rsidRPr="00776EE6">
        <w:rPr>
          <w:lang w:val="es-419"/>
        </w:rPr>
        <w:t>n la terminología y la presentación de los caracteres reservados, a la luz de la experiencia ulterior del Equipo Técnico.</w:t>
      </w:r>
      <w:r w:rsidRPr="00776EE6">
        <w:rPr>
          <w:lang w:val="es-419"/>
        </w:rPr>
        <w:t xml:space="preserve"> </w:t>
      </w:r>
      <w:r w:rsidR="008D312C" w:rsidRPr="00776EE6">
        <w:rPr>
          <w:lang w:val="es-419"/>
        </w:rPr>
        <w:t xml:space="preserve">El Equipo Técnico acordó proponer actualizaciones de la terminología, que </w:t>
      </w:r>
      <w:r w:rsidR="008D312C" w:rsidRPr="00776EE6">
        <w:rPr>
          <w:lang w:val="es-419"/>
        </w:rPr>
        <w:lastRenderedPageBreak/>
        <w:t>se de</w:t>
      </w:r>
      <w:r w:rsidR="00C443B7">
        <w:rPr>
          <w:lang w:val="es-419"/>
        </w:rPr>
        <w:t>scribe</w:t>
      </w:r>
      <w:r w:rsidR="008D312C" w:rsidRPr="00776EE6">
        <w:rPr>
          <w:lang w:val="es-419"/>
        </w:rPr>
        <w:t xml:space="preserve">n a continuación </w:t>
      </w:r>
      <w:r w:rsidR="00C443B7">
        <w:rPr>
          <w:lang w:val="es-419"/>
        </w:rPr>
        <w:t xml:space="preserve">como </w:t>
      </w:r>
      <w:r w:rsidR="00C85AD3">
        <w:rPr>
          <w:lang w:val="es-419"/>
        </w:rPr>
        <w:t>“</w:t>
      </w:r>
      <w:r w:rsidR="008D312C" w:rsidRPr="00776EE6">
        <w:rPr>
          <w:lang w:val="es-419"/>
        </w:rPr>
        <w:t>indicadores de incidencias</w:t>
      </w:r>
      <w:r w:rsidR="00C85AD3">
        <w:rPr>
          <w:lang w:val="es-419"/>
        </w:rPr>
        <w:t>”</w:t>
      </w:r>
      <w:r w:rsidR="008D312C" w:rsidRPr="00776EE6">
        <w:rPr>
          <w:lang w:val="es-419"/>
        </w:rPr>
        <w:t>.</w:t>
      </w:r>
      <w:r w:rsidRPr="00776EE6">
        <w:rPr>
          <w:lang w:val="es-419"/>
        </w:rPr>
        <w:t xml:space="preserve"> </w:t>
      </w:r>
      <w:r w:rsidR="00F34B6E" w:rsidRPr="00776EE6">
        <w:rPr>
          <w:lang w:val="es-419"/>
        </w:rPr>
        <w:t xml:space="preserve">Dado que estas actualizaciones son de carácter general, el Equipo Técnico recomienda que la propuesta de </w:t>
      </w:r>
      <w:r w:rsidR="00C85AD3">
        <w:rPr>
          <w:lang w:val="es-419"/>
        </w:rPr>
        <w:t>“</w:t>
      </w:r>
      <w:r w:rsidR="00F34B6E" w:rsidRPr="00776EE6">
        <w:rPr>
          <w:lang w:val="es-419"/>
        </w:rPr>
        <w:t>indicadores de incidencias</w:t>
      </w:r>
      <w:r w:rsidR="00C85AD3">
        <w:rPr>
          <w:lang w:val="es-419"/>
        </w:rPr>
        <w:t>”</w:t>
      </w:r>
      <w:r w:rsidR="00F34B6E" w:rsidRPr="00776EE6">
        <w:rPr>
          <w:lang w:val="es-419"/>
        </w:rPr>
        <w:t xml:space="preserve"> se aplique a las tres Normas relativas a la situación jurídica.</w:t>
      </w:r>
      <w:r w:rsidRPr="00776EE6">
        <w:rPr>
          <w:lang w:val="es-419"/>
        </w:rPr>
        <w:t xml:space="preserve"> </w:t>
      </w:r>
      <w:r w:rsidR="008D312C" w:rsidRPr="00776EE6">
        <w:rPr>
          <w:lang w:val="es-419"/>
        </w:rPr>
        <w:t>De esta forma, las tres Normas se armonizarán al incorporar los caracteres reservados a todas ellas.</w:t>
      </w:r>
    </w:p>
    <w:p w14:paraId="0F861804" w14:textId="77777777" w:rsidR="0052561A" w:rsidRPr="00776EE6" w:rsidRDefault="00F34B6E" w:rsidP="00F34B6E">
      <w:pPr>
        <w:pStyle w:val="Heading2"/>
        <w:rPr>
          <w:lang w:val="es-419"/>
        </w:rPr>
      </w:pPr>
      <w:r w:rsidRPr="00776EE6">
        <w:rPr>
          <w:lang w:val="es-419"/>
        </w:rPr>
        <w:t>PROPUESTA DE INDICADORES DE INCIDENCIAS</w:t>
      </w:r>
    </w:p>
    <w:p w14:paraId="2654066E" w14:textId="3C4F652A" w:rsidR="0052561A" w:rsidRPr="00776EE6" w:rsidRDefault="00EC772A" w:rsidP="00F34B6E">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F34B6E" w:rsidRPr="00776EE6">
        <w:rPr>
          <w:lang w:val="es-419"/>
        </w:rPr>
        <w:t>La propuesta de los</w:t>
      </w:r>
      <w:r w:rsidR="00C85AD3">
        <w:rPr>
          <w:lang w:val="es-419"/>
        </w:rPr>
        <w:t xml:space="preserve"> “</w:t>
      </w:r>
      <w:r w:rsidR="00F34B6E" w:rsidRPr="00776EE6">
        <w:rPr>
          <w:lang w:val="es-419"/>
        </w:rPr>
        <w:t>indicadores de incidencias</w:t>
      </w:r>
      <w:r w:rsidR="00C85AD3">
        <w:rPr>
          <w:lang w:val="es-419"/>
        </w:rPr>
        <w:t>”</w:t>
      </w:r>
      <w:r w:rsidR="00F34B6E" w:rsidRPr="00776EE6">
        <w:rPr>
          <w:lang w:val="es-419"/>
        </w:rPr>
        <w:t xml:space="preserve"> contiene terminología nueva para describir los caracteres reservados. La propuesta se aplica a las tres Normas relativas a la situación jurídica, a saber: la ST.27 (patentes), la ST.61 (marcas) y la ST.87 (dibujos y modelos industriales).</w:t>
      </w:r>
    </w:p>
    <w:p w14:paraId="00876D8D" w14:textId="4601E928" w:rsidR="0052561A" w:rsidRPr="00776EE6" w:rsidRDefault="00EC772A" w:rsidP="00F34B6E">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F34B6E" w:rsidRPr="00776EE6">
        <w:rPr>
          <w:lang w:val="es-419"/>
        </w:rPr>
        <w:t>Actualmente las tres Normas registran la información sobre las incidencias básicamente de la misma manera.</w:t>
      </w:r>
      <w:r w:rsidRPr="00776EE6">
        <w:rPr>
          <w:lang w:val="es-419"/>
        </w:rPr>
        <w:t xml:space="preserve"> </w:t>
      </w:r>
      <w:r w:rsidR="00F34B6E" w:rsidRPr="00776EE6">
        <w:rPr>
          <w:lang w:val="es-419"/>
        </w:rPr>
        <w:t xml:space="preserve">Las incidencias pertinentes de las Oficinas de Propiedad Intelectual (OPI) se registran cada una con un código de incidencia relativa </w:t>
      </w:r>
      <w:r w:rsidR="00D1094C">
        <w:rPr>
          <w:lang w:val="es-419"/>
        </w:rPr>
        <w:t>a la situación, que en la Norma </w:t>
      </w:r>
      <w:r w:rsidR="00F34B6E" w:rsidRPr="00776EE6">
        <w:rPr>
          <w:lang w:val="es-419"/>
        </w:rPr>
        <w:t>ST.27 se describe así:</w:t>
      </w:r>
    </w:p>
    <w:p w14:paraId="6682678D" w14:textId="5D26A843" w:rsidR="0052561A" w:rsidRPr="00776EE6" w:rsidRDefault="00C85AD3" w:rsidP="00281662">
      <w:pPr>
        <w:pStyle w:val="ONUMFS"/>
        <w:numPr>
          <w:ilvl w:val="0"/>
          <w:numId w:val="0"/>
        </w:numPr>
        <w:ind w:left="450"/>
        <w:rPr>
          <w:lang w:val="es-419"/>
        </w:rPr>
      </w:pPr>
      <w:r>
        <w:rPr>
          <w:lang w:val="es-419"/>
        </w:rPr>
        <w:t>“</w:t>
      </w:r>
      <w:r w:rsidR="00281662" w:rsidRPr="00776EE6">
        <w:rPr>
          <w:lang w:val="es-419"/>
        </w:rPr>
        <w:t xml:space="preserve">27. El código de incidencia relativa a la situación indicado a continuación describe la estructura del </w:t>
      </w:r>
      <w:proofErr w:type="gramStart"/>
      <w:r w:rsidR="00281662" w:rsidRPr="00776EE6">
        <w:rPr>
          <w:lang w:val="es-419"/>
        </w:rPr>
        <w:t>código</w:t>
      </w:r>
      <w:proofErr w:type="gramEnd"/>
      <w:r w:rsidR="00281662" w:rsidRPr="00776EE6">
        <w:rPr>
          <w:lang w:val="es-419"/>
        </w:rPr>
        <w:t xml:space="preserve"> pero no supone necesariamente su visualización y representación final en formato XML.</w:t>
      </w:r>
    </w:p>
    <w:p w14:paraId="33CB884E" w14:textId="5EEEA15F" w:rsidR="0052561A" w:rsidRPr="00776EE6" w:rsidRDefault="00281662" w:rsidP="00281662">
      <w:pPr>
        <w:pStyle w:val="ONUMFS"/>
        <w:numPr>
          <w:ilvl w:val="0"/>
          <w:numId w:val="0"/>
        </w:numPr>
        <w:ind w:left="450"/>
        <w:rPr>
          <w:lang w:val="es-419"/>
        </w:rPr>
      </w:pPr>
      <w:r w:rsidRPr="00776EE6">
        <w:rPr>
          <w:lang w:val="es-419"/>
        </w:rPr>
        <w:t>[Estado – De la etapa (previa) – A la etapa (actual) – Incidencia principal – Incidencia detallada – Incidencia nacional, regional o internacional]</w:t>
      </w:r>
      <w:r w:rsidR="00C85AD3">
        <w:rPr>
          <w:lang w:val="es-419"/>
        </w:rPr>
        <w:t>”</w:t>
      </w:r>
      <w:r w:rsidRPr="00776EE6">
        <w:rPr>
          <w:lang w:val="es-419"/>
        </w:rPr>
        <w:t>.</w:t>
      </w:r>
    </w:p>
    <w:p w14:paraId="2238F5D9" w14:textId="067F80B8" w:rsidR="0052561A" w:rsidRPr="00776EE6" w:rsidRDefault="00EC772A" w:rsidP="00C1087A">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C1087A" w:rsidRPr="00776EE6">
        <w:rPr>
          <w:lang w:val="es-419"/>
        </w:rPr>
        <w:t>Un ejemplo de código de incidencia relativa a la situación en las Normas ST.61 y ST.87 es el siguiente: N-0-6-B10-B11-R120.</w:t>
      </w:r>
      <w:r w:rsidRPr="00776EE6">
        <w:rPr>
          <w:lang w:val="es-419"/>
        </w:rPr>
        <w:t xml:space="preserve"> </w:t>
      </w:r>
      <w:r w:rsidR="00C1087A" w:rsidRPr="00776EE6">
        <w:rPr>
          <w:lang w:val="es-419"/>
        </w:rPr>
        <w:t>La Norma ST.27 utiliza el mismo formato, pero añade tres caracteres reservados en los campos Incidencia principal e Incidencia detallada, representados como tres x, de la forma siguiente: N-0-6-B10xxx-B11xxx-R120.</w:t>
      </w:r>
    </w:p>
    <w:p w14:paraId="7E3C53AE" w14:textId="77180C53" w:rsidR="0052561A" w:rsidRPr="00776EE6" w:rsidRDefault="00EC772A" w:rsidP="00C1087A">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C1087A" w:rsidRPr="00776EE6">
        <w:rPr>
          <w:lang w:val="es-419"/>
        </w:rPr>
        <w:t>Durante la elaboración de las propuestas de caracteres reservados, el Equipo Técnico llegó a la conclusión de que no es aconsejable adjuntar caracteres reservados a los códigos de incidencias.</w:t>
      </w:r>
      <w:r w:rsidRPr="00776EE6">
        <w:rPr>
          <w:lang w:val="es-419"/>
        </w:rPr>
        <w:t xml:space="preserve"> </w:t>
      </w:r>
      <w:r w:rsidR="00C1087A" w:rsidRPr="00776EE6">
        <w:rPr>
          <w:lang w:val="es-419"/>
        </w:rPr>
        <w:t>El uso de caracteres reservados añade información adicional sobre las incidencias que va más allá de los códigos de incidencias existentes.</w:t>
      </w:r>
      <w:r w:rsidRPr="00776EE6">
        <w:rPr>
          <w:lang w:val="es-419"/>
        </w:rPr>
        <w:t xml:space="preserve"> </w:t>
      </w:r>
      <w:r w:rsidR="00C1087A" w:rsidRPr="00776EE6">
        <w:rPr>
          <w:lang w:val="es-419"/>
        </w:rPr>
        <w:t>Además, la información adicional se aplica a toda la incidencia representada por el código de incidencia relativa a la situación, no solo a la incidencia principal o a la incidencia detallada.</w:t>
      </w:r>
    </w:p>
    <w:p w14:paraId="6B632FD9" w14:textId="701D7BB1" w:rsidR="0052561A" w:rsidRPr="00776EE6" w:rsidRDefault="00EC772A" w:rsidP="00B53738">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B53738" w:rsidRPr="00776EE6">
        <w:rPr>
          <w:lang w:val="es-419"/>
        </w:rPr>
        <w:t>Por ello, el Equipo Técnico recomienda que se cree un campo independiente dentro de los códigos de incidencias relativas a la situación por si se usan caracteres reservados.</w:t>
      </w:r>
      <w:r w:rsidRPr="00776EE6">
        <w:rPr>
          <w:lang w:val="es-419"/>
        </w:rPr>
        <w:t xml:space="preserve"> </w:t>
      </w:r>
      <w:r w:rsidR="00B53738" w:rsidRPr="00776EE6">
        <w:rPr>
          <w:lang w:val="es-419"/>
        </w:rPr>
        <w:t xml:space="preserve">El nuevo campo se denominará </w:t>
      </w:r>
      <w:r w:rsidR="00C85AD3">
        <w:rPr>
          <w:lang w:val="es-419"/>
        </w:rPr>
        <w:t>“</w:t>
      </w:r>
      <w:r w:rsidR="00B53738" w:rsidRPr="00776EE6">
        <w:rPr>
          <w:lang w:val="es-419"/>
        </w:rPr>
        <w:t>indicadores de incidencias</w:t>
      </w:r>
      <w:r w:rsidR="00C85AD3">
        <w:rPr>
          <w:lang w:val="es-419"/>
        </w:rPr>
        <w:t>”</w:t>
      </w:r>
      <w:r w:rsidR="00B53738" w:rsidRPr="00776EE6">
        <w:rPr>
          <w:lang w:val="es-419"/>
        </w:rPr>
        <w:t xml:space="preserve"> y se situará en el código de incidencia relativa a la situación</w:t>
      </w:r>
      <w:r w:rsidR="00D55E20">
        <w:rPr>
          <w:lang w:val="es-419"/>
        </w:rPr>
        <w:t>,</w:t>
      </w:r>
      <w:r w:rsidR="00B53738" w:rsidRPr="00776EE6">
        <w:rPr>
          <w:lang w:val="es-419"/>
        </w:rPr>
        <w:t xml:space="preserve"> inmediatamente después de la incidencia detallada.</w:t>
      </w:r>
      <w:r w:rsidRPr="00776EE6">
        <w:rPr>
          <w:lang w:val="es-419"/>
        </w:rPr>
        <w:t xml:space="preserve"> </w:t>
      </w:r>
      <w:r w:rsidR="00B53738" w:rsidRPr="00776EE6">
        <w:rPr>
          <w:lang w:val="es-419"/>
        </w:rPr>
        <w:t>Esta presentación es más clara para los usuarios finales.</w:t>
      </w:r>
      <w:r w:rsidRPr="00776EE6">
        <w:rPr>
          <w:lang w:val="es-419"/>
        </w:rPr>
        <w:t xml:space="preserve"> </w:t>
      </w:r>
      <w:r w:rsidR="00B53738" w:rsidRPr="00776EE6">
        <w:rPr>
          <w:lang w:val="es-419"/>
        </w:rPr>
        <w:t>La información se organiza en una jerarquía clara, de más general (incidencia principal) a más específic</w:t>
      </w:r>
      <w:r w:rsidR="003A2FA1">
        <w:rPr>
          <w:lang w:val="es-419"/>
        </w:rPr>
        <w:t>a</w:t>
      </w:r>
      <w:r w:rsidR="00B53738" w:rsidRPr="00776EE6">
        <w:rPr>
          <w:lang w:val="es-419"/>
        </w:rPr>
        <w:t xml:space="preserve"> (incidencia detallada), a incluso más específic</w:t>
      </w:r>
      <w:r w:rsidR="003A2FA1">
        <w:rPr>
          <w:lang w:val="es-419"/>
        </w:rPr>
        <w:t>a</w:t>
      </w:r>
      <w:r w:rsidR="00B53738" w:rsidRPr="00776EE6">
        <w:rPr>
          <w:lang w:val="es-419"/>
        </w:rPr>
        <w:t xml:space="preserve"> (</w:t>
      </w:r>
      <w:r w:rsidR="00C85AD3">
        <w:rPr>
          <w:lang w:val="es-419"/>
        </w:rPr>
        <w:t>“</w:t>
      </w:r>
      <w:r w:rsidR="00B53738" w:rsidRPr="00776EE6">
        <w:rPr>
          <w:lang w:val="es-419"/>
        </w:rPr>
        <w:t>indicador</w:t>
      </w:r>
      <w:r w:rsidR="001235DE" w:rsidRPr="00776EE6">
        <w:rPr>
          <w:lang w:val="es-419"/>
        </w:rPr>
        <w:t>es</w:t>
      </w:r>
      <w:r w:rsidR="00B53738" w:rsidRPr="00776EE6">
        <w:rPr>
          <w:lang w:val="es-419"/>
        </w:rPr>
        <w:t xml:space="preserve"> de incidencia</w:t>
      </w:r>
      <w:r w:rsidR="001235DE" w:rsidRPr="00776EE6">
        <w:rPr>
          <w:lang w:val="es-419"/>
        </w:rPr>
        <w:t>s</w:t>
      </w:r>
      <w:r w:rsidR="00C85AD3">
        <w:rPr>
          <w:lang w:val="es-419"/>
        </w:rPr>
        <w:t>”</w:t>
      </w:r>
      <w:r w:rsidR="00B53738" w:rsidRPr="00776EE6">
        <w:rPr>
          <w:lang w:val="es-419"/>
        </w:rPr>
        <w:t>) hasta llegar a l</w:t>
      </w:r>
      <w:r w:rsidR="003A2FA1">
        <w:rPr>
          <w:lang w:val="es-419"/>
        </w:rPr>
        <w:t>a</w:t>
      </w:r>
      <w:r w:rsidR="00B53738" w:rsidRPr="00776EE6">
        <w:rPr>
          <w:lang w:val="es-419"/>
        </w:rPr>
        <w:t xml:space="preserve"> más específic</w:t>
      </w:r>
      <w:r w:rsidR="003A2FA1">
        <w:rPr>
          <w:lang w:val="es-419"/>
        </w:rPr>
        <w:t>a</w:t>
      </w:r>
      <w:r w:rsidR="00B53738" w:rsidRPr="00776EE6">
        <w:rPr>
          <w:lang w:val="es-419"/>
        </w:rPr>
        <w:t xml:space="preserve"> (incidencia nacional). La información necesaria se separa de la opcional, de modo que los usuarios pueden entender más fácilmente el código de incidencia relativa a la situación.</w:t>
      </w:r>
    </w:p>
    <w:p w14:paraId="572F7890" w14:textId="77777777" w:rsidR="0052561A" w:rsidRPr="00776EE6" w:rsidRDefault="00B53738" w:rsidP="00B53738">
      <w:pPr>
        <w:pStyle w:val="Heading2"/>
        <w:spacing w:before="0"/>
        <w:rPr>
          <w:lang w:val="es-419"/>
        </w:rPr>
      </w:pPr>
      <w:r w:rsidRPr="00776EE6">
        <w:rPr>
          <w:lang w:val="es-419"/>
        </w:rPr>
        <w:t>REVISIONES PROPUESTAS DE LA NORMA ST.27</w:t>
      </w:r>
    </w:p>
    <w:p w14:paraId="53311955" w14:textId="7CD475D0" w:rsidR="0052561A" w:rsidRPr="00776EE6" w:rsidRDefault="00EC772A" w:rsidP="00B53738">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B53738" w:rsidRPr="00776EE6">
        <w:rPr>
          <w:lang w:val="es-419"/>
        </w:rPr>
        <w:t>La descripción de código de incidencia relativa a la situación del párrafo 27 de la Nor</w:t>
      </w:r>
      <w:r w:rsidR="00D1094C">
        <w:rPr>
          <w:lang w:val="es-419"/>
        </w:rPr>
        <w:t>ma </w:t>
      </w:r>
      <w:r w:rsidR="00B53738" w:rsidRPr="00776EE6">
        <w:rPr>
          <w:lang w:val="es-419"/>
        </w:rPr>
        <w:t>ST.27 se modificará de la forma siguiente:</w:t>
      </w:r>
    </w:p>
    <w:p w14:paraId="1DA5B6BC" w14:textId="1913B301" w:rsidR="0052561A" w:rsidRPr="00776EE6" w:rsidRDefault="008B5B05" w:rsidP="00B53738">
      <w:pPr>
        <w:pStyle w:val="ONUMFS"/>
        <w:numPr>
          <w:ilvl w:val="0"/>
          <w:numId w:val="0"/>
        </w:numPr>
        <w:ind w:left="450"/>
        <w:rPr>
          <w:lang w:val="es-419"/>
        </w:rPr>
      </w:pPr>
      <w:r>
        <w:rPr>
          <w:lang w:val="es-419"/>
        </w:rPr>
        <w:t>“</w:t>
      </w:r>
      <w:r w:rsidR="00B53738" w:rsidRPr="00776EE6">
        <w:rPr>
          <w:lang w:val="es-419"/>
        </w:rPr>
        <w:t xml:space="preserve">El código de incidencia relativa a la situación indicado a continuación describe la estructura del </w:t>
      </w:r>
      <w:proofErr w:type="gramStart"/>
      <w:r w:rsidR="00B53738" w:rsidRPr="00776EE6">
        <w:rPr>
          <w:lang w:val="es-419"/>
        </w:rPr>
        <w:t>código</w:t>
      </w:r>
      <w:proofErr w:type="gramEnd"/>
      <w:r w:rsidR="00B53738" w:rsidRPr="00776EE6">
        <w:rPr>
          <w:lang w:val="es-419"/>
        </w:rPr>
        <w:t xml:space="preserve"> pero no supone necesariamente su visualización y representación final en formato XML.</w:t>
      </w:r>
    </w:p>
    <w:p w14:paraId="79601080" w14:textId="32E9DE45" w:rsidR="0052561A" w:rsidRPr="00776EE6" w:rsidRDefault="00B53738" w:rsidP="00B53738">
      <w:pPr>
        <w:pStyle w:val="ONUMFS"/>
        <w:numPr>
          <w:ilvl w:val="0"/>
          <w:numId w:val="0"/>
        </w:numPr>
        <w:ind w:left="450"/>
        <w:rPr>
          <w:lang w:val="es-419"/>
        </w:rPr>
      </w:pPr>
      <w:r w:rsidRPr="00776EE6">
        <w:rPr>
          <w:lang w:val="es-419"/>
        </w:rPr>
        <w:t xml:space="preserve">[Estado – De la etapa (previa) – A la etapa (actual) – Incidencia principal – Incidencia detallada – </w:t>
      </w:r>
      <w:r w:rsidR="00797C64" w:rsidRPr="00776EE6">
        <w:rPr>
          <w:u w:val="single"/>
          <w:lang w:val="es-419"/>
        </w:rPr>
        <w:t>Indicadores de incidencia</w:t>
      </w:r>
      <w:r w:rsidR="001235DE" w:rsidRPr="00776EE6">
        <w:rPr>
          <w:u w:val="single"/>
          <w:lang w:val="es-419"/>
        </w:rPr>
        <w:t>s</w:t>
      </w:r>
      <w:r w:rsidR="00797C64" w:rsidRPr="00776EE6">
        <w:rPr>
          <w:u w:val="single"/>
          <w:lang w:val="es-419"/>
        </w:rPr>
        <w:t xml:space="preserve"> –</w:t>
      </w:r>
      <w:r w:rsidR="00797C64" w:rsidRPr="00776EE6">
        <w:rPr>
          <w:lang w:val="es-419"/>
        </w:rPr>
        <w:t xml:space="preserve"> </w:t>
      </w:r>
      <w:r w:rsidRPr="00776EE6">
        <w:rPr>
          <w:lang w:val="es-419"/>
        </w:rPr>
        <w:t>Incidencia nacional, regional o internacional]</w:t>
      </w:r>
      <w:r w:rsidR="008B5B05">
        <w:rPr>
          <w:lang w:val="es-419"/>
        </w:rPr>
        <w:t>”.</w:t>
      </w:r>
    </w:p>
    <w:p w14:paraId="75660644" w14:textId="77777777" w:rsidR="0052561A" w:rsidRPr="00776EE6" w:rsidRDefault="00EC772A" w:rsidP="001235DE">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1235DE" w:rsidRPr="00776EE6">
        <w:rPr>
          <w:lang w:val="es-419"/>
        </w:rPr>
        <w:t>Las definiciones del párrafo 3 de la Norma ST.27 se modificarán de la forma siguiente:</w:t>
      </w:r>
    </w:p>
    <w:p w14:paraId="660B6400" w14:textId="7046E63E" w:rsidR="0052561A" w:rsidRPr="00776EE6" w:rsidRDefault="001235DE" w:rsidP="001235DE">
      <w:pPr>
        <w:pStyle w:val="ONUME"/>
        <w:numPr>
          <w:ilvl w:val="0"/>
          <w:numId w:val="7"/>
        </w:numPr>
        <w:tabs>
          <w:tab w:val="left" w:pos="1080"/>
        </w:tabs>
        <w:spacing w:after="120"/>
        <w:rPr>
          <w:lang w:val="es-419"/>
        </w:rPr>
      </w:pPr>
      <w:r w:rsidRPr="00776EE6">
        <w:rPr>
          <w:lang w:val="es-419"/>
        </w:rPr>
        <w:t>“incidencia principal” hace referencia a una incidencia genérica, de carácter amplio, con una denominación reconocible universalmente y perteneciente a una categoría</w:t>
      </w:r>
    </w:p>
    <w:p w14:paraId="5E08333B" w14:textId="2F33C630" w:rsidR="0052561A" w:rsidRPr="00776EE6" w:rsidRDefault="001235DE" w:rsidP="001235DE">
      <w:pPr>
        <w:pStyle w:val="ONUME"/>
        <w:numPr>
          <w:ilvl w:val="0"/>
          <w:numId w:val="7"/>
        </w:numPr>
        <w:tabs>
          <w:tab w:val="left" w:pos="1080"/>
        </w:tabs>
        <w:spacing w:after="120"/>
        <w:rPr>
          <w:lang w:val="es-419"/>
        </w:rPr>
      </w:pPr>
      <w:r w:rsidRPr="00776EE6">
        <w:rPr>
          <w:lang w:val="es-419"/>
        </w:rPr>
        <w:t>“incidencia detallada” hace referencia a una incidencia de una categoría que no es la incidencia principal y es de una naturaleza más específica</w:t>
      </w:r>
    </w:p>
    <w:p w14:paraId="7BA25976" w14:textId="239F3945" w:rsidR="0052561A" w:rsidRPr="00776EE6" w:rsidRDefault="00C85AD3" w:rsidP="001235DE">
      <w:pPr>
        <w:pStyle w:val="ONUMFS"/>
        <w:numPr>
          <w:ilvl w:val="0"/>
          <w:numId w:val="7"/>
        </w:numPr>
        <w:rPr>
          <w:u w:val="single"/>
          <w:lang w:val="es-419"/>
        </w:rPr>
      </w:pPr>
      <w:r>
        <w:rPr>
          <w:u w:val="single"/>
          <w:lang w:val="es-419"/>
        </w:rPr>
        <w:t>“</w:t>
      </w:r>
      <w:r w:rsidR="001235DE" w:rsidRPr="00776EE6">
        <w:rPr>
          <w:u w:val="single"/>
          <w:lang w:val="es-419"/>
        </w:rPr>
        <w:t>indicadores de incidencias</w:t>
      </w:r>
      <w:r>
        <w:rPr>
          <w:u w:val="single"/>
          <w:lang w:val="es-419"/>
        </w:rPr>
        <w:t>”</w:t>
      </w:r>
      <w:r w:rsidR="001235DE" w:rsidRPr="00776EE6">
        <w:rPr>
          <w:u w:val="single"/>
          <w:lang w:val="es-419"/>
        </w:rPr>
        <w:t xml:space="preserve"> hace referencia a información adicional sobre una incidencia principal o detallada</w:t>
      </w:r>
    </w:p>
    <w:p w14:paraId="1E4F0DD0" w14:textId="77777777" w:rsidR="0052561A" w:rsidRPr="00776EE6" w:rsidRDefault="00EC772A" w:rsidP="00467E21">
      <w:pPr>
        <w:pStyle w:val="ONUME"/>
        <w:numPr>
          <w:ilvl w:val="0"/>
          <w:numId w:val="7"/>
        </w:numPr>
        <w:tabs>
          <w:tab w:val="left" w:pos="1080"/>
        </w:tabs>
        <w:spacing w:after="120"/>
        <w:rPr>
          <w:lang w:val="es-419"/>
        </w:rPr>
      </w:pPr>
      <w:r w:rsidRPr="00776EE6">
        <w:rPr>
          <w:lang w:val="es-419"/>
        </w:rPr>
        <w:t xml:space="preserve"> </w:t>
      </w:r>
      <w:r w:rsidR="00467E21" w:rsidRPr="00776EE6">
        <w:rPr>
          <w:lang w:val="es-419"/>
        </w:rPr>
        <w:t>“incidencia nacional/regional” hace referencia a una incidencia en la tramitación de una solicitud o un derecho de PI que es conforme a una legislación nacional/regional.</w:t>
      </w:r>
    </w:p>
    <w:p w14:paraId="59D1A779" w14:textId="77777777" w:rsidR="0052561A" w:rsidRPr="00776EE6" w:rsidRDefault="00EC772A" w:rsidP="000B303A">
      <w:pPr>
        <w:pStyle w:val="ONUMFS"/>
        <w:keepNext/>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0B303A" w:rsidRPr="00776EE6">
        <w:rPr>
          <w:lang w:val="es-419"/>
        </w:rPr>
        <w:t>Se propone insertar los siguientes párrafos nuevos en la Norma ST.27 de la OMPI:</w:t>
      </w:r>
    </w:p>
    <w:p w14:paraId="5B12AEAA" w14:textId="1F628EB3" w:rsidR="0052561A" w:rsidRPr="00776EE6" w:rsidRDefault="000A4A94" w:rsidP="000A4A94">
      <w:pPr>
        <w:pStyle w:val="ONUMFS"/>
        <w:keepNext/>
        <w:numPr>
          <w:ilvl w:val="0"/>
          <w:numId w:val="0"/>
        </w:numPr>
        <w:rPr>
          <w:lang w:val="es-419"/>
        </w:rPr>
      </w:pPr>
      <w:r w:rsidRPr="00776EE6">
        <w:rPr>
          <w:lang w:val="es-419"/>
        </w:rPr>
        <w:t xml:space="preserve">Después de </w:t>
      </w:r>
      <w:r w:rsidR="00C85AD3">
        <w:rPr>
          <w:lang w:val="es-419"/>
        </w:rPr>
        <w:t>“</w:t>
      </w:r>
      <w:r w:rsidRPr="00776EE6">
        <w:rPr>
          <w:lang w:val="es-419"/>
        </w:rPr>
        <w:t>Indicadores detallados</w:t>
      </w:r>
      <w:r w:rsidR="00C85AD3">
        <w:rPr>
          <w:lang w:val="es-419"/>
        </w:rPr>
        <w:t>”</w:t>
      </w:r>
      <w:r w:rsidRPr="00776EE6">
        <w:rPr>
          <w:lang w:val="es-419"/>
        </w:rPr>
        <w:t>, como nuevo párrafo 25</w:t>
      </w:r>
    </w:p>
    <w:p w14:paraId="76C38433" w14:textId="4EC27B7C" w:rsidR="0052561A" w:rsidRPr="00776EE6" w:rsidRDefault="00C85AD3" w:rsidP="000A4A94">
      <w:pPr>
        <w:pStyle w:val="ONUMFS"/>
        <w:keepNext/>
        <w:numPr>
          <w:ilvl w:val="0"/>
          <w:numId w:val="0"/>
        </w:numPr>
        <w:ind w:left="567"/>
        <w:rPr>
          <w:u w:val="single"/>
          <w:lang w:val="es-419"/>
        </w:rPr>
      </w:pPr>
      <w:r>
        <w:rPr>
          <w:lang w:val="es-419"/>
        </w:rPr>
        <w:t>“</w:t>
      </w:r>
      <w:r w:rsidR="000A4A94" w:rsidRPr="00776EE6">
        <w:rPr>
          <w:u w:val="single"/>
          <w:lang w:val="es-419"/>
        </w:rPr>
        <w:t>Indicadores de incidencias</w:t>
      </w:r>
    </w:p>
    <w:p w14:paraId="45B38D91" w14:textId="348C76E5" w:rsidR="0052561A" w:rsidRPr="00776EE6" w:rsidRDefault="000A4A94" w:rsidP="000A4A94">
      <w:pPr>
        <w:pStyle w:val="ONUMFS"/>
        <w:numPr>
          <w:ilvl w:val="0"/>
          <w:numId w:val="0"/>
        </w:numPr>
        <w:ind w:left="567"/>
        <w:rPr>
          <w:u w:val="single"/>
          <w:lang w:val="es-419"/>
        </w:rPr>
      </w:pPr>
      <w:r w:rsidRPr="00776EE6">
        <w:rPr>
          <w:u w:val="single"/>
          <w:lang w:val="es-419"/>
        </w:rPr>
        <w:t>25. Los indicadores de incidencias ofrecen información adicional sobre una incidencia más allá de la que proporcionan los códigos de incidencia principal o incidencia detallada.</w:t>
      </w:r>
      <w:r w:rsidR="00EC772A" w:rsidRPr="00776EE6">
        <w:rPr>
          <w:u w:val="single"/>
          <w:lang w:val="es-419"/>
        </w:rPr>
        <w:t xml:space="preserve"> </w:t>
      </w:r>
      <w:r w:rsidRPr="00776EE6">
        <w:rPr>
          <w:u w:val="single"/>
          <w:lang w:val="es-419"/>
        </w:rPr>
        <w:t>La lista de indicadores de incidencias se encuentra disponible en el Apéndice del Anexo I de la presente Norma</w:t>
      </w:r>
      <w:r w:rsidR="00C85AD3">
        <w:rPr>
          <w:u w:val="single"/>
          <w:lang w:val="es-419"/>
        </w:rPr>
        <w:t>”</w:t>
      </w:r>
      <w:r w:rsidR="00AB01DA" w:rsidRPr="00AB01DA">
        <w:rPr>
          <w:lang w:val="es-419"/>
        </w:rPr>
        <w:t>.</w:t>
      </w:r>
    </w:p>
    <w:p w14:paraId="144AC307" w14:textId="57FD3F92" w:rsidR="0052561A" w:rsidRPr="00AB01DA" w:rsidRDefault="000A4A94" w:rsidP="000A4A94">
      <w:pPr>
        <w:pStyle w:val="ONUMFS"/>
        <w:numPr>
          <w:ilvl w:val="0"/>
          <w:numId w:val="0"/>
        </w:numPr>
        <w:rPr>
          <w:lang w:val="es-419"/>
        </w:rPr>
      </w:pPr>
      <w:r w:rsidRPr="00AB01DA">
        <w:rPr>
          <w:lang w:val="es-419"/>
        </w:rPr>
        <w:t xml:space="preserve">Una sección nueva después del párrafo 35, antes de la sección titulada </w:t>
      </w:r>
      <w:r w:rsidR="00C85AD3" w:rsidRPr="00AB01DA">
        <w:rPr>
          <w:lang w:val="es-419"/>
        </w:rPr>
        <w:t>“</w:t>
      </w:r>
      <w:r w:rsidRPr="00AB01DA">
        <w:rPr>
          <w:lang w:val="es-419"/>
        </w:rPr>
        <w:t>Código de incidencia nacional/regional</w:t>
      </w:r>
      <w:r w:rsidR="00C85AD3" w:rsidRPr="00AB01DA">
        <w:rPr>
          <w:lang w:val="es-419"/>
        </w:rPr>
        <w:t>”</w:t>
      </w:r>
    </w:p>
    <w:p w14:paraId="1328A4BC" w14:textId="17514EAD" w:rsidR="0052561A" w:rsidRPr="00776EE6" w:rsidRDefault="00C85AD3" w:rsidP="0020367D">
      <w:pPr>
        <w:pStyle w:val="ONUMFS"/>
        <w:keepNext/>
        <w:numPr>
          <w:ilvl w:val="0"/>
          <w:numId w:val="0"/>
        </w:numPr>
        <w:ind w:left="567"/>
        <w:rPr>
          <w:u w:val="single"/>
          <w:lang w:val="es-419"/>
        </w:rPr>
      </w:pPr>
      <w:r>
        <w:rPr>
          <w:lang w:val="es-419"/>
        </w:rPr>
        <w:t>“</w:t>
      </w:r>
      <w:r w:rsidR="0020367D" w:rsidRPr="00776EE6">
        <w:rPr>
          <w:u w:val="single"/>
          <w:lang w:val="es-419"/>
        </w:rPr>
        <w:t>Código de indicador de incidencias</w:t>
      </w:r>
    </w:p>
    <w:p w14:paraId="194474D3" w14:textId="10E14AE7" w:rsidR="0052561A" w:rsidRPr="00776EE6" w:rsidRDefault="0020367D" w:rsidP="0020367D">
      <w:pPr>
        <w:pStyle w:val="ONUMFS"/>
        <w:numPr>
          <w:ilvl w:val="0"/>
          <w:numId w:val="0"/>
        </w:numPr>
        <w:ind w:left="567"/>
        <w:rPr>
          <w:u w:val="single"/>
          <w:lang w:val="es-419"/>
        </w:rPr>
      </w:pPr>
      <w:r w:rsidRPr="00776EE6">
        <w:rPr>
          <w:u w:val="single"/>
          <w:lang w:val="es-419"/>
        </w:rPr>
        <w:t xml:space="preserve">xx. Los códigos de </w:t>
      </w:r>
      <w:r w:rsidR="00BE0D68" w:rsidRPr="00776EE6">
        <w:rPr>
          <w:u w:val="single"/>
          <w:lang w:val="es-419"/>
        </w:rPr>
        <w:t xml:space="preserve">los </w:t>
      </w:r>
      <w:r w:rsidRPr="00776EE6">
        <w:rPr>
          <w:u w:val="single"/>
          <w:lang w:val="es-419"/>
        </w:rPr>
        <w:t>indicador</w:t>
      </w:r>
      <w:r w:rsidR="00BE0D68" w:rsidRPr="00776EE6">
        <w:rPr>
          <w:u w:val="single"/>
          <w:lang w:val="es-419"/>
        </w:rPr>
        <w:t>es de incidencias se componen</w:t>
      </w:r>
      <w:r w:rsidRPr="00776EE6">
        <w:rPr>
          <w:u w:val="single"/>
          <w:lang w:val="es-419"/>
        </w:rPr>
        <w:t xml:space="preserve"> de tres caracteres.</w:t>
      </w:r>
      <w:r w:rsidR="00EC772A" w:rsidRPr="00776EE6">
        <w:rPr>
          <w:u w:val="single"/>
          <w:lang w:val="es-419"/>
        </w:rPr>
        <w:t xml:space="preserve"> </w:t>
      </w:r>
      <w:r w:rsidRPr="00776EE6">
        <w:rPr>
          <w:u w:val="single"/>
          <w:lang w:val="es-419"/>
        </w:rPr>
        <w:t>Los códigos recomendados están disponibles en el Apéndice del Anexo I de la presente Norma.</w:t>
      </w:r>
      <w:r w:rsidR="00EC772A" w:rsidRPr="00776EE6">
        <w:rPr>
          <w:u w:val="single"/>
          <w:lang w:val="es-419"/>
        </w:rPr>
        <w:t xml:space="preserve"> </w:t>
      </w:r>
      <w:r w:rsidRPr="00776EE6">
        <w:rPr>
          <w:u w:val="single"/>
          <w:lang w:val="es-419"/>
        </w:rPr>
        <w:t xml:space="preserve">Si una OPI decide no facilitar ningún indicador de incidencias, el campo destinado a los indicadores de incidencias se deberá rellenar indicando </w:t>
      </w:r>
      <w:r w:rsidR="00C85AD3">
        <w:rPr>
          <w:u w:val="single"/>
          <w:lang w:val="es-419"/>
        </w:rPr>
        <w:t>‘</w:t>
      </w:r>
      <w:r w:rsidRPr="00776EE6">
        <w:rPr>
          <w:u w:val="single"/>
          <w:lang w:val="es-419"/>
        </w:rPr>
        <w:t>xxx</w:t>
      </w:r>
      <w:r w:rsidR="00C85AD3">
        <w:rPr>
          <w:u w:val="single"/>
          <w:lang w:val="es-419"/>
        </w:rPr>
        <w:t>’”</w:t>
      </w:r>
      <w:r w:rsidRPr="00776EE6">
        <w:rPr>
          <w:u w:val="single"/>
          <w:lang w:val="es-419"/>
        </w:rPr>
        <w:t>.</w:t>
      </w:r>
    </w:p>
    <w:p w14:paraId="724282CA" w14:textId="6EF8B050" w:rsidR="0052561A" w:rsidRPr="00776EE6" w:rsidRDefault="00EC772A" w:rsidP="00EC3704">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EC3704" w:rsidRPr="00776EE6">
        <w:rPr>
          <w:lang w:val="es-419"/>
        </w:rPr>
        <w:t xml:space="preserve">Al introducir estos cambios el término </w:t>
      </w:r>
      <w:r w:rsidR="00C85AD3">
        <w:rPr>
          <w:lang w:val="es-419"/>
        </w:rPr>
        <w:t>“</w:t>
      </w:r>
      <w:r w:rsidR="00EC3704" w:rsidRPr="00776EE6">
        <w:rPr>
          <w:lang w:val="es-419"/>
        </w:rPr>
        <w:t>caracteres reservados</w:t>
      </w:r>
      <w:r w:rsidR="00C85AD3">
        <w:rPr>
          <w:lang w:val="es-419"/>
        </w:rPr>
        <w:t>”</w:t>
      </w:r>
      <w:r w:rsidR="00EC3704" w:rsidRPr="00776EE6">
        <w:rPr>
          <w:lang w:val="es-419"/>
        </w:rPr>
        <w:t xml:space="preserve"> deja de ser necesario en la Norma ST.27. Por lo tanto, se propone realizar las modificaciones siguientes:</w:t>
      </w:r>
    </w:p>
    <w:p w14:paraId="7CA06BCD" w14:textId="4EBBBDFA" w:rsidR="0052561A" w:rsidRPr="00776EE6" w:rsidRDefault="00EC3704" w:rsidP="00D1094C">
      <w:pPr>
        <w:pStyle w:val="ONUMFS"/>
        <w:numPr>
          <w:ilvl w:val="0"/>
          <w:numId w:val="0"/>
        </w:numPr>
        <w:ind w:left="567"/>
        <w:rPr>
          <w:i/>
          <w:lang w:val="es-419"/>
        </w:rPr>
      </w:pPr>
      <w:r w:rsidRPr="00776EE6">
        <w:rPr>
          <w:i/>
          <w:lang w:val="es-419"/>
        </w:rPr>
        <w:t>Cuerpo principal de la Norma ST.27</w:t>
      </w:r>
    </w:p>
    <w:p w14:paraId="31549162" w14:textId="77777777" w:rsidR="0052561A" w:rsidRPr="00776EE6" w:rsidRDefault="00F86911" w:rsidP="00EC3704">
      <w:pPr>
        <w:pStyle w:val="ONUMFS"/>
        <w:numPr>
          <w:ilvl w:val="0"/>
          <w:numId w:val="0"/>
        </w:numPr>
        <w:ind w:left="567"/>
        <w:rPr>
          <w:lang w:val="es-419"/>
        </w:rPr>
      </w:pPr>
      <w:r w:rsidRPr="00776EE6">
        <w:rPr>
          <w:lang w:val="es-419"/>
        </w:rPr>
        <w:t xml:space="preserve">“31. </w:t>
      </w:r>
      <w:r w:rsidR="00EC3704" w:rsidRPr="00776EE6">
        <w:rPr>
          <w:lang w:val="es-419"/>
        </w:rPr>
        <w:t>Las incidencias principales están formadas por la combinación de una única letra seguida del número “10”</w:t>
      </w:r>
      <w:r w:rsidR="00EC3704" w:rsidRPr="00776EE6">
        <w:rPr>
          <w:strike/>
          <w:lang w:val="es-419"/>
        </w:rPr>
        <w:t>, un punto y “xxx”</w:t>
      </w:r>
      <w:r w:rsidR="00EC3704" w:rsidRPr="00776EE6">
        <w:rPr>
          <w:lang w:val="es-419"/>
        </w:rPr>
        <w:t>.</w:t>
      </w:r>
      <w:r w:rsidR="00EC772A" w:rsidRPr="00776EE6">
        <w:rPr>
          <w:lang w:val="es-419"/>
        </w:rPr>
        <w:t xml:space="preserve"> </w:t>
      </w:r>
      <w:r w:rsidR="00EC3704" w:rsidRPr="00776EE6">
        <w:rPr>
          <w:lang w:val="es-419"/>
        </w:rPr>
        <w:t>Se asigna una letra a cada categoría.</w:t>
      </w:r>
      <w:r w:rsidR="00EC772A" w:rsidRPr="00776EE6">
        <w:rPr>
          <w:lang w:val="es-419"/>
        </w:rPr>
        <w:t xml:space="preserve"> </w:t>
      </w:r>
      <w:r w:rsidR="00EC3704" w:rsidRPr="00776EE6">
        <w:rPr>
          <w:strike/>
          <w:lang w:val="es-419"/>
        </w:rPr>
        <w:t>Los tres caracteres adicionales después del punto se reservan para su posible uso en el futuro.</w:t>
      </w:r>
      <w:r w:rsidRPr="00776EE6">
        <w:rPr>
          <w:lang w:val="es-419"/>
        </w:rPr>
        <w:t>”.</w:t>
      </w:r>
    </w:p>
    <w:p w14:paraId="145A2476" w14:textId="77777777" w:rsidR="0052561A" w:rsidRPr="00776EE6" w:rsidRDefault="00EC772A" w:rsidP="00EC772A">
      <w:pPr>
        <w:pStyle w:val="ONUMFS"/>
        <w:numPr>
          <w:ilvl w:val="0"/>
          <w:numId w:val="0"/>
        </w:numPr>
        <w:ind w:left="567"/>
        <w:rPr>
          <w:u w:val="single"/>
          <w:lang w:val="es-419"/>
        </w:rPr>
      </w:pPr>
      <w:r w:rsidRPr="00776EE6">
        <w:rPr>
          <w:lang w:val="es-419"/>
        </w:rPr>
        <w:t xml:space="preserve">“34. </w:t>
      </w:r>
      <w:r w:rsidR="00F86911" w:rsidRPr="00776EE6">
        <w:rPr>
          <w:lang w:val="es-419"/>
        </w:rPr>
        <w:t>El código de las incidencias detalladas se compone de una combinación de una letra seguida de un número de dos dígitos del 11 al 99</w:t>
      </w:r>
      <w:r w:rsidR="00F86911" w:rsidRPr="00776EE6">
        <w:rPr>
          <w:strike/>
          <w:lang w:val="es-419"/>
        </w:rPr>
        <w:t>, un punto y “xxx”</w:t>
      </w:r>
      <w:r w:rsidR="00F86911" w:rsidRPr="00776EE6">
        <w:rPr>
          <w:lang w:val="es-419"/>
        </w:rPr>
        <w:t xml:space="preserve">. La letra se asigna conforme a las categorías. Los códigos de las incidencias detalladas figuran en el Anexo I. </w:t>
      </w:r>
      <w:r w:rsidR="00F86911" w:rsidRPr="00776EE6">
        <w:rPr>
          <w:strike/>
          <w:lang w:val="es-419"/>
        </w:rPr>
        <w:t>Los tres caracteres adicionales después del punto se reservan para su posible uso en el futuro.</w:t>
      </w:r>
      <w:r w:rsidRPr="00776EE6">
        <w:rPr>
          <w:lang w:val="es-419"/>
        </w:rPr>
        <w:t>”</w:t>
      </w:r>
      <w:r w:rsidR="00F86911" w:rsidRPr="00776EE6">
        <w:rPr>
          <w:lang w:val="es-419"/>
        </w:rPr>
        <w:t>.</w:t>
      </w:r>
    </w:p>
    <w:p w14:paraId="61357DC2" w14:textId="6BA5829A" w:rsidR="0052561A" w:rsidRPr="00776EE6" w:rsidRDefault="00D30B0A" w:rsidP="00D1094C">
      <w:pPr>
        <w:pStyle w:val="ONUMFS"/>
        <w:numPr>
          <w:ilvl w:val="0"/>
          <w:numId w:val="0"/>
        </w:numPr>
        <w:ind w:left="567"/>
        <w:rPr>
          <w:i/>
          <w:lang w:val="es-419"/>
        </w:rPr>
      </w:pPr>
      <w:r w:rsidRPr="00776EE6">
        <w:rPr>
          <w:i/>
          <w:lang w:val="es-419"/>
        </w:rPr>
        <w:t>A</w:t>
      </w:r>
      <w:r w:rsidR="00EC772A" w:rsidRPr="00776EE6">
        <w:rPr>
          <w:i/>
          <w:lang w:val="es-419"/>
        </w:rPr>
        <w:t>nex</w:t>
      </w:r>
      <w:r w:rsidRPr="00776EE6">
        <w:rPr>
          <w:i/>
          <w:lang w:val="es-419"/>
        </w:rPr>
        <w:t>o</w:t>
      </w:r>
      <w:r w:rsidR="00EC772A" w:rsidRPr="00776EE6">
        <w:rPr>
          <w:i/>
          <w:lang w:val="es-419"/>
        </w:rPr>
        <w:t xml:space="preserve"> I </w:t>
      </w:r>
      <w:r w:rsidRPr="00776EE6">
        <w:rPr>
          <w:i/>
          <w:lang w:val="es-419"/>
        </w:rPr>
        <w:t xml:space="preserve">de la Norma </w:t>
      </w:r>
      <w:r w:rsidR="00EC772A" w:rsidRPr="00776EE6">
        <w:rPr>
          <w:i/>
          <w:lang w:val="es-419"/>
        </w:rPr>
        <w:t xml:space="preserve">ST.27, </w:t>
      </w:r>
      <w:r w:rsidRPr="00776EE6">
        <w:rPr>
          <w:i/>
          <w:lang w:val="es-419"/>
        </w:rPr>
        <w:t xml:space="preserve">eliminación del párrafo </w:t>
      </w:r>
      <w:r w:rsidR="00EC772A" w:rsidRPr="00776EE6">
        <w:rPr>
          <w:i/>
          <w:lang w:val="es-419"/>
        </w:rPr>
        <w:t>3</w:t>
      </w:r>
    </w:p>
    <w:p w14:paraId="5C2672D6" w14:textId="77777777" w:rsidR="0052561A" w:rsidRPr="00776EE6" w:rsidRDefault="003C2CB5" w:rsidP="00EC772A">
      <w:pPr>
        <w:pStyle w:val="ONUMFS"/>
        <w:numPr>
          <w:ilvl w:val="0"/>
          <w:numId w:val="0"/>
        </w:numPr>
        <w:ind w:left="567"/>
        <w:rPr>
          <w:strike/>
          <w:lang w:val="es-419"/>
        </w:rPr>
      </w:pPr>
      <w:r w:rsidRPr="00776EE6">
        <w:rPr>
          <w:lang w:val="es-419"/>
        </w:rPr>
        <w:t>“</w:t>
      </w:r>
      <w:r w:rsidRPr="00776EE6">
        <w:rPr>
          <w:strike/>
          <w:lang w:val="es-419"/>
        </w:rPr>
        <w:t>3. Se reservan tres caracteres adicionales después del número para su posible uso en el futuro, que se almacenarán como “xxx” en las implementaciones actuales. En la lista que figura a continuación no se indican los caracteres reservados.</w:t>
      </w:r>
      <w:r w:rsidRPr="00776EE6">
        <w:rPr>
          <w:lang w:val="es-419"/>
        </w:rPr>
        <w:t>”.</w:t>
      </w:r>
    </w:p>
    <w:p w14:paraId="4A106325" w14:textId="77777777" w:rsidR="0052561A" w:rsidRPr="00776EE6" w:rsidRDefault="00843B74" w:rsidP="00843B74">
      <w:pPr>
        <w:pStyle w:val="Heading2"/>
        <w:spacing w:before="0"/>
        <w:rPr>
          <w:lang w:val="es-419"/>
        </w:rPr>
      </w:pPr>
      <w:r w:rsidRPr="00776EE6">
        <w:rPr>
          <w:lang w:val="es-419"/>
        </w:rPr>
        <w:t>PROPUESTA DE INDICADORES DE PROCEDIMIENTO</w:t>
      </w:r>
    </w:p>
    <w:p w14:paraId="71B84F64" w14:textId="6111FF6A" w:rsidR="0052561A" w:rsidRPr="00776EE6" w:rsidRDefault="00EC772A" w:rsidP="00843B74">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843B74" w:rsidRPr="00776EE6">
        <w:rPr>
          <w:lang w:val="es-419"/>
        </w:rPr>
        <w:t xml:space="preserve">Dentro del marco general de los </w:t>
      </w:r>
      <w:r w:rsidR="00DD75C3">
        <w:rPr>
          <w:lang w:val="es-419"/>
        </w:rPr>
        <w:t>“</w:t>
      </w:r>
      <w:r w:rsidR="00843B74" w:rsidRPr="00776EE6">
        <w:rPr>
          <w:lang w:val="es-419"/>
        </w:rPr>
        <w:t>indicadores de incidencias</w:t>
      </w:r>
      <w:r w:rsidR="00DD75C3">
        <w:rPr>
          <w:lang w:val="es-419"/>
        </w:rPr>
        <w:t>”</w:t>
      </w:r>
      <w:r w:rsidR="00843B74" w:rsidRPr="00776EE6">
        <w:rPr>
          <w:lang w:val="es-419"/>
        </w:rPr>
        <w:t xml:space="preserve"> descrito anteriormente, los </w:t>
      </w:r>
      <w:r w:rsidR="00DD75C3">
        <w:rPr>
          <w:lang w:val="es-419"/>
        </w:rPr>
        <w:t>“</w:t>
      </w:r>
      <w:r w:rsidR="00843B74" w:rsidRPr="00776EE6">
        <w:rPr>
          <w:lang w:val="es-419"/>
        </w:rPr>
        <w:t>indicadores de procedimiento</w:t>
      </w:r>
      <w:r w:rsidR="00DD75C3">
        <w:rPr>
          <w:lang w:val="es-419"/>
        </w:rPr>
        <w:t>”</w:t>
      </w:r>
      <w:r w:rsidR="00843B74" w:rsidRPr="00776EE6">
        <w:rPr>
          <w:lang w:val="es-419"/>
        </w:rPr>
        <w:t xml:space="preserve"> son un tipo específico de </w:t>
      </w:r>
      <w:r w:rsidR="00DD75C3">
        <w:rPr>
          <w:lang w:val="es-419"/>
        </w:rPr>
        <w:t>“</w:t>
      </w:r>
      <w:r w:rsidR="00843B74" w:rsidRPr="00776EE6">
        <w:rPr>
          <w:lang w:val="es-419"/>
        </w:rPr>
        <w:t>indicadores de incidencias</w:t>
      </w:r>
      <w:r w:rsidR="00DD75C3">
        <w:rPr>
          <w:lang w:val="es-419"/>
        </w:rPr>
        <w:t>”</w:t>
      </w:r>
      <w:r w:rsidR="00843B74" w:rsidRPr="00776EE6">
        <w:rPr>
          <w:lang w:val="es-419"/>
        </w:rPr>
        <w:t>.</w:t>
      </w:r>
      <w:r w:rsidRPr="00776EE6">
        <w:rPr>
          <w:lang w:val="es-419"/>
        </w:rPr>
        <w:t xml:space="preserve"> </w:t>
      </w:r>
      <w:r w:rsidR="00843B74" w:rsidRPr="00776EE6">
        <w:rPr>
          <w:lang w:val="es-419"/>
        </w:rPr>
        <w:t xml:space="preserve">El Equipo Técnico propone que se incluyan los </w:t>
      </w:r>
      <w:r w:rsidR="00DD75C3">
        <w:rPr>
          <w:lang w:val="es-419"/>
        </w:rPr>
        <w:t>“</w:t>
      </w:r>
      <w:r w:rsidR="00843B74" w:rsidRPr="00776EE6">
        <w:rPr>
          <w:lang w:val="es-419"/>
        </w:rPr>
        <w:t>indicadores de procedimiento</w:t>
      </w:r>
      <w:r w:rsidR="00DD75C3">
        <w:rPr>
          <w:lang w:val="es-419"/>
        </w:rPr>
        <w:t>”</w:t>
      </w:r>
      <w:r w:rsidR="00843B74" w:rsidRPr="00776EE6">
        <w:rPr>
          <w:lang w:val="es-419"/>
        </w:rPr>
        <w:t xml:space="preserve"> en la Norma ST.27 como Apéndice del Anexo I. El nuevo Apéndice prop</w:t>
      </w:r>
      <w:r w:rsidR="00EA2025">
        <w:rPr>
          <w:lang w:val="es-419"/>
        </w:rPr>
        <w:t xml:space="preserve">uesto se presenta como Anexo del presente </w:t>
      </w:r>
      <w:r w:rsidR="00843B74" w:rsidRPr="00776EE6">
        <w:rPr>
          <w:lang w:val="es-419"/>
        </w:rPr>
        <w:t>documento.</w:t>
      </w:r>
      <w:r w:rsidRPr="00776EE6">
        <w:rPr>
          <w:lang w:val="es-419"/>
        </w:rPr>
        <w:t xml:space="preserve"> </w:t>
      </w:r>
      <w:r w:rsidR="00843B74" w:rsidRPr="00776EE6">
        <w:rPr>
          <w:lang w:val="es-419"/>
        </w:rPr>
        <w:t>Si se aprueban las modificaciones propuestas de la Norma ST.27, se deberán modificar en consecuencia los componentes XML pertinentes de la Norma ST.96 de la OMPI relativos a la situación jurídica de las patentes.</w:t>
      </w:r>
    </w:p>
    <w:p w14:paraId="46CA9E12" w14:textId="6D4CA59E" w:rsidR="0052561A" w:rsidRPr="00776EE6" w:rsidRDefault="00EC772A" w:rsidP="009156DB">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9156DB" w:rsidRPr="00776EE6">
        <w:rPr>
          <w:lang w:val="es-419"/>
        </w:rPr>
        <w:t xml:space="preserve">Una de las limitaciones de los </w:t>
      </w:r>
      <w:r w:rsidR="007D6C4A">
        <w:rPr>
          <w:lang w:val="es-419"/>
        </w:rPr>
        <w:t xml:space="preserve">actuales </w:t>
      </w:r>
      <w:r w:rsidR="009156DB" w:rsidRPr="00776EE6">
        <w:rPr>
          <w:lang w:val="es-419"/>
        </w:rPr>
        <w:t xml:space="preserve">códigos de incidencias relativas a la situación de la Norma ST.27 es que hacen que sea difícil </w:t>
      </w:r>
      <w:r w:rsidR="007331EB">
        <w:rPr>
          <w:lang w:val="es-419"/>
        </w:rPr>
        <w:t>determin</w:t>
      </w:r>
      <w:r w:rsidR="009156DB" w:rsidRPr="00776EE6">
        <w:rPr>
          <w:lang w:val="es-419"/>
        </w:rPr>
        <w:t>ar qué incidencias están relacionadas.</w:t>
      </w:r>
      <w:r w:rsidRPr="00776EE6">
        <w:rPr>
          <w:lang w:val="es-419"/>
        </w:rPr>
        <w:t xml:space="preserve"> </w:t>
      </w:r>
      <w:r w:rsidR="009156DB" w:rsidRPr="00776EE6">
        <w:rPr>
          <w:lang w:val="es-419"/>
        </w:rPr>
        <w:t>Por ejemplo, veamos esta secuencia de incidencias:</w:t>
      </w:r>
    </w:p>
    <w:p w14:paraId="661F045C" w14:textId="77777777" w:rsidR="0052561A" w:rsidRPr="00776EE6" w:rsidRDefault="004E1BAB" w:rsidP="004E1BAB">
      <w:pPr>
        <w:pStyle w:val="ONUME"/>
        <w:numPr>
          <w:ilvl w:val="0"/>
          <w:numId w:val="7"/>
        </w:numPr>
        <w:tabs>
          <w:tab w:val="left" w:pos="1080"/>
        </w:tabs>
        <w:spacing w:after="120"/>
        <w:rPr>
          <w:lang w:val="es-419"/>
        </w:rPr>
      </w:pPr>
      <w:r w:rsidRPr="00776EE6">
        <w:rPr>
          <w:lang w:val="es-419"/>
        </w:rPr>
        <w:t xml:space="preserve"> D10 Búsqueda y/o examen solicitado o iniciado</w:t>
      </w:r>
    </w:p>
    <w:p w14:paraId="4EF725DF" w14:textId="77777777" w:rsidR="0052561A" w:rsidRPr="00776EE6" w:rsidRDefault="004E1BAB" w:rsidP="004E1BAB">
      <w:pPr>
        <w:pStyle w:val="ONUME"/>
        <w:numPr>
          <w:ilvl w:val="0"/>
          <w:numId w:val="7"/>
        </w:numPr>
        <w:tabs>
          <w:tab w:val="left" w:pos="1080"/>
        </w:tabs>
        <w:spacing w:after="120"/>
        <w:rPr>
          <w:lang w:val="es-419"/>
        </w:rPr>
      </w:pPr>
      <w:r w:rsidRPr="00776EE6">
        <w:rPr>
          <w:lang w:val="es-419"/>
        </w:rPr>
        <w:t>E11 Oposición anterior a la concesión, presentada</w:t>
      </w:r>
    </w:p>
    <w:p w14:paraId="7A74BDCA" w14:textId="77777777" w:rsidR="0052561A" w:rsidRPr="00776EE6" w:rsidRDefault="004E1BAB" w:rsidP="004E1BAB">
      <w:pPr>
        <w:pStyle w:val="ONUME"/>
        <w:numPr>
          <w:ilvl w:val="0"/>
          <w:numId w:val="7"/>
        </w:numPr>
        <w:tabs>
          <w:tab w:val="left" w:pos="1080"/>
        </w:tabs>
        <w:spacing w:after="120"/>
        <w:rPr>
          <w:lang w:val="es-419"/>
        </w:rPr>
      </w:pPr>
      <w:r w:rsidRPr="00776EE6">
        <w:rPr>
          <w:lang w:val="es-419"/>
        </w:rPr>
        <w:t>P13 Solicitud modificada</w:t>
      </w:r>
    </w:p>
    <w:p w14:paraId="6BA1F028" w14:textId="15A424FC" w:rsidR="0052561A" w:rsidRPr="00776EE6" w:rsidRDefault="005250CD" w:rsidP="005250CD">
      <w:pPr>
        <w:pStyle w:val="ONUME"/>
        <w:numPr>
          <w:ilvl w:val="0"/>
          <w:numId w:val="7"/>
        </w:numPr>
        <w:tabs>
          <w:tab w:val="left" w:pos="1080"/>
        </w:tabs>
        <w:rPr>
          <w:lang w:val="es-419"/>
        </w:rPr>
      </w:pPr>
      <w:r w:rsidRPr="00776EE6">
        <w:rPr>
          <w:lang w:val="es-419"/>
        </w:rPr>
        <w:t>Q17 Documento modificado, publicado</w:t>
      </w:r>
      <w:r w:rsidR="003F5221">
        <w:rPr>
          <w:lang w:val="es-419"/>
        </w:rPr>
        <w:t>.</w:t>
      </w:r>
    </w:p>
    <w:p w14:paraId="3E871F73" w14:textId="6592A174" w:rsidR="0052561A" w:rsidRPr="00776EE6" w:rsidRDefault="00EC772A" w:rsidP="00F4452D">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5250CD" w:rsidRPr="00776EE6">
        <w:rPr>
          <w:lang w:val="es-419"/>
        </w:rPr>
        <w:t>No se indica claramente a qué se refieren las dos últimas incidencias, es decir, P13 podría significar que la solicitud se modificó debido al examen o debido al procedimiento de oposición; y P17 podría indicar la publicación del documento en relación con el examen, la oposición o alguna otra cosa.</w:t>
      </w:r>
      <w:r w:rsidRPr="00776EE6">
        <w:rPr>
          <w:lang w:val="es-419"/>
        </w:rPr>
        <w:t xml:space="preserve"> </w:t>
      </w:r>
      <w:r w:rsidR="00F4452D" w:rsidRPr="00776EE6">
        <w:rPr>
          <w:lang w:val="es-419"/>
        </w:rPr>
        <w:t xml:space="preserve">Para encontrar estas relaciones entre </w:t>
      </w:r>
      <w:r w:rsidR="004B74C4" w:rsidRPr="00776EE6">
        <w:rPr>
          <w:lang w:val="es-419"/>
        </w:rPr>
        <w:t>incidencia</w:t>
      </w:r>
      <w:r w:rsidR="00F4452D" w:rsidRPr="00776EE6">
        <w:rPr>
          <w:lang w:val="es-419"/>
        </w:rPr>
        <w:t>s puede ser necesario consultar los historiales de incidencias nacionales al margen de la Norma ST.27. Esto tal vez resulte adecuado para un número pequeño de solicitudes, pero estas investigaciones resultan imposibles de gestionar cuando se manejan carteras grandes o datos de muchas OPI.</w:t>
      </w:r>
    </w:p>
    <w:p w14:paraId="60CE4E6D" w14:textId="2305EF3C" w:rsidR="0052561A" w:rsidRPr="00776EE6" w:rsidRDefault="00EC772A" w:rsidP="00F4452D">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4B74C4" w:rsidRPr="00776EE6">
        <w:rPr>
          <w:lang w:val="es-419"/>
        </w:rPr>
        <w:t>A</w:t>
      </w:r>
      <w:r w:rsidR="00F4452D" w:rsidRPr="00776EE6">
        <w:rPr>
          <w:lang w:val="es-419"/>
        </w:rPr>
        <w:t xml:space="preserve">lgunas Oficinas, como la Oficina Alemana de Patentes y Marcas y la Oficina Europea de Patentes, utilizan códigos dentro de sus propios sistemas de incidencias para agrupar las incidencias conexas en un procedimiento (por </w:t>
      </w:r>
      <w:proofErr w:type="gramStart"/>
      <w:r w:rsidR="00F4452D" w:rsidRPr="00776EE6">
        <w:rPr>
          <w:lang w:val="es-419"/>
        </w:rPr>
        <w:t>ejemplo</w:t>
      </w:r>
      <w:proofErr w:type="gramEnd"/>
      <w:r w:rsidR="00F4452D" w:rsidRPr="00776EE6">
        <w:rPr>
          <w:lang w:val="es-419"/>
        </w:rPr>
        <w:t xml:space="preserve"> examen u oposición).</w:t>
      </w:r>
      <w:r w:rsidRPr="00776EE6">
        <w:rPr>
          <w:lang w:val="es-419"/>
        </w:rPr>
        <w:t xml:space="preserve"> </w:t>
      </w:r>
      <w:r w:rsidR="00F4452D" w:rsidRPr="00776EE6">
        <w:rPr>
          <w:lang w:val="es-419"/>
        </w:rPr>
        <w:t xml:space="preserve">La propuesta de </w:t>
      </w:r>
      <w:r w:rsidR="00B75EC0">
        <w:rPr>
          <w:lang w:val="es-419"/>
        </w:rPr>
        <w:t>“</w:t>
      </w:r>
      <w:r w:rsidR="00F4452D" w:rsidRPr="00776EE6">
        <w:rPr>
          <w:lang w:val="es-419"/>
        </w:rPr>
        <w:t>indicadores de procedimiento</w:t>
      </w:r>
      <w:r w:rsidR="00B75EC0">
        <w:rPr>
          <w:lang w:val="es-419"/>
        </w:rPr>
        <w:t>”</w:t>
      </w:r>
      <w:r w:rsidR="00F4452D" w:rsidRPr="00776EE6">
        <w:rPr>
          <w:lang w:val="es-419"/>
        </w:rPr>
        <w:t xml:space="preserve"> adopta un enfoque similar basado en las prácticas existentes, aplicadas de forma general al lenguaje de la </w:t>
      </w:r>
      <w:r w:rsidR="00E60637">
        <w:rPr>
          <w:lang w:val="es-419"/>
        </w:rPr>
        <w:t>N</w:t>
      </w:r>
      <w:r w:rsidR="00F4452D" w:rsidRPr="00776EE6">
        <w:rPr>
          <w:lang w:val="es-419"/>
        </w:rPr>
        <w:t>orma ST.27.</w:t>
      </w:r>
    </w:p>
    <w:p w14:paraId="65A388A8" w14:textId="17D76998" w:rsidR="0052561A" w:rsidRPr="00776EE6" w:rsidRDefault="00EC772A" w:rsidP="00C23AA2">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t xml:space="preserve"> </w:t>
      </w:r>
      <w:r w:rsidR="00F4452D" w:rsidRPr="00776EE6">
        <w:rPr>
          <w:lang w:val="es-419"/>
        </w:rPr>
        <w:t xml:space="preserve">La propuesta de </w:t>
      </w:r>
      <w:r w:rsidR="00C85AD3">
        <w:rPr>
          <w:lang w:val="es-419"/>
        </w:rPr>
        <w:t>“</w:t>
      </w:r>
      <w:r w:rsidR="00F4452D" w:rsidRPr="00776EE6">
        <w:rPr>
          <w:lang w:val="es-419"/>
        </w:rPr>
        <w:t>indicadores de procedimiento</w:t>
      </w:r>
      <w:r w:rsidR="00C85AD3">
        <w:rPr>
          <w:lang w:val="es-419"/>
        </w:rPr>
        <w:t>”</w:t>
      </w:r>
      <w:r w:rsidR="00F4452D" w:rsidRPr="00776EE6">
        <w:rPr>
          <w:lang w:val="es-419"/>
        </w:rPr>
        <w:t xml:space="preserve"> enumera 25 procedimientos diferentes de alto nivel que son comunes a muchas OPI.</w:t>
      </w:r>
      <w:r w:rsidRPr="00776EE6">
        <w:rPr>
          <w:lang w:val="es-419"/>
        </w:rPr>
        <w:t xml:space="preserve"> </w:t>
      </w:r>
      <w:r w:rsidR="00F4452D" w:rsidRPr="00776EE6">
        <w:rPr>
          <w:lang w:val="es-419"/>
        </w:rPr>
        <w:t>Algunos indicadores se refieren a las principales operaciones de tramitación, como los procedimientos de búsqueda, examen u oposición.</w:t>
      </w:r>
      <w:r w:rsidRPr="00776EE6">
        <w:rPr>
          <w:lang w:val="es-419"/>
        </w:rPr>
        <w:t xml:space="preserve"> </w:t>
      </w:r>
      <w:r w:rsidR="00C23AA2" w:rsidRPr="00776EE6">
        <w:rPr>
          <w:lang w:val="es-419"/>
        </w:rPr>
        <w:t xml:space="preserve">Hay </w:t>
      </w:r>
      <w:r w:rsidR="009A17C9" w:rsidRPr="00776EE6">
        <w:rPr>
          <w:lang w:val="es-419"/>
        </w:rPr>
        <w:t>otros</w:t>
      </w:r>
      <w:r w:rsidR="00C23AA2" w:rsidRPr="00776EE6">
        <w:rPr>
          <w:lang w:val="es-419"/>
        </w:rPr>
        <w:t xml:space="preserve"> que se refieren a la forma en que se tramitan los distintos tipos de solicitudes, como las solicitudes nacionales, las regionales o las provisionales.</w:t>
      </w:r>
      <w:r w:rsidRPr="00776EE6">
        <w:rPr>
          <w:lang w:val="es-419"/>
        </w:rPr>
        <w:t xml:space="preserve"> </w:t>
      </w:r>
      <w:r w:rsidR="00C23AA2" w:rsidRPr="00776EE6">
        <w:rPr>
          <w:lang w:val="es-419"/>
        </w:rPr>
        <w:t>A su vez, otros se refieren a procesos externos que se registran en la OPI, como las licencias o las cesiones.</w:t>
      </w:r>
    </w:p>
    <w:p w14:paraId="4DBE85CC" w14:textId="090AA8F1" w:rsidR="0052561A" w:rsidRPr="00776EE6" w:rsidRDefault="00EC772A" w:rsidP="004A1FBF">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4A1FBF" w:rsidRPr="00776EE6">
        <w:rPr>
          <w:lang w:val="es-419"/>
        </w:rPr>
        <w:t>Una primera ojeada a la lista de procedimientos muestra similitudes con la lista de categorías del Anexo I de la Norma ST.27. Sin embargo, los procedimientos no reproducen la misma información porque:</w:t>
      </w:r>
    </w:p>
    <w:p w14:paraId="211FCB1D" w14:textId="393E48CC" w:rsidR="0052561A" w:rsidRPr="00776EE6" w:rsidRDefault="004A1FBF" w:rsidP="004A1FBF">
      <w:pPr>
        <w:pStyle w:val="ONUME"/>
        <w:numPr>
          <w:ilvl w:val="0"/>
          <w:numId w:val="7"/>
        </w:numPr>
        <w:tabs>
          <w:tab w:val="left" w:pos="1080"/>
        </w:tabs>
        <w:spacing w:after="120"/>
        <w:rPr>
          <w:lang w:val="es-419"/>
        </w:rPr>
      </w:pPr>
      <w:r w:rsidRPr="00776EE6">
        <w:rPr>
          <w:lang w:val="es-419"/>
        </w:rPr>
        <w:t xml:space="preserve"> Los procedimientos son más específicos que las categorías.</w:t>
      </w:r>
      <w:r w:rsidR="00EC772A" w:rsidRPr="00776EE6">
        <w:rPr>
          <w:lang w:val="es-419"/>
        </w:rPr>
        <w:t xml:space="preserve"> </w:t>
      </w:r>
      <w:r w:rsidRPr="00776EE6">
        <w:rPr>
          <w:lang w:val="es-419"/>
        </w:rPr>
        <w:t xml:space="preserve">Por ejemplo, la categoría D </w:t>
      </w:r>
      <w:r w:rsidR="00C85AD3">
        <w:rPr>
          <w:lang w:val="es-419"/>
        </w:rPr>
        <w:t>“</w:t>
      </w:r>
      <w:r w:rsidRPr="00776EE6">
        <w:rPr>
          <w:lang w:val="es-419"/>
        </w:rPr>
        <w:t>Búsqueda y examen</w:t>
      </w:r>
      <w:r w:rsidR="00C85AD3">
        <w:rPr>
          <w:lang w:val="es-419"/>
        </w:rPr>
        <w:t>”</w:t>
      </w:r>
      <w:r w:rsidRPr="00776EE6">
        <w:rPr>
          <w:lang w:val="es-419"/>
        </w:rPr>
        <w:t xml:space="preserve"> se corresponde con dos procedimientos diferentes, uno para la búsqueda y otro para el examen.</w:t>
      </w:r>
    </w:p>
    <w:p w14:paraId="5BBFCF81" w14:textId="3DC101A7" w:rsidR="0052561A" w:rsidRPr="00776EE6" w:rsidRDefault="004A1FBF" w:rsidP="004A1FBF">
      <w:pPr>
        <w:pStyle w:val="ONUME"/>
        <w:numPr>
          <w:ilvl w:val="0"/>
          <w:numId w:val="7"/>
        </w:numPr>
        <w:tabs>
          <w:tab w:val="left" w:pos="1080"/>
        </w:tabs>
        <w:spacing w:after="120"/>
        <w:rPr>
          <w:lang w:val="es-419"/>
        </w:rPr>
      </w:pPr>
      <w:r w:rsidRPr="00776EE6">
        <w:rPr>
          <w:lang w:val="es-419"/>
        </w:rPr>
        <w:t>Los procedimientos se aplican en contextos en los que no se pueden utilizar las categorías.</w:t>
      </w:r>
      <w:r w:rsidR="00EC772A" w:rsidRPr="00776EE6">
        <w:rPr>
          <w:lang w:val="es-419"/>
        </w:rPr>
        <w:t xml:space="preserve"> </w:t>
      </w:r>
      <w:r w:rsidRPr="00776EE6">
        <w:rPr>
          <w:lang w:val="es-419"/>
        </w:rPr>
        <w:t>Por ejemplo, tomemos una incidencia Q10 Documento publicado.</w:t>
      </w:r>
      <w:r w:rsidR="00EC772A" w:rsidRPr="00776EE6">
        <w:rPr>
          <w:lang w:val="es-419"/>
        </w:rPr>
        <w:t xml:space="preserve"> </w:t>
      </w:r>
      <w:r w:rsidRPr="00776EE6">
        <w:rPr>
          <w:lang w:val="es-419"/>
        </w:rPr>
        <w:t>Supongamos que el documento está relacionado con el examen.</w:t>
      </w:r>
      <w:r w:rsidR="00EC772A" w:rsidRPr="00776EE6">
        <w:rPr>
          <w:lang w:val="es-419"/>
        </w:rPr>
        <w:t xml:space="preserve"> </w:t>
      </w:r>
      <w:r w:rsidRPr="00776EE6">
        <w:rPr>
          <w:lang w:val="es-419"/>
        </w:rPr>
        <w:t xml:space="preserve">Dado que la incidencia </w:t>
      </w:r>
      <w:r w:rsidR="00C85AD3">
        <w:rPr>
          <w:lang w:val="es-419"/>
        </w:rPr>
        <w:t>“</w:t>
      </w:r>
      <w:r w:rsidRPr="00776EE6">
        <w:rPr>
          <w:lang w:val="es-419"/>
        </w:rPr>
        <w:t>documento publicado</w:t>
      </w:r>
      <w:r w:rsidR="00C85AD3">
        <w:rPr>
          <w:lang w:val="es-419"/>
        </w:rPr>
        <w:t>”</w:t>
      </w:r>
      <w:r w:rsidRPr="00776EE6">
        <w:rPr>
          <w:lang w:val="es-419"/>
        </w:rPr>
        <w:t xml:space="preserve"> pertenece a la categoría Q, no hay forma de indicar también la categoría D como parte de la incidencia. Sin embargo, si se añade el </w:t>
      </w:r>
      <w:r w:rsidR="00C85AD3">
        <w:rPr>
          <w:lang w:val="es-419"/>
        </w:rPr>
        <w:t>“</w:t>
      </w:r>
      <w:r w:rsidRPr="00776EE6">
        <w:rPr>
          <w:lang w:val="es-419"/>
        </w:rPr>
        <w:t>indicador de</w:t>
      </w:r>
      <w:r w:rsidR="00C85AD3">
        <w:rPr>
          <w:lang w:val="es-419"/>
        </w:rPr>
        <w:t xml:space="preserve"> </w:t>
      </w:r>
      <w:r w:rsidRPr="00776EE6">
        <w:rPr>
          <w:lang w:val="es-419"/>
        </w:rPr>
        <w:t>procedimiento</w:t>
      </w:r>
      <w:r w:rsidR="00C85AD3">
        <w:rPr>
          <w:lang w:val="es-419"/>
        </w:rPr>
        <w:t>”</w:t>
      </w:r>
      <w:r w:rsidRPr="00776EE6">
        <w:rPr>
          <w:lang w:val="es-419"/>
        </w:rPr>
        <w:t xml:space="preserve"> correspondiente a </w:t>
      </w:r>
      <w:r w:rsidR="00C85AD3">
        <w:rPr>
          <w:lang w:val="es-419"/>
        </w:rPr>
        <w:t>“</w:t>
      </w:r>
      <w:r w:rsidRPr="00776EE6">
        <w:rPr>
          <w:lang w:val="es-419"/>
        </w:rPr>
        <w:t>procedimiento de examen</w:t>
      </w:r>
      <w:r w:rsidR="00C85AD3">
        <w:rPr>
          <w:lang w:val="es-419"/>
        </w:rPr>
        <w:t>”</w:t>
      </w:r>
      <w:r w:rsidRPr="00776EE6">
        <w:rPr>
          <w:lang w:val="es-419"/>
        </w:rPr>
        <w:t>, queda claro que esta incidencia Q10 está relacionada con el examen.</w:t>
      </w:r>
    </w:p>
    <w:p w14:paraId="68887C00" w14:textId="41AC1986" w:rsidR="0052561A" w:rsidRPr="00776EE6" w:rsidRDefault="00EC772A" w:rsidP="004B74C4">
      <w:pPr>
        <w:pStyle w:val="ONUMFS"/>
        <w:numPr>
          <w:ilvl w:val="0"/>
          <w:numId w:val="0"/>
        </w:numPr>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4A1FBF" w:rsidRPr="00776EE6">
        <w:rPr>
          <w:lang w:val="es-419"/>
        </w:rPr>
        <w:t xml:space="preserve">El Equipo Técnico examinó varias opciones de codificación para los </w:t>
      </w:r>
      <w:r w:rsidR="00C85AD3">
        <w:rPr>
          <w:lang w:val="es-419"/>
        </w:rPr>
        <w:t>“</w:t>
      </w:r>
      <w:r w:rsidR="004A1FBF" w:rsidRPr="00776EE6">
        <w:rPr>
          <w:lang w:val="es-419"/>
        </w:rPr>
        <w:t>indicadores de procedimiento</w:t>
      </w:r>
      <w:r w:rsidR="00C85AD3">
        <w:rPr>
          <w:lang w:val="es-419"/>
        </w:rPr>
        <w:t>”</w:t>
      </w:r>
      <w:r w:rsidR="004A1FBF" w:rsidRPr="00776EE6">
        <w:rPr>
          <w:lang w:val="es-419"/>
        </w:rPr>
        <w:t>, por medio de uno, dos o tres caracteres.</w:t>
      </w:r>
      <w:r w:rsidRPr="00776EE6">
        <w:rPr>
          <w:lang w:val="es-419"/>
        </w:rPr>
        <w:t xml:space="preserve"> </w:t>
      </w:r>
      <w:r w:rsidR="004A1FBF" w:rsidRPr="00776EE6">
        <w:rPr>
          <w:lang w:val="es-419"/>
        </w:rPr>
        <w:t>Tras el examen, el Equipo Técnico optó por utilizar una codificación más fácil de interpretar para los usuarios finales.</w:t>
      </w:r>
      <w:r w:rsidRPr="00776EE6">
        <w:rPr>
          <w:lang w:val="es-419"/>
        </w:rPr>
        <w:t xml:space="preserve"> </w:t>
      </w:r>
      <w:r w:rsidR="004B74C4" w:rsidRPr="00776EE6">
        <w:rPr>
          <w:lang w:val="es-419"/>
        </w:rPr>
        <w:t>Por lo tanto, se eligieron los códigos de tres letras propuestos para que tuvieran cierto parecido con el término correspondiente al procedimiento.</w:t>
      </w:r>
    </w:p>
    <w:p w14:paraId="5709FAAB" w14:textId="77777777" w:rsidR="0052561A" w:rsidRPr="00776EE6" w:rsidRDefault="004B74C4" w:rsidP="004B74C4">
      <w:pPr>
        <w:pStyle w:val="Heading2"/>
        <w:spacing w:before="0"/>
        <w:rPr>
          <w:lang w:val="es-419"/>
        </w:rPr>
      </w:pPr>
      <w:r w:rsidRPr="00776EE6">
        <w:rPr>
          <w:lang w:val="es-419"/>
        </w:rPr>
        <w:t>PLAN DE TRABAJO</w:t>
      </w:r>
    </w:p>
    <w:p w14:paraId="34E256D3" w14:textId="6901E413" w:rsidR="0052561A" w:rsidRPr="00776EE6" w:rsidRDefault="00EC772A" w:rsidP="00D1094C">
      <w:pPr>
        <w:spacing w:after="240"/>
        <w:rPr>
          <w:lang w:val="es-419"/>
        </w:rPr>
      </w:pPr>
      <w:r w:rsidRPr="00776EE6">
        <w:rPr>
          <w:lang w:val="es-419"/>
        </w:rPr>
        <w:fldChar w:fldCharType="begin"/>
      </w:r>
      <w:r w:rsidRPr="00776EE6">
        <w:rPr>
          <w:lang w:val="es-419"/>
        </w:rPr>
        <w:instrText xml:space="preserve"> AUTONUM  </w:instrText>
      </w:r>
      <w:r w:rsidRPr="00776EE6">
        <w:rPr>
          <w:lang w:val="es-419"/>
        </w:rPr>
        <w:fldChar w:fldCharType="end"/>
      </w:r>
      <w:r w:rsidRPr="00776EE6">
        <w:rPr>
          <w:lang w:val="es-419"/>
        </w:rPr>
        <w:tab/>
      </w:r>
      <w:r w:rsidR="00B46279" w:rsidRPr="00776EE6">
        <w:rPr>
          <w:lang w:val="es-419"/>
        </w:rPr>
        <w:t xml:space="preserve">Si el CWS aprueba la propuesta de </w:t>
      </w:r>
      <w:r w:rsidR="00C85AD3">
        <w:rPr>
          <w:lang w:val="es-419"/>
        </w:rPr>
        <w:t>“</w:t>
      </w:r>
      <w:r w:rsidR="00B46279" w:rsidRPr="00776EE6">
        <w:rPr>
          <w:lang w:val="es-419"/>
        </w:rPr>
        <w:t>indicadores de procedimiento</w:t>
      </w:r>
      <w:r w:rsidR="00C85AD3">
        <w:rPr>
          <w:lang w:val="es-419"/>
        </w:rPr>
        <w:t>”</w:t>
      </w:r>
      <w:r w:rsidR="00B46279" w:rsidRPr="00776EE6">
        <w:rPr>
          <w:lang w:val="es-419"/>
        </w:rPr>
        <w:t xml:space="preserve"> para la Norma ST.27, el Equipo Técnico propone que se estudie la forma de adaptar los </w:t>
      </w:r>
      <w:r w:rsidR="00C85AD3">
        <w:rPr>
          <w:lang w:val="es-419"/>
        </w:rPr>
        <w:t>“</w:t>
      </w:r>
      <w:r w:rsidR="00B46279" w:rsidRPr="00776EE6">
        <w:rPr>
          <w:lang w:val="es-419"/>
        </w:rPr>
        <w:t>indicadores de procedimiento</w:t>
      </w:r>
      <w:r w:rsidR="00C85AD3">
        <w:rPr>
          <w:lang w:val="es-419"/>
        </w:rPr>
        <w:t>”</w:t>
      </w:r>
      <w:r w:rsidR="00B46279" w:rsidRPr="00776EE6">
        <w:rPr>
          <w:lang w:val="es-419"/>
        </w:rPr>
        <w:t xml:space="preserve"> a las Normas ST.61 y ST.87 y se presente una propuesta para su examen en la décima sesión del CWS.</w:t>
      </w:r>
    </w:p>
    <w:p w14:paraId="1DD2C2CF" w14:textId="5EDA4041" w:rsidR="0052561A" w:rsidRPr="00776EE6" w:rsidRDefault="00D1094C" w:rsidP="00D1094C">
      <w:pPr>
        <w:pStyle w:val="ListParagraph"/>
        <w:widowControl w:val="0"/>
        <w:tabs>
          <w:tab w:val="left" w:pos="6096"/>
        </w:tabs>
        <w:autoSpaceDE w:val="0"/>
        <w:autoSpaceDN w:val="0"/>
        <w:spacing w:after="220"/>
        <w:ind w:left="5530" w:right="490"/>
        <w:rPr>
          <w:rFonts w:eastAsia="Arial"/>
          <w:i/>
          <w:szCs w:val="22"/>
          <w:lang w:val="es-419" w:eastAsia="en-US"/>
        </w:rPr>
      </w:pPr>
      <w:r>
        <w:rPr>
          <w:rFonts w:eastAsia="Arial"/>
          <w:i/>
          <w:szCs w:val="22"/>
          <w:lang w:val="es-419" w:eastAsia="en-US"/>
        </w:rPr>
        <w:fldChar w:fldCharType="begin"/>
      </w:r>
      <w:r>
        <w:rPr>
          <w:rFonts w:eastAsia="Arial"/>
          <w:i/>
          <w:szCs w:val="22"/>
          <w:lang w:val="es-419" w:eastAsia="en-US"/>
        </w:rPr>
        <w:instrText xml:space="preserve"> AUTONUM  </w:instrText>
      </w:r>
      <w:r>
        <w:rPr>
          <w:rFonts w:eastAsia="Arial"/>
          <w:i/>
          <w:szCs w:val="22"/>
          <w:lang w:val="es-419" w:eastAsia="en-US"/>
        </w:rPr>
        <w:fldChar w:fldCharType="end"/>
      </w:r>
      <w:r>
        <w:rPr>
          <w:rFonts w:eastAsia="Arial"/>
          <w:i/>
          <w:szCs w:val="22"/>
          <w:lang w:val="es-419" w:eastAsia="en-US"/>
        </w:rPr>
        <w:tab/>
      </w:r>
      <w:r w:rsidR="0052561A" w:rsidRPr="00776EE6">
        <w:rPr>
          <w:rFonts w:eastAsia="Arial"/>
          <w:i/>
          <w:szCs w:val="22"/>
          <w:lang w:val="es-419" w:eastAsia="en-US"/>
        </w:rPr>
        <w:t>Se invita al CWS a:</w:t>
      </w:r>
    </w:p>
    <w:p w14:paraId="398848B4" w14:textId="496FCB9B" w:rsidR="0052561A" w:rsidRPr="00776EE6" w:rsidRDefault="0052561A" w:rsidP="00D1094C">
      <w:pPr>
        <w:pStyle w:val="ListParagraph"/>
        <w:widowControl w:val="0"/>
        <w:tabs>
          <w:tab w:val="left" w:pos="6663"/>
        </w:tabs>
        <w:autoSpaceDE w:val="0"/>
        <w:autoSpaceDN w:val="0"/>
        <w:spacing w:after="220"/>
        <w:ind w:left="6096" w:right="490"/>
        <w:rPr>
          <w:rFonts w:eastAsia="Arial"/>
          <w:i/>
          <w:szCs w:val="22"/>
          <w:lang w:val="es-419" w:eastAsia="en-US"/>
        </w:rPr>
      </w:pPr>
      <w:r w:rsidRPr="00776EE6">
        <w:rPr>
          <w:rFonts w:eastAsia="Arial"/>
          <w:i/>
          <w:szCs w:val="22"/>
          <w:lang w:val="es-419" w:eastAsia="en-US"/>
        </w:rPr>
        <w:t>a)</w:t>
      </w:r>
      <w:r w:rsidRPr="00776EE6">
        <w:rPr>
          <w:rFonts w:eastAsia="Arial"/>
          <w:i/>
          <w:szCs w:val="22"/>
          <w:lang w:val="es-419" w:eastAsia="en-US"/>
        </w:rPr>
        <w:tab/>
        <w:t>tomar nota del contenido del presente documento y del Anexo del presente documento;</w:t>
      </w:r>
    </w:p>
    <w:p w14:paraId="3C5A0280" w14:textId="18675DF8" w:rsidR="0052561A" w:rsidRPr="00776EE6" w:rsidRDefault="00EC772A" w:rsidP="00D1094C">
      <w:pPr>
        <w:pStyle w:val="ListParagraph"/>
        <w:widowControl w:val="0"/>
        <w:tabs>
          <w:tab w:val="left" w:pos="6663"/>
        </w:tabs>
        <w:autoSpaceDE w:val="0"/>
        <w:autoSpaceDN w:val="0"/>
        <w:spacing w:after="220"/>
        <w:ind w:left="6096"/>
        <w:rPr>
          <w:rFonts w:eastAsia="Arial"/>
          <w:i/>
          <w:szCs w:val="22"/>
          <w:lang w:val="es-419" w:eastAsia="en-US"/>
        </w:rPr>
      </w:pPr>
      <w:r w:rsidRPr="00776EE6">
        <w:rPr>
          <w:rFonts w:eastAsia="Arial"/>
          <w:i/>
          <w:szCs w:val="22"/>
          <w:lang w:val="es-419" w:eastAsia="en-US"/>
        </w:rPr>
        <w:t>b)</w:t>
      </w:r>
      <w:r w:rsidRPr="00776EE6">
        <w:rPr>
          <w:rFonts w:eastAsia="Arial"/>
          <w:i/>
          <w:szCs w:val="22"/>
          <w:lang w:val="es-419" w:eastAsia="en-US"/>
        </w:rPr>
        <w:tab/>
      </w:r>
      <w:r w:rsidR="00966957" w:rsidRPr="00776EE6">
        <w:rPr>
          <w:rFonts w:eastAsia="Arial"/>
          <w:i/>
          <w:szCs w:val="22"/>
          <w:lang w:val="es-419" w:eastAsia="en-US"/>
        </w:rPr>
        <w:t xml:space="preserve">examinar y aprobar la revisión </w:t>
      </w:r>
      <w:r w:rsidR="00517D08">
        <w:rPr>
          <w:rFonts w:eastAsia="Arial"/>
          <w:i/>
          <w:szCs w:val="22"/>
          <w:lang w:val="es-419" w:eastAsia="en-US"/>
        </w:rPr>
        <w:t xml:space="preserve">propuesta </w:t>
      </w:r>
      <w:r w:rsidR="008856AD">
        <w:rPr>
          <w:rFonts w:eastAsia="Arial"/>
          <w:i/>
          <w:szCs w:val="22"/>
          <w:lang w:val="es-419" w:eastAsia="en-US"/>
        </w:rPr>
        <w:t>en relación con</w:t>
      </w:r>
      <w:r w:rsidR="00966957" w:rsidRPr="00776EE6">
        <w:rPr>
          <w:rFonts w:eastAsia="Arial"/>
          <w:i/>
          <w:szCs w:val="22"/>
          <w:lang w:val="es-419" w:eastAsia="en-US"/>
        </w:rPr>
        <w:t xml:space="preserve"> los “indicadores</w:t>
      </w:r>
      <w:r w:rsidR="00D1094C">
        <w:rPr>
          <w:rFonts w:eastAsia="Arial"/>
          <w:i/>
          <w:szCs w:val="22"/>
          <w:lang w:val="es-419" w:eastAsia="en-US"/>
        </w:rPr>
        <w:t xml:space="preserve"> de incidencias” para la “Norma </w:t>
      </w:r>
      <w:r w:rsidR="00966957" w:rsidRPr="00776EE6">
        <w:rPr>
          <w:rFonts w:eastAsia="Arial"/>
          <w:i/>
          <w:szCs w:val="22"/>
          <w:lang w:val="es-419" w:eastAsia="en-US"/>
        </w:rPr>
        <w:t xml:space="preserve">ST.27: </w:t>
      </w:r>
      <w:r w:rsidR="00633A73" w:rsidRPr="00776EE6">
        <w:rPr>
          <w:rFonts w:eastAsia="Arial"/>
          <w:i/>
          <w:szCs w:val="22"/>
          <w:lang w:val="es-419" w:eastAsia="en-US"/>
        </w:rPr>
        <w:t>Intercambio de datos relativos a la situación jurídica de las patentes</w:t>
      </w:r>
      <w:r w:rsidR="00966957" w:rsidRPr="00776EE6">
        <w:rPr>
          <w:rFonts w:eastAsia="Arial"/>
          <w:i/>
          <w:szCs w:val="22"/>
          <w:lang w:val="es-419" w:eastAsia="en-US"/>
        </w:rPr>
        <w:t>”</w:t>
      </w:r>
      <w:r w:rsidRPr="00776EE6">
        <w:rPr>
          <w:rFonts w:eastAsia="Arial"/>
          <w:i/>
          <w:szCs w:val="22"/>
          <w:lang w:val="es-419" w:eastAsia="en-US"/>
        </w:rPr>
        <w:t xml:space="preserve">, </w:t>
      </w:r>
      <w:r w:rsidR="00966957" w:rsidRPr="00776EE6">
        <w:rPr>
          <w:rFonts w:eastAsia="Arial"/>
          <w:i/>
          <w:szCs w:val="22"/>
          <w:lang w:val="es-419" w:eastAsia="en-US"/>
        </w:rPr>
        <w:t xml:space="preserve">expuesta en los párrafos </w:t>
      </w:r>
      <w:r w:rsidRPr="00776EE6">
        <w:rPr>
          <w:rFonts w:eastAsia="Arial"/>
          <w:i/>
          <w:szCs w:val="22"/>
          <w:lang w:val="es-419" w:eastAsia="en-US"/>
        </w:rPr>
        <w:t xml:space="preserve">10 </w:t>
      </w:r>
      <w:r w:rsidR="00966957" w:rsidRPr="00776EE6">
        <w:rPr>
          <w:rFonts w:eastAsia="Arial"/>
          <w:i/>
          <w:szCs w:val="22"/>
          <w:lang w:val="es-419" w:eastAsia="en-US"/>
        </w:rPr>
        <w:t>a</w:t>
      </w:r>
      <w:r w:rsidRPr="00776EE6">
        <w:rPr>
          <w:rFonts w:eastAsia="Arial"/>
          <w:i/>
          <w:szCs w:val="22"/>
          <w:lang w:val="es-419" w:eastAsia="en-US"/>
        </w:rPr>
        <w:t xml:space="preserve"> 13 </w:t>
      </w:r>
      <w:r w:rsidR="00966957" w:rsidRPr="00776EE6">
        <w:rPr>
          <w:rFonts w:eastAsia="Arial"/>
          <w:i/>
          <w:szCs w:val="22"/>
          <w:lang w:val="es-419" w:eastAsia="en-US"/>
        </w:rPr>
        <w:t>del presente documento</w:t>
      </w:r>
      <w:r w:rsidRPr="00776EE6">
        <w:rPr>
          <w:rFonts w:eastAsia="Arial"/>
          <w:i/>
          <w:szCs w:val="22"/>
          <w:lang w:val="es-419" w:eastAsia="en-US"/>
        </w:rPr>
        <w:t>;</w:t>
      </w:r>
    </w:p>
    <w:p w14:paraId="641EAB8F" w14:textId="66193FE7" w:rsidR="0052561A" w:rsidRPr="00776EE6" w:rsidRDefault="00EC772A" w:rsidP="00D1094C">
      <w:pPr>
        <w:pStyle w:val="ListParagraph"/>
        <w:widowControl w:val="0"/>
        <w:tabs>
          <w:tab w:val="left" w:pos="6663"/>
        </w:tabs>
        <w:autoSpaceDE w:val="0"/>
        <w:autoSpaceDN w:val="0"/>
        <w:spacing w:after="220"/>
        <w:ind w:left="6096"/>
        <w:rPr>
          <w:rFonts w:eastAsia="Arial"/>
          <w:i/>
          <w:szCs w:val="22"/>
          <w:lang w:val="es-419" w:eastAsia="en-US"/>
        </w:rPr>
      </w:pPr>
      <w:r w:rsidRPr="00776EE6">
        <w:rPr>
          <w:rFonts w:eastAsia="Arial"/>
          <w:i/>
          <w:szCs w:val="22"/>
          <w:lang w:val="es-419" w:eastAsia="en-US"/>
        </w:rPr>
        <w:t>c)</w:t>
      </w:r>
      <w:r w:rsidRPr="00776EE6">
        <w:rPr>
          <w:rFonts w:eastAsia="Arial"/>
          <w:i/>
          <w:szCs w:val="22"/>
          <w:lang w:val="es-419" w:eastAsia="en-US"/>
        </w:rPr>
        <w:tab/>
      </w:r>
      <w:r w:rsidR="00FF4315" w:rsidRPr="00776EE6">
        <w:rPr>
          <w:rFonts w:eastAsia="Arial"/>
          <w:i/>
          <w:szCs w:val="22"/>
          <w:lang w:val="es-419" w:eastAsia="en-US"/>
        </w:rPr>
        <w:t xml:space="preserve">examinar y aprobar el nuevo Apéndice propuesto, titulado “Lista de indicadores de incidencias”, para el Anexo I de la Norma </w:t>
      </w:r>
      <w:r w:rsidRPr="00776EE6">
        <w:rPr>
          <w:rFonts w:eastAsia="Arial"/>
          <w:i/>
          <w:szCs w:val="22"/>
          <w:lang w:val="es-419" w:eastAsia="en-US"/>
        </w:rPr>
        <w:t>ST.27</w:t>
      </w:r>
      <w:r w:rsidR="00FF4315" w:rsidRPr="00776EE6">
        <w:rPr>
          <w:rFonts w:eastAsia="Arial"/>
          <w:i/>
          <w:szCs w:val="22"/>
          <w:lang w:val="es-419" w:eastAsia="en-US"/>
        </w:rPr>
        <w:t xml:space="preserve"> de la OMPI</w:t>
      </w:r>
      <w:r w:rsidRPr="00776EE6">
        <w:rPr>
          <w:rFonts w:eastAsia="Arial"/>
          <w:i/>
          <w:szCs w:val="22"/>
          <w:lang w:val="es-419" w:eastAsia="en-US"/>
        </w:rPr>
        <w:t xml:space="preserve">, </w:t>
      </w:r>
      <w:r w:rsidR="00FF4315" w:rsidRPr="00776EE6">
        <w:rPr>
          <w:rFonts w:eastAsia="Arial"/>
          <w:i/>
          <w:szCs w:val="22"/>
          <w:lang w:val="es-419" w:eastAsia="en-US"/>
        </w:rPr>
        <w:t>expuesto en los párrafos</w:t>
      </w:r>
      <w:r w:rsidRPr="00776EE6">
        <w:rPr>
          <w:rFonts w:eastAsia="Arial"/>
          <w:i/>
          <w:szCs w:val="22"/>
          <w:lang w:val="es-419" w:eastAsia="en-US"/>
        </w:rPr>
        <w:t xml:space="preserve"> 14 </w:t>
      </w:r>
      <w:r w:rsidR="00FF4315" w:rsidRPr="00776EE6">
        <w:rPr>
          <w:rFonts w:eastAsia="Arial"/>
          <w:i/>
          <w:szCs w:val="22"/>
          <w:lang w:val="es-419" w:eastAsia="en-US"/>
        </w:rPr>
        <w:t>a</w:t>
      </w:r>
      <w:r w:rsidRPr="00776EE6">
        <w:rPr>
          <w:rFonts w:eastAsia="Arial"/>
          <w:i/>
          <w:szCs w:val="22"/>
          <w:lang w:val="es-419" w:eastAsia="en-US"/>
        </w:rPr>
        <w:t xml:space="preserve"> 20 </w:t>
      </w:r>
      <w:r w:rsidR="00FF4315" w:rsidRPr="00776EE6">
        <w:rPr>
          <w:rFonts w:eastAsia="Arial"/>
          <w:i/>
          <w:szCs w:val="22"/>
          <w:lang w:val="es-419" w:eastAsia="en-US"/>
        </w:rPr>
        <w:t>del Anexo del presente documento</w:t>
      </w:r>
      <w:r w:rsidRPr="00776EE6">
        <w:rPr>
          <w:rFonts w:eastAsia="Arial"/>
          <w:i/>
          <w:szCs w:val="22"/>
          <w:lang w:val="es-419" w:eastAsia="en-US"/>
        </w:rPr>
        <w:t xml:space="preserve">; </w:t>
      </w:r>
      <w:r w:rsidR="00FF4315" w:rsidRPr="00776EE6">
        <w:rPr>
          <w:rFonts w:eastAsia="Arial"/>
          <w:i/>
          <w:szCs w:val="22"/>
          <w:lang w:val="es-419" w:eastAsia="en-US"/>
        </w:rPr>
        <w:t>y</w:t>
      </w:r>
    </w:p>
    <w:p w14:paraId="07A87C99" w14:textId="3248355B" w:rsidR="0052561A" w:rsidRPr="00776EE6" w:rsidRDefault="00EC772A" w:rsidP="00D1094C">
      <w:pPr>
        <w:pStyle w:val="ListParagraph"/>
        <w:widowControl w:val="0"/>
        <w:tabs>
          <w:tab w:val="left" w:pos="6663"/>
        </w:tabs>
        <w:autoSpaceDE w:val="0"/>
        <w:autoSpaceDN w:val="0"/>
        <w:spacing w:after="600"/>
        <w:ind w:left="6095"/>
        <w:rPr>
          <w:rFonts w:eastAsia="Arial"/>
          <w:i/>
          <w:szCs w:val="22"/>
          <w:lang w:val="es-419" w:eastAsia="en-US"/>
        </w:rPr>
      </w:pPr>
      <w:r w:rsidRPr="00776EE6">
        <w:rPr>
          <w:rFonts w:eastAsia="Arial"/>
          <w:i/>
          <w:szCs w:val="22"/>
          <w:lang w:val="es-419" w:eastAsia="en-US"/>
        </w:rPr>
        <w:t xml:space="preserve">d) </w:t>
      </w:r>
      <w:r w:rsidR="00FF4315" w:rsidRPr="00776EE6">
        <w:rPr>
          <w:rFonts w:eastAsia="Arial"/>
          <w:i/>
          <w:szCs w:val="22"/>
          <w:lang w:val="es-419" w:eastAsia="en-US"/>
        </w:rPr>
        <w:t>examinar y aprobar el plan de trabajo propuesto por el Equipo Técnico</w:t>
      </w:r>
      <w:r w:rsidRPr="00776EE6">
        <w:rPr>
          <w:rFonts w:eastAsia="Arial"/>
          <w:i/>
          <w:szCs w:val="22"/>
          <w:lang w:val="es-419" w:eastAsia="en-US"/>
        </w:rPr>
        <w:t xml:space="preserve"> </w:t>
      </w:r>
      <w:r w:rsidR="00FF4315" w:rsidRPr="00776EE6">
        <w:rPr>
          <w:lang w:val="es-419"/>
        </w:rPr>
        <w:t>de la Situación Jurídica</w:t>
      </w:r>
      <w:r w:rsidR="00FF4315" w:rsidRPr="00776EE6">
        <w:rPr>
          <w:rFonts w:eastAsia="Arial"/>
          <w:i/>
          <w:szCs w:val="22"/>
          <w:lang w:val="es-419" w:eastAsia="en-US"/>
        </w:rPr>
        <w:t xml:space="preserve"> en el párrafo </w:t>
      </w:r>
      <w:r w:rsidRPr="00776EE6">
        <w:rPr>
          <w:rFonts w:eastAsia="Arial"/>
          <w:i/>
          <w:szCs w:val="22"/>
          <w:lang w:val="es-419" w:eastAsia="en-US"/>
        </w:rPr>
        <w:t>21.</w:t>
      </w:r>
    </w:p>
    <w:p w14:paraId="0E7FBC2F" w14:textId="44CE08CD" w:rsidR="00152CEA" w:rsidRPr="00776EE6" w:rsidRDefault="00EC772A" w:rsidP="003B155A">
      <w:pPr>
        <w:pStyle w:val="Endofdocument"/>
        <w:ind w:left="5530"/>
        <w:rPr>
          <w:rFonts w:cs="Arial"/>
          <w:sz w:val="22"/>
          <w:szCs w:val="22"/>
          <w:lang w:val="es-419"/>
        </w:rPr>
      </w:pPr>
      <w:r w:rsidRPr="00776EE6">
        <w:rPr>
          <w:rFonts w:cs="Arial"/>
          <w:sz w:val="22"/>
          <w:szCs w:val="22"/>
          <w:lang w:val="es-419"/>
        </w:rPr>
        <w:t>[</w:t>
      </w:r>
      <w:r w:rsidR="00FF4315" w:rsidRPr="00776EE6">
        <w:rPr>
          <w:rFonts w:cs="Arial"/>
          <w:sz w:val="22"/>
          <w:szCs w:val="22"/>
          <w:lang w:val="es-419"/>
        </w:rPr>
        <w:t xml:space="preserve">Sigue el </w:t>
      </w:r>
      <w:r w:rsidRPr="00776EE6">
        <w:rPr>
          <w:rFonts w:cs="Arial"/>
          <w:sz w:val="22"/>
          <w:szCs w:val="22"/>
          <w:lang w:val="es-419"/>
        </w:rPr>
        <w:t>Anex</w:t>
      </w:r>
      <w:r w:rsidR="00FF4315" w:rsidRPr="00776EE6">
        <w:rPr>
          <w:rFonts w:cs="Arial"/>
          <w:sz w:val="22"/>
          <w:szCs w:val="22"/>
          <w:lang w:val="es-419"/>
        </w:rPr>
        <w:t>o</w:t>
      </w:r>
      <w:r w:rsidRPr="00776EE6">
        <w:rPr>
          <w:rFonts w:cs="Arial"/>
          <w:sz w:val="22"/>
          <w:szCs w:val="22"/>
          <w:lang w:val="es-419"/>
        </w:rPr>
        <w:t>]</w:t>
      </w:r>
    </w:p>
    <w:sectPr w:rsidR="00152CEA" w:rsidRPr="00776EE6" w:rsidSect="006B07AA">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69EDA" w14:textId="77777777" w:rsidR="00290113" w:rsidRDefault="00290113">
      <w:r>
        <w:separator/>
      </w:r>
    </w:p>
  </w:endnote>
  <w:endnote w:type="continuationSeparator" w:id="0">
    <w:p w14:paraId="3D38DFD0" w14:textId="77777777" w:rsidR="00290113" w:rsidRPr="009D30E6" w:rsidRDefault="00290113" w:rsidP="007E663E">
      <w:pPr>
        <w:rPr>
          <w:sz w:val="17"/>
          <w:szCs w:val="17"/>
        </w:rPr>
      </w:pPr>
      <w:r w:rsidRPr="009D30E6">
        <w:rPr>
          <w:sz w:val="17"/>
          <w:szCs w:val="17"/>
        </w:rPr>
        <w:separator/>
      </w:r>
    </w:p>
    <w:p w14:paraId="49EF148A" w14:textId="77777777" w:rsidR="00290113" w:rsidRPr="007E663E" w:rsidRDefault="00290113" w:rsidP="007E663E">
      <w:pPr>
        <w:spacing w:after="60"/>
        <w:rPr>
          <w:sz w:val="17"/>
          <w:szCs w:val="17"/>
        </w:rPr>
      </w:pPr>
      <w:r>
        <w:rPr>
          <w:sz w:val="17"/>
        </w:rPr>
        <w:t>[Continuación de la nota de la página anterior]</w:t>
      </w:r>
    </w:p>
  </w:endnote>
  <w:endnote w:type="continuationNotice" w:id="1">
    <w:p w14:paraId="6C1E3308" w14:textId="77777777" w:rsidR="00290113" w:rsidRPr="007E663E" w:rsidRDefault="0029011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9C409" w14:textId="77777777" w:rsidR="00290113" w:rsidRDefault="00290113">
      <w:r>
        <w:separator/>
      </w:r>
    </w:p>
  </w:footnote>
  <w:footnote w:type="continuationSeparator" w:id="0">
    <w:p w14:paraId="73F325DA" w14:textId="77777777" w:rsidR="00290113" w:rsidRPr="009D30E6" w:rsidRDefault="00290113" w:rsidP="007E663E">
      <w:pPr>
        <w:rPr>
          <w:sz w:val="17"/>
          <w:szCs w:val="17"/>
        </w:rPr>
      </w:pPr>
      <w:r w:rsidRPr="009D30E6">
        <w:rPr>
          <w:sz w:val="17"/>
          <w:szCs w:val="17"/>
        </w:rPr>
        <w:separator/>
      </w:r>
    </w:p>
    <w:p w14:paraId="52001401" w14:textId="77777777" w:rsidR="00290113" w:rsidRPr="007E663E" w:rsidRDefault="00290113" w:rsidP="007E663E">
      <w:pPr>
        <w:spacing w:after="60"/>
        <w:rPr>
          <w:sz w:val="17"/>
          <w:szCs w:val="17"/>
        </w:rPr>
      </w:pPr>
      <w:r>
        <w:rPr>
          <w:sz w:val="17"/>
        </w:rPr>
        <w:t>[Continuación de la nota de la página anterior]</w:t>
      </w:r>
    </w:p>
  </w:footnote>
  <w:footnote w:type="continuationNotice" w:id="1">
    <w:p w14:paraId="3C30B314" w14:textId="77777777" w:rsidR="00290113" w:rsidRPr="007E663E" w:rsidRDefault="0029011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279A0" w14:textId="77777777" w:rsidR="00AE7F20" w:rsidRPr="00776EE6" w:rsidRDefault="006B07AA" w:rsidP="00477D6B">
    <w:pPr>
      <w:jc w:val="right"/>
      <w:rPr>
        <w:caps/>
        <w:lang w:val="es-419"/>
      </w:rPr>
    </w:pPr>
    <w:bookmarkStart w:id="6" w:name="Code2"/>
    <w:bookmarkEnd w:id="6"/>
    <w:r w:rsidRPr="00776EE6">
      <w:rPr>
        <w:caps/>
        <w:lang w:val="es-419"/>
      </w:rPr>
      <w:t>CWS/9/9</w:t>
    </w:r>
  </w:p>
  <w:p w14:paraId="6230AD50" w14:textId="1B892B41" w:rsidR="00AE7F20" w:rsidRPr="00776EE6" w:rsidRDefault="00AE7F20" w:rsidP="00477D6B">
    <w:pPr>
      <w:jc w:val="right"/>
      <w:rPr>
        <w:lang w:val="es-419"/>
      </w:rPr>
    </w:pPr>
    <w:r w:rsidRPr="00776EE6">
      <w:rPr>
        <w:lang w:val="es-419"/>
      </w:rPr>
      <w:t xml:space="preserve">página </w:t>
    </w:r>
    <w:r w:rsidRPr="00776EE6">
      <w:rPr>
        <w:lang w:val="es-419"/>
      </w:rPr>
      <w:fldChar w:fldCharType="begin"/>
    </w:r>
    <w:r w:rsidRPr="00776EE6">
      <w:rPr>
        <w:lang w:val="es-419"/>
      </w:rPr>
      <w:instrText xml:space="preserve"> PAGE  \* MERGEFORMAT </w:instrText>
    </w:r>
    <w:r w:rsidRPr="00776EE6">
      <w:rPr>
        <w:lang w:val="es-419"/>
      </w:rPr>
      <w:fldChar w:fldCharType="separate"/>
    </w:r>
    <w:r w:rsidR="003703D8">
      <w:rPr>
        <w:noProof/>
        <w:lang w:val="es-419"/>
      </w:rPr>
      <w:t>5</w:t>
    </w:r>
    <w:r w:rsidRPr="00776EE6">
      <w:rPr>
        <w:lang w:val="es-419"/>
      </w:rPr>
      <w:fldChar w:fldCharType="end"/>
    </w:r>
  </w:p>
  <w:p w14:paraId="0075CD21" w14:textId="77777777" w:rsidR="00AE7F20" w:rsidRPr="00776EE6" w:rsidRDefault="00AE7F20" w:rsidP="00477D6B">
    <w:pPr>
      <w:jc w:val="right"/>
      <w:rPr>
        <w:lang w:val="es-419"/>
      </w:rPr>
    </w:pPr>
  </w:p>
  <w:p w14:paraId="424B1027" w14:textId="77777777" w:rsidR="00EC1AA7" w:rsidRPr="00776EE6" w:rsidRDefault="00EC1AA7" w:rsidP="00477D6B">
    <w:pPr>
      <w:jc w:val="right"/>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31E47B5"/>
    <w:multiLevelType w:val="multilevel"/>
    <w:tmpl w:val="01708110"/>
    <w:lvl w:ilvl="0">
      <w:start w:val="2"/>
      <w:numFmt w:val="bullet"/>
      <w:lvlText w:val="–"/>
      <w:lvlJc w:val="left"/>
      <w:pPr>
        <w:tabs>
          <w:tab w:val="num" w:pos="1080"/>
        </w:tabs>
        <w:ind w:left="108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empty"/>
    <w:docVar w:name="TermBaseURL" w:val="empty"/>
    <w:docVar w:name="TextBases" w:val="empty"/>
    <w:docVar w:name="TextBaseURL" w:val="empty"/>
    <w:docVar w:name="UILng" w:val="en"/>
  </w:docVars>
  <w:rsids>
    <w:rsidRoot w:val="006B07AA"/>
    <w:rsid w:val="00010686"/>
    <w:rsid w:val="00052915"/>
    <w:rsid w:val="00064A37"/>
    <w:rsid w:val="00081BB7"/>
    <w:rsid w:val="000A4A94"/>
    <w:rsid w:val="000B303A"/>
    <w:rsid w:val="000E3BB3"/>
    <w:rsid w:val="000F5E56"/>
    <w:rsid w:val="001235DE"/>
    <w:rsid w:val="00134DFF"/>
    <w:rsid w:val="001362EE"/>
    <w:rsid w:val="00152CEA"/>
    <w:rsid w:val="001558DD"/>
    <w:rsid w:val="00167338"/>
    <w:rsid w:val="001832A6"/>
    <w:rsid w:val="00196171"/>
    <w:rsid w:val="001A7F46"/>
    <w:rsid w:val="001B0526"/>
    <w:rsid w:val="001E4190"/>
    <w:rsid w:val="0020367D"/>
    <w:rsid w:val="00204A84"/>
    <w:rsid w:val="00216D3C"/>
    <w:rsid w:val="002634C4"/>
    <w:rsid w:val="00281662"/>
    <w:rsid w:val="00290113"/>
    <w:rsid w:val="002C2E2F"/>
    <w:rsid w:val="002D23B5"/>
    <w:rsid w:val="002E0F47"/>
    <w:rsid w:val="002F4E68"/>
    <w:rsid w:val="003024C3"/>
    <w:rsid w:val="00310826"/>
    <w:rsid w:val="003153D5"/>
    <w:rsid w:val="00354647"/>
    <w:rsid w:val="003703D8"/>
    <w:rsid w:val="003706C4"/>
    <w:rsid w:val="00377273"/>
    <w:rsid w:val="003845C1"/>
    <w:rsid w:val="00387287"/>
    <w:rsid w:val="003A2FA1"/>
    <w:rsid w:val="003B155A"/>
    <w:rsid w:val="003C2CB5"/>
    <w:rsid w:val="003E48F1"/>
    <w:rsid w:val="003F347A"/>
    <w:rsid w:val="003F5221"/>
    <w:rsid w:val="00423E3E"/>
    <w:rsid w:val="00427AF4"/>
    <w:rsid w:val="0043141A"/>
    <w:rsid w:val="0045231F"/>
    <w:rsid w:val="004647DA"/>
    <w:rsid w:val="00466EDA"/>
    <w:rsid w:val="0046793F"/>
    <w:rsid w:val="00467E21"/>
    <w:rsid w:val="00472A6E"/>
    <w:rsid w:val="00477808"/>
    <w:rsid w:val="00477D6B"/>
    <w:rsid w:val="004A1FBF"/>
    <w:rsid w:val="004A6C37"/>
    <w:rsid w:val="004B74C4"/>
    <w:rsid w:val="004E1BAB"/>
    <w:rsid w:val="004E21A1"/>
    <w:rsid w:val="004E297D"/>
    <w:rsid w:val="004E5257"/>
    <w:rsid w:val="004F2C0A"/>
    <w:rsid w:val="00517D08"/>
    <w:rsid w:val="005250CD"/>
    <w:rsid w:val="0052561A"/>
    <w:rsid w:val="00531B02"/>
    <w:rsid w:val="005332F0"/>
    <w:rsid w:val="0055013B"/>
    <w:rsid w:val="00571B99"/>
    <w:rsid w:val="0059143F"/>
    <w:rsid w:val="005A1F17"/>
    <w:rsid w:val="005B2EAE"/>
    <w:rsid w:val="005B4633"/>
    <w:rsid w:val="00605827"/>
    <w:rsid w:val="006173A5"/>
    <w:rsid w:val="00633A73"/>
    <w:rsid w:val="00675021"/>
    <w:rsid w:val="006A06C6"/>
    <w:rsid w:val="006B07AA"/>
    <w:rsid w:val="006E446D"/>
    <w:rsid w:val="006F7E58"/>
    <w:rsid w:val="007217EC"/>
    <w:rsid w:val="007224C8"/>
    <w:rsid w:val="007331EB"/>
    <w:rsid w:val="00734348"/>
    <w:rsid w:val="0074607A"/>
    <w:rsid w:val="00747E3F"/>
    <w:rsid w:val="00770DC0"/>
    <w:rsid w:val="00771E7B"/>
    <w:rsid w:val="00776EE6"/>
    <w:rsid w:val="00794BE2"/>
    <w:rsid w:val="00797C64"/>
    <w:rsid w:val="007A5581"/>
    <w:rsid w:val="007B71FE"/>
    <w:rsid w:val="007D6C4A"/>
    <w:rsid w:val="007D781E"/>
    <w:rsid w:val="007E663E"/>
    <w:rsid w:val="00815082"/>
    <w:rsid w:val="00843B74"/>
    <w:rsid w:val="00871E93"/>
    <w:rsid w:val="00877000"/>
    <w:rsid w:val="0088395E"/>
    <w:rsid w:val="008856AD"/>
    <w:rsid w:val="008B2CC1"/>
    <w:rsid w:val="008B5B05"/>
    <w:rsid w:val="008D312C"/>
    <w:rsid w:val="008E6BD6"/>
    <w:rsid w:val="0090731E"/>
    <w:rsid w:val="009156DB"/>
    <w:rsid w:val="00954F6A"/>
    <w:rsid w:val="00966957"/>
    <w:rsid w:val="00966A22"/>
    <w:rsid w:val="00972F03"/>
    <w:rsid w:val="009773C6"/>
    <w:rsid w:val="009823D9"/>
    <w:rsid w:val="0098367F"/>
    <w:rsid w:val="009A0C8B"/>
    <w:rsid w:val="009A17C9"/>
    <w:rsid w:val="009A20CD"/>
    <w:rsid w:val="009B6241"/>
    <w:rsid w:val="00A16FC0"/>
    <w:rsid w:val="00A32C9E"/>
    <w:rsid w:val="00AA41B1"/>
    <w:rsid w:val="00AB01DA"/>
    <w:rsid w:val="00AB613D"/>
    <w:rsid w:val="00AE7F20"/>
    <w:rsid w:val="00B14EDE"/>
    <w:rsid w:val="00B178BE"/>
    <w:rsid w:val="00B35C40"/>
    <w:rsid w:val="00B459E8"/>
    <w:rsid w:val="00B46279"/>
    <w:rsid w:val="00B534D5"/>
    <w:rsid w:val="00B53738"/>
    <w:rsid w:val="00B65A0A"/>
    <w:rsid w:val="00B67CDC"/>
    <w:rsid w:val="00B72D36"/>
    <w:rsid w:val="00B75EC0"/>
    <w:rsid w:val="00BC4164"/>
    <w:rsid w:val="00BD2DCC"/>
    <w:rsid w:val="00BE0D68"/>
    <w:rsid w:val="00BF5A8E"/>
    <w:rsid w:val="00C1087A"/>
    <w:rsid w:val="00C23AA2"/>
    <w:rsid w:val="00C42D13"/>
    <w:rsid w:val="00C443B7"/>
    <w:rsid w:val="00C85AD3"/>
    <w:rsid w:val="00C90559"/>
    <w:rsid w:val="00CA0500"/>
    <w:rsid w:val="00CA2251"/>
    <w:rsid w:val="00CE4BF0"/>
    <w:rsid w:val="00D1094C"/>
    <w:rsid w:val="00D30B0A"/>
    <w:rsid w:val="00D55E20"/>
    <w:rsid w:val="00D56C7C"/>
    <w:rsid w:val="00D703CE"/>
    <w:rsid w:val="00D71B4D"/>
    <w:rsid w:val="00D90289"/>
    <w:rsid w:val="00D93D55"/>
    <w:rsid w:val="00DC4C60"/>
    <w:rsid w:val="00DD6CF4"/>
    <w:rsid w:val="00DD75C3"/>
    <w:rsid w:val="00E0079A"/>
    <w:rsid w:val="00E444DA"/>
    <w:rsid w:val="00E45C84"/>
    <w:rsid w:val="00E504E5"/>
    <w:rsid w:val="00E60637"/>
    <w:rsid w:val="00EA2025"/>
    <w:rsid w:val="00EB0D93"/>
    <w:rsid w:val="00EB4463"/>
    <w:rsid w:val="00EB7A3E"/>
    <w:rsid w:val="00EB7D79"/>
    <w:rsid w:val="00EC1AA7"/>
    <w:rsid w:val="00EC3704"/>
    <w:rsid w:val="00EC401A"/>
    <w:rsid w:val="00EC772A"/>
    <w:rsid w:val="00EF530A"/>
    <w:rsid w:val="00EF6622"/>
    <w:rsid w:val="00EF78A9"/>
    <w:rsid w:val="00F00A66"/>
    <w:rsid w:val="00F16573"/>
    <w:rsid w:val="00F3474A"/>
    <w:rsid w:val="00F34B6E"/>
    <w:rsid w:val="00F4452D"/>
    <w:rsid w:val="00F55408"/>
    <w:rsid w:val="00F66152"/>
    <w:rsid w:val="00F80845"/>
    <w:rsid w:val="00F83E27"/>
    <w:rsid w:val="00F84474"/>
    <w:rsid w:val="00F86911"/>
    <w:rsid w:val="00FA0F0D"/>
    <w:rsid w:val="00FD59D1"/>
    <w:rsid w:val="00FE7116"/>
    <w:rsid w:val="00FF2F79"/>
    <w:rsid w:val="00FF4315"/>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EA8A5"/>
  <w15:docId w15:val="{B7B43221-E799-4871-A04C-3A30AE03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EC772A"/>
    <w:rPr>
      <w:rFonts w:ascii="Arial" w:eastAsia="SimSun" w:hAnsi="Arial" w:cs="Arial"/>
      <w:bCs/>
      <w:iCs/>
      <w:caps/>
      <w:sz w:val="22"/>
      <w:szCs w:val="28"/>
      <w:lang w:val="es-ES" w:eastAsia="zh-CN"/>
    </w:rPr>
  </w:style>
  <w:style w:type="paragraph" w:styleId="ListParagraph">
    <w:name w:val="List Paragraph"/>
    <w:basedOn w:val="Normal"/>
    <w:uiPriority w:val="34"/>
    <w:qFormat/>
    <w:rsid w:val="00EC772A"/>
    <w:pPr>
      <w:ind w:left="567"/>
    </w:pPr>
    <w:rPr>
      <w:lang w:val="en-US"/>
    </w:rPr>
  </w:style>
  <w:style w:type="character" w:customStyle="1" w:styleId="ONUMEChar">
    <w:name w:val="ONUM E Char"/>
    <w:basedOn w:val="DefaultParagraphFont"/>
    <w:link w:val="ONUME"/>
    <w:rsid w:val="00EC772A"/>
    <w:rPr>
      <w:rFonts w:ascii="Arial" w:eastAsia="SimSun" w:hAnsi="Arial" w:cs="Arial"/>
      <w:sz w:val="22"/>
      <w:lang w:val="es-ES" w:eastAsia="zh-CN"/>
    </w:rPr>
  </w:style>
  <w:style w:type="paragraph" w:customStyle="1" w:styleId="Endofdocument">
    <w:name w:val="End of document"/>
    <w:basedOn w:val="Normal"/>
    <w:rsid w:val="00EC772A"/>
    <w:pPr>
      <w:spacing w:line="260" w:lineRule="atLeast"/>
      <w:ind w:left="5534"/>
    </w:pPr>
    <w:rPr>
      <w:rFonts w:eastAsia="Times New Roman"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23530-330A-44DA-942C-066DA0E7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2025</Words>
  <Characters>11543</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CWS/9/</vt:lpstr>
      <vt:lpstr>CWS/9/</vt:lpstr>
    </vt:vector>
  </TitlesOfParts>
  <Company>WIPO</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CWS/9/9</dc:title>
  <dc:creator>WIPO</dc:creator>
  <cp:keywords>FOR OFFICIAL USE ONLY</cp:keywords>
  <cp:lastModifiedBy>CHAVAS Louison</cp:lastModifiedBy>
  <cp:revision>2</cp:revision>
  <dcterms:created xsi:type="dcterms:W3CDTF">2021-09-27T09:26:00Z</dcterms:created>
  <dcterms:modified xsi:type="dcterms:W3CDTF">2021-09-27T09:26:00Z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c6b9fb8d-7be1-454a-84fa-5fcf87092ced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