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534" w:rsidRPr="00A165E4" w:rsidRDefault="00472A6E" w:rsidP="006173A5">
      <w:pPr>
        <w:pBdr>
          <w:bottom w:val="single" w:sz="4" w:space="11" w:color="auto"/>
        </w:pBdr>
        <w:spacing w:after="120"/>
        <w:ind w:right="-57"/>
        <w:jc w:val="right"/>
        <w:rPr>
          <w:lang w:val="es-419"/>
        </w:rPr>
      </w:pPr>
      <w:r w:rsidRPr="00A165E4">
        <w:rPr>
          <w:noProof/>
          <w:lang w:val="en-US"/>
        </w:rPr>
        <w:drawing>
          <wp:inline distT="0" distB="0" distL="0" distR="0">
            <wp:extent cx="3147729" cy="1353054"/>
            <wp:effectExtent l="0" t="0" r="0" b="0"/>
            <wp:docPr id="2" name="Picture 2" descr="Las líneas curvas ascendentes del logotipo de la Organización Mundial de la Propiedad Intelectual evocan el progreso humano impulsado por la innovación y la creatividad." title="WIP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PO_logo_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7729" cy="135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534" w:rsidRPr="00A165E4" w:rsidRDefault="006173A5" w:rsidP="00472A6E">
      <w:pPr>
        <w:jc w:val="right"/>
        <w:rPr>
          <w:rFonts w:ascii="Arial Black" w:hAnsi="Arial Black"/>
          <w:caps/>
          <w:sz w:val="15"/>
          <w:lang w:val="es-419"/>
        </w:rPr>
      </w:pPr>
      <w:r w:rsidRPr="00A165E4">
        <w:rPr>
          <w:rFonts w:ascii="Arial Black" w:hAnsi="Arial Black"/>
          <w:caps/>
          <w:sz w:val="15"/>
          <w:lang w:val="es-419"/>
        </w:rPr>
        <w:t>CWS/9/</w:t>
      </w:r>
      <w:bookmarkStart w:id="0" w:name="Code"/>
      <w:bookmarkEnd w:id="0"/>
      <w:r w:rsidR="00230C31" w:rsidRPr="00A165E4">
        <w:rPr>
          <w:rFonts w:ascii="Arial Black" w:hAnsi="Arial Black"/>
          <w:caps/>
          <w:sz w:val="15"/>
          <w:lang w:val="es-419"/>
        </w:rPr>
        <w:t>8</w:t>
      </w:r>
    </w:p>
    <w:p w:rsidR="00375534" w:rsidRPr="00A165E4" w:rsidRDefault="00472A6E" w:rsidP="00472A6E">
      <w:pPr>
        <w:jc w:val="right"/>
        <w:rPr>
          <w:lang w:val="es-419"/>
        </w:rPr>
      </w:pPr>
      <w:r w:rsidRPr="00A165E4">
        <w:rPr>
          <w:rFonts w:ascii="Arial Black" w:hAnsi="Arial Black"/>
          <w:caps/>
          <w:sz w:val="15"/>
          <w:lang w:val="es-419"/>
        </w:rPr>
        <w:t xml:space="preserve">ORIGINAL: </w:t>
      </w:r>
      <w:bookmarkStart w:id="1" w:name="Original"/>
      <w:r w:rsidR="00230C31" w:rsidRPr="00A165E4">
        <w:rPr>
          <w:rFonts w:ascii="Arial Black" w:hAnsi="Arial Black"/>
          <w:caps/>
          <w:sz w:val="15"/>
          <w:lang w:val="es-419"/>
        </w:rPr>
        <w:t>inglés</w:t>
      </w:r>
    </w:p>
    <w:bookmarkEnd w:id="1"/>
    <w:p w:rsidR="00375534" w:rsidRPr="00A165E4" w:rsidRDefault="00472A6E" w:rsidP="00472A6E">
      <w:pPr>
        <w:spacing w:after="1200"/>
        <w:jc w:val="right"/>
        <w:rPr>
          <w:lang w:val="es-419"/>
        </w:rPr>
      </w:pPr>
      <w:r w:rsidRPr="00A165E4">
        <w:rPr>
          <w:rFonts w:ascii="Arial Black" w:hAnsi="Arial Black"/>
          <w:caps/>
          <w:sz w:val="15"/>
          <w:lang w:val="es-419"/>
        </w:rPr>
        <w:t xml:space="preserve">fecha: </w:t>
      </w:r>
      <w:bookmarkStart w:id="2" w:name="Date"/>
      <w:r w:rsidR="00230C31" w:rsidRPr="00A165E4">
        <w:rPr>
          <w:rFonts w:ascii="Arial Black" w:hAnsi="Arial Black"/>
          <w:caps/>
          <w:sz w:val="15"/>
          <w:lang w:val="es-419"/>
        </w:rPr>
        <w:t>5 de octubre de 2021</w:t>
      </w:r>
    </w:p>
    <w:bookmarkEnd w:id="2"/>
    <w:p w:rsidR="00375534" w:rsidRPr="00A165E4" w:rsidRDefault="00167338" w:rsidP="00472A6E">
      <w:pPr>
        <w:pStyle w:val="Heading1"/>
        <w:spacing w:before="0" w:after="480"/>
        <w:rPr>
          <w:sz w:val="28"/>
          <w:lang w:val="es-419"/>
        </w:rPr>
      </w:pPr>
      <w:r w:rsidRPr="00A165E4">
        <w:rPr>
          <w:caps w:val="0"/>
          <w:sz w:val="28"/>
          <w:szCs w:val="28"/>
          <w:lang w:val="es-419"/>
        </w:rPr>
        <w:t>Comité de Normas Técnicas de la OMPI (CWS)</w:t>
      </w:r>
    </w:p>
    <w:p w:rsidR="00375534" w:rsidRPr="00A165E4" w:rsidRDefault="006173A5" w:rsidP="005B2EAE">
      <w:pPr>
        <w:outlineLvl w:val="1"/>
        <w:rPr>
          <w:b/>
          <w:sz w:val="24"/>
          <w:szCs w:val="24"/>
          <w:lang w:val="es-419"/>
        </w:rPr>
      </w:pPr>
      <w:r w:rsidRPr="00A165E4">
        <w:rPr>
          <w:b/>
          <w:sz w:val="24"/>
          <w:szCs w:val="24"/>
          <w:lang w:val="es-419"/>
        </w:rPr>
        <w:t>Novena sesión</w:t>
      </w:r>
    </w:p>
    <w:p w:rsidR="00375534" w:rsidRPr="00A165E4" w:rsidRDefault="00167338" w:rsidP="00472A6E">
      <w:pPr>
        <w:spacing w:after="720"/>
        <w:outlineLvl w:val="1"/>
        <w:rPr>
          <w:b/>
          <w:sz w:val="24"/>
          <w:szCs w:val="24"/>
          <w:lang w:val="es-419"/>
        </w:rPr>
      </w:pPr>
      <w:r w:rsidRPr="00A165E4">
        <w:rPr>
          <w:b/>
          <w:sz w:val="24"/>
          <w:szCs w:val="24"/>
          <w:lang w:val="es-419"/>
        </w:rPr>
        <w:t>Ginebra, 1 a 5 de noviembre de 2021</w:t>
      </w:r>
    </w:p>
    <w:p w:rsidR="00375534" w:rsidRPr="00A165E4" w:rsidRDefault="00230C31" w:rsidP="00472A6E">
      <w:pPr>
        <w:spacing w:after="360"/>
        <w:rPr>
          <w:caps/>
          <w:sz w:val="24"/>
          <w:lang w:val="es-419"/>
        </w:rPr>
      </w:pPr>
      <w:bookmarkStart w:id="3" w:name="TitleOfDoc"/>
      <w:r w:rsidRPr="00A165E4">
        <w:rPr>
          <w:caps/>
          <w:sz w:val="24"/>
          <w:lang w:val="es-419"/>
        </w:rPr>
        <w:t>Informe sobre el libro blanco relativo a la cadena de bloques en el ecosistema de la PI</w:t>
      </w:r>
    </w:p>
    <w:p w:rsidR="00375534" w:rsidRPr="00A165E4" w:rsidRDefault="00230C31" w:rsidP="00472A6E">
      <w:pPr>
        <w:spacing w:after="1040"/>
        <w:rPr>
          <w:i/>
          <w:lang w:val="es-419"/>
        </w:rPr>
      </w:pPr>
      <w:bookmarkStart w:id="4" w:name="Prepared"/>
      <w:bookmarkEnd w:id="3"/>
      <w:bookmarkEnd w:id="4"/>
      <w:r w:rsidRPr="00A165E4">
        <w:rPr>
          <w:i/>
          <w:lang w:val="es-419"/>
        </w:rPr>
        <w:t>preparado por la Oficina Internacional</w:t>
      </w:r>
    </w:p>
    <w:p w:rsidR="00375534" w:rsidRPr="00A165E4" w:rsidRDefault="005058A1" w:rsidP="005058A1">
      <w:pPr>
        <w:pStyle w:val="Heading2"/>
        <w:spacing w:before="0"/>
        <w:rPr>
          <w:lang w:val="es-419"/>
        </w:rPr>
      </w:pPr>
      <w:r w:rsidRPr="00A165E4">
        <w:rPr>
          <w:lang w:val="es-419"/>
        </w:rPr>
        <w:t>INTRODUCCIÓN</w:t>
      </w:r>
    </w:p>
    <w:p w:rsidR="00375534" w:rsidRPr="00A165E4" w:rsidRDefault="00067B9E" w:rsidP="005058A1">
      <w:pPr>
        <w:pStyle w:val="ONUMFS"/>
        <w:numPr>
          <w:ilvl w:val="0"/>
          <w:numId w:val="0"/>
        </w:numPr>
        <w:rPr>
          <w:szCs w:val="22"/>
          <w:lang w:val="es-419"/>
        </w:rPr>
      </w:pPr>
      <w:r w:rsidRPr="00A165E4">
        <w:rPr>
          <w:lang w:val="es-419"/>
        </w:rPr>
        <w:fldChar w:fldCharType="begin"/>
      </w:r>
      <w:r w:rsidRPr="00A165E4">
        <w:rPr>
          <w:lang w:val="es-419"/>
        </w:rPr>
        <w:instrText xml:space="preserve"> AUTONUM  </w:instrText>
      </w:r>
      <w:r w:rsidRPr="00A165E4">
        <w:rPr>
          <w:lang w:val="es-419"/>
        </w:rPr>
        <w:fldChar w:fldCharType="end"/>
      </w:r>
      <w:r w:rsidRPr="00A165E4">
        <w:rPr>
          <w:lang w:val="es-419"/>
        </w:rPr>
        <w:tab/>
      </w:r>
      <w:r w:rsidR="005058A1" w:rsidRPr="00A165E4">
        <w:rPr>
          <w:lang w:val="es-419"/>
        </w:rPr>
        <w:t>En su sexta sesión, celebrada en 2018, el Comité de Normas Técnicas de la OMPI (CWS) examinó dos propuestas relativas a la tecnología de cadena de bloques</w:t>
      </w:r>
      <w:r w:rsidR="000B7D2A">
        <w:rPr>
          <w:lang w:val="es-419"/>
        </w:rPr>
        <w:t>,</w:t>
      </w:r>
      <w:r w:rsidR="005058A1" w:rsidRPr="00A165E4">
        <w:rPr>
          <w:lang w:val="es-419"/>
        </w:rPr>
        <w:t xml:space="preserve"> y señaló que varias OPI han utilizado la tecnología de cadena de bloques para la gestión de la PI y que algunas delegaciones tienen varios proyectos en curso que están analizando el uso de la cadena de bloques en el ámbito de la PI.</w:t>
      </w:r>
      <w:r w:rsidR="005756D1">
        <w:rPr>
          <w:lang w:val="es-419"/>
        </w:rPr>
        <w:t xml:space="preserve"> </w:t>
      </w:r>
      <w:r w:rsidR="005058A1" w:rsidRPr="00A165E4">
        <w:rPr>
          <w:lang w:val="es-419"/>
        </w:rPr>
        <w:t>El CWS creó la Tarea N.º 59 destinada a preparar una propuesta de nueva norma técnica de la OMPI que aplique la tecnología de cadena de bloques a los ecosistemas de la PI y estableció el Equipo Técnico sobre la Cadena de Bloques.</w:t>
      </w:r>
      <w:r w:rsidRPr="00A165E4">
        <w:rPr>
          <w:szCs w:val="22"/>
          <w:lang w:val="es-419"/>
        </w:rPr>
        <w:t xml:space="preserve"> </w:t>
      </w:r>
      <w:r w:rsidR="005058A1" w:rsidRPr="00A165E4">
        <w:rPr>
          <w:szCs w:val="22"/>
          <w:lang w:val="es-419"/>
        </w:rPr>
        <w:t>(Véanse los párrafos 28 a 31 del documento CWS/6/34).</w:t>
      </w:r>
    </w:p>
    <w:p w:rsidR="00375534" w:rsidRPr="00A165E4" w:rsidRDefault="00067B9E" w:rsidP="00067B9E">
      <w:pPr>
        <w:pStyle w:val="ONUMFS"/>
        <w:numPr>
          <w:ilvl w:val="0"/>
          <w:numId w:val="0"/>
        </w:numPr>
        <w:rPr>
          <w:szCs w:val="22"/>
          <w:lang w:val="es-419"/>
        </w:rPr>
      </w:pPr>
      <w:r w:rsidRPr="00A165E4">
        <w:rPr>
          <w:szCs w:val="22"/>
          <w:lang w:val="es-419"/>
        </w:rPr>
        <w:fldChar w:fldCharType="begin"/>
      </w:r>
      <w:r w:rsidRPr="00A165E4">
        <w:rPr>
          <w:szCs w:val="22"/>
          <w:lang w:val="es-419"/>
        </w:rPr>
        <w:instrText xml:space="preserve"> AUTONUM  </w:instrText>
      </w:r>
      <w:r w:rsidRPr="00A165E4">
        <w:rPr>
          <w:szCs w:val="22"/>
          <w:lang w:val="es-419"/>
        </w:rPr>
        <w:fldChar w:fldCharType="end"/>
      </w:r>
      <w:r w:rsidRPr="00A165E4">
        <w:rPr>
          <w:szCs w:val="22"/>
          <w:lang w:val="es-419"/>
        </w:rPr>
        <w:tab/>
      </w:r>
      <w:r w:rsidR="00D31C89" w:rsidRPr="00A165E4">
        <w:rPr>
          <w:szCs w:val="22"/>
          <w:lang w:val="es-419"/>
        </w:rPr>
        <w:t>En 2019 la Oficina internacional organizó un</w:t>
      </w:r>
      <w:r w:rsidRPr="00A165E4">
        <w:rPr>
          <w:szCs w:val="22"/>
          <w:lang w:val="es-419"/>
        </w:rPr>
        <w:t xml:space="preserve"> </w:t>
      </w:r>
      <w:hyperlink r:id="rId9" w:history="1">
        <w:r w:rsidR="00D31C89" w:rsidRPr="00A165E4">
          <w:rPr>
            <w:rStyle w:val="Hyperlink"/>
            <w:szCs w:val="22"/>
            <w:lang w:val="es-419"/>
          </w:rPr>
          <w:t>taller sobre la cadena de bloques y la PI</w:t>
        </w:r>
      </w:hyperlink>
      <w:r w:rsidRPr="00A165E4">
        <w:rPr>
          <w:szCs w:val="22"/>
          <w:lang w:val="es-419"/>
        </w:rPr>
        <w:t xml:space="preserve">. </w:t>
      </w:r>
      <w:r w:rsidR="00D31C89" w:rsidRPr="00A165E4">
        <w:rPr>
          <w:szCs w:val="22"/>
          <w:lang w:val="es-419"/>
        </w:rPr>
        <w:t xml:space="preserve">Los participantes en el taller apelaron al liderazgo de la OMPI para </w:t>
      </w:r>
      <w:r w:rsidR="00113CE6" w:rsidRPr="00A165E4">
        <w:rPr>
          <w:szCs w:val="22"/>
          <w:lang w:val="es-419"/>
        </w:rPr>
        <w:t>respald</w:t>
      </w:r>
      <w:r w:rsidR="00D31C89" w:rsidRPr="00A165E4">
        <w:rPr>
          <w:szCs w:val="22"/>
          <w:lang w:val="es-419"/>
        </w:rPr>
        <w:t>ar la aplicación de tecnologías basadas en la cadena de bloques en el ecosistema de la PI</w:t>
      </w:r>
      <w:r w:rsidRPr="00A165E4">
        <w:rPr>
          <w:szCs w:val="22"/>
          <w:lang w:val="es-419"/>
        </w:rPr>
        <w:t>. (</w:t>
      </w:r>
      <w:r w:rsidR="00D31C89" w:rsidRPr="00A165E4">
        <w:rPr>
          <w:szCs w:val="22"/>
          <w:lang w:val="es-419"/>
        </w:rPr>
        <w:t>Véase el documento</w:t>
      </w:r>
      <w:r w:rsidRPr="00A165E4">
        <w:rPr>
          <w:szCs w:val="22"/>
          <w:lang w:val="es-419"/>
        </w:rPr>
        <w:t xml:space="preserve"> CWS/7/6.)</w:t>
      </w:r>
    </w:p>
    <w:p w:rsidR="00375534" w:rsidRPr="00A165E4" w:rsidRDefault="00067B9E" w:rsidP="00067B9E">
      <w:pPr>
        <w:pStyle w:val="ONUMFS"/>
        <w:numPr>
          <w:ilvl w:val="0"/>
          <w:numId w:val="0"/>
        </w:numPr>
        <w:rPr>
          <w:lang w:val="es-419"/>
        </w:rPr>
      </w:pPr>
      <w:r w:rsidRPr="00A165E4">
        <w:rPr>
          <w:lang w:val="es-419"/>
        </w:rPr>
        <w:fldChar w:fldCharType="begin"/>
      </w:r>
      <w:r w:rsidRPr="00A165E4">
        <w:rPr>
          <w:lang w:val="es-419"/>
        </w:rPr>
        <w:instrText xml:space="preserve"> AUTONUM  </w:instrText>
      </w:r>
      <w:r w:rsidRPr="00A165E4">
        <w:rPr>
          <w:lang w:val="es-419"/>
        </w:rPr>
        <w:fldChar w:fldCharType="end"/>
      </w:r>
      <w:r w:rsidRPr="00A165E4">
        <w:rPr>
          <w:lang w:val="es-419"/>
        </w:rPr>
        <w:tab/>
      </w:r>
      <w:r w:rsidR="001A37D3" w:rsidRPr="00A165E4">
        <w:rPr>
          <w:lang w:val="es-419"/>
        </w:rPr>
        <w:t>Con el fin de estudiar los efectos que la cadena de bloques podría tener en los sistemas de PI y apoyar al Equipo Técnico sobre la Cadena de Bloques, en mayo de 2020 la Oficina Internacional de la OMPI puso en marcha el proyecto del libro blanco re</w:t>
      </w:r>
      <w:r w:rsidR="005756D1">
        <w:rPr>
          <w:lang w:val="es-419"/>
        </w:rPr>
        <w:t xml:space="preserve">lativo a la cadena de bloques. </w:t>
      </w:r>
      <w:r w:rsidR="001A37D3" w:rsidRPr="00A165E4">
        <w:rPr>
          <w:lang w:val="es-419"/>
        </w:rPr>
        <w:t>El objetivo del proyecto es analizar las posibles aplicaciones y oportunidades que la cadena de bloques ofrece a los</w:t>
      </w:r>
      <w:r w:rsidR="005756D1">
        <w:rPr>
          <w:lang w:val="es-419"/>
        </w:rPr>
        <w:t xml:space="preserve"> ecosistemas de PI existentes. </w:t>
      </w:r>
      <w:r w:rsidR="001A37D3" w:rsidRPr="00A165E4">
        <w:rPr>
          <w:lang w:val="es-419"/>
        </w:rPr>
        <w:t xml:space="preserve">También se pretende señalar los desafíos y las cuestiones que es necesario afrontar para determinar la viabilidad y la eficacia en función de los costos de implantar dichas tecnologías en los ecosistemas de </w:t>
      </w:r>
      <w:r w:rsidR="00FB324C" w:rsidRPr="00A165E4">
        <w:rPr>
          <w:lang w:val="es-419"/>
        </w:rPr>
        <w:t xml:space="preserve">la </w:t>
      </w:r>
      <w:r w:rsidR="001A37D3" w:rsidRPr="00A165E4">
        <w:rPr>
          <w:lang w:val="es-419"/>
        </w:rPr>
        <w:t>PI.</w:t>
      </w:r>
    </w:p>
    <w:p w:rsidR="00375534" w:rsidRPr="00A165E4" w:rsidRDefault="00067B9E" w:rsidP="008412AB">
      <w:pPr>
        <w:pStyle w:val="ONUMFS"/>
        <w:numPr>
          <w:ilvl w:val="0"/>
          <w:numId w:val="0"/>
        </w:numPr>
        <w:rPr>
          <w:lang w:val="es-419"/>
        </w:rPr>
      </w:pPr>
      <w:r w:rsidRPr="00A165E4">
        <w:rPr>
          <w:lang w:val="es-419"/>
        </w:rPr>
        <w:lastRenderedPageBreak/>
        <w:fldChar w:fldCharType="begin"/>
      </w:r>
      <w:r w:rsidRPr="00A165E4">
        <w:rPr>
          <w:lang w:val="es-419"/>
        </w:rPr>
        <w:instrText xml:space="preserve"> AUTONUM  </w:instrText>
      </w:r>
      <w:r w:rsidRPr="00A165E4">
        <w:rPr>
          <w:lang w:val="es-419"/>
        </w:rPr>
        <w:fldChar w:fldCharType="end"/>
      </w:r>
      <w:r w:rsidRPr="00A165E4">
        <w:rPr>
          <w:lang w:val="es-419"/>
        </w:rPr>
        <w:tab/>
      </w:r>
      <w:r w:rsidR="005700C0" w:rsidRPr="00A165E4">
        <w:rPr>
          <w:lang w:val="es-419"/>
        </w:rPr>
        <w:t>En su octava sesión, celebrada en 2020, el CWS señaló que la Oficina Internacional estaba preparando un libro blanco relativo a la cadena de bloques en el ecosistema de la PI</w:t>
      </w:r>
      <w:r w:rsidR="004E17C6" w:rsidRPr="00A165E4">
        <w:rPr>
          <w:lang w:val="es-419"/>
        </w:rPr>
        <w:t>,</w:t>
      </w:r>
      <w:r w:rsidRPr="00A165E4">
        <w:rPr>
          <w:lang w:val="es-419"/>
        </w:rPr>
        <w:t xml:space="preserve"> </w:t>
      </w:r>
      <w:r w:rsidR="005700C0" w:rsidRPr="00A165E4">
        <w:rPr>
          <w:lang w:val="es-419"/>
        </w:rPr>
        <w:t xml:space="preserve">y el 25 de junio de 2020 la Oficina Internacional organizó el </w:t>
      </w:r>
      <w:hyperlink r:id="rId10" w:history="1">
        <w:r w:rsidR="00746CC7" w:rsidRPr="00A165E4">
          <w:rPr>
            <w:rStyle w:val="Hyperlink"/>
            <w:szCs w:val="22"/>
            <w:lang w:val="es-419"/>
          </w:rPr>
          <w:t>seminario web de la OMPI sobre la cadena de bloques en el ámbito de la PI</w:t>
        </w:r>
      </w:hyperlink>
      <w:r w:rsidR="005756D1">
        <w:rPr>
          <w:szCs w:val="22"/>
          <w:lang w:val="es-419"/>
        </w:rPr>
        <w:t xml:space="preserve">. </w:t>
      </w:r>
      <w:r w:rsidR="008412AB" w:rsidRPr="00A165E4">
        <w:rPr>
          <w:szCs w:val="22"/>
          <w:lang w:val="es-419"/>
        </w:rPr>
        <w:t>El seminario web tenía por objeto explicar los objetivos y el alcance del proyecto de</w:t>
      </w:r>
      <w:r w:rsidR="00B40887">
        <w:rPr>
          <w:szCs w:val="22"/>
          <w:lang w:val="es-419"/>
        </w:rPr>
        <w:t>l</w:t>
      </w:r>
      <w:r w:rsidR="008412AB" w:rsidRPr="00A165E4">
        <w:rPr>
          <w:szCs w:val="22"/>
          <w:lang w:val="es-419"/>
        </w:rPr>
        <w:t xml:space="preserve"> libro blanco y examinar los resultados de las actividades en la fase inicial, incluidos los posibles usos de la tecnología de cadena de bloques en el ámbito de la PI.</w:t>
      </w:r>
      <w:r w:rsidR="005756D1">
        <w:rPr>
          <w:szCs w:val="22"/>
          <w:lang w:val="es-419"/>
        </w:rPr>
        <w:t xml:space="preserve"> </w:t>
      </w:r>
      <w:r w:rsidR="008412AB" w:rsidRPr="00A165E4">
        <w:rPr>
          <w:szCs w:val="22"/>
          <w:lang w:val="es-419"/>
        </w:rPr>
        <w:t>(Véanse los párrafos 8 a 11 del documento CWS/8/15.)</w:t>
      </w:r>
    </w:p>
    <w:p w:rsidR="00375534" w:rsidRPr="00A165E4" w:rsidRDefault="00E360AB" w:rsidP="008412AB">
      <w:pPr>
        <w:pStyle w:val="Heading2"/>
        <w:spacing w:before="0"/>
        <w:rPr>
          <w:lang w:val="es-419"/>
        </w:rPr>
      </w:pPr>
      <w:r>
        <w:rPr>
          <w:color w:val="000000"/>
          <w:lang w:val="es-419"/>
        </w:rPr>
        <w:t xml:space="preserve">EL </w:t>
      </w:r>
      <w:r w:rsidR="008412AB" w:rsidRPr="00A165E4">
        <w:rPr>
          <w:color w:val="000000"/>
          <w:lang w:val="es-419"/>
        </w:rPr>
        <w:t>LIBRO BLANCO RELATIVO A LA CADENA DE BLOQUES</w:t>
      </w:r>
    </w:p>
    <w:p w:rsidR="00375534" w:rsidRPr="00A165E4" w:rsidRDefault="00067B9E" w:rsidP="00067B9E">
      <w:pPr>
        <w:pStyle w:val="ONUMFS"/>
        <w:numPr>
          <w:ilvl w:val="0"/>
          <w:numId w:val="0"/>
        </w:numPr>
        <w:spacing w:after="120"/>
        <w:rPr>
          <w:szCs w:val="22"/>
          <w:lang w:val="es-419"/>
        </w:rPr>
      </w:pPr>
      <w:r w:rsidRPr="00A165E4">
        <w:rPr>
          <w:szCs w:val="22"/>
          <w:lang w:val="es-419"/>
        </w:rPr>
        <w:fldChar w:fldCharType="begin"/>
      </w:r>
      <w:r w:rsidRPr="00A165E4">
        <w:rPr>
          <w:szCs w:val="22"/>
          <w:lang w:val="es-419"/>
        </w:rPr>
        <w:instrText xml:space="preserve"> AUTONUM  </w:instrText>
      </w:r>
      <w:r w:rsidRPr="00A165E4">
        <w:rPr>
          <w:szCs w:val="22"/>
          <w:lang w:val="es-419"/>
        </w:rPr>
        <w:fldChar w:fldCharType="end"/>
      </w:r>
      <w:r w:rsidRPr="00A165E4">
        <w:rPr>
          <w:szCs w:val="22"/>
          <w:lang w:val="es-419"/>
        </w:rPr>
        <w:tab/>
      </w:r>
      <w:r w:rsidR="00DC3A37">
        <w:rPr>
          <w:szCs w:val="22"/>
          <w:lang w:val="es-419"/>
        </w:rPr>
        <w:t>Para preparar este libro blanco</w:t>
      </w:r>
      <w:r w:rsidR="00E25B3B" w:rsidRPr="00A165E4">
        <w:rPr>
          <w:szCs w:val="22"/>
          <w:lang w:val="es-419"/>
        </w:rPr>
        <w:t xml:space="preserve"> se llevaron a cabo las tres actividades siguientes:</w:t>
      </w:r>
    </w:p>
    <w:p w:rsidR="00375534" w:rsidRPr="00A165E4" w:rsidRDefault="00E25B3B" w:rsidP="008D2779">
      <w:pPr>
        <w:pStyle w:val="ListParagraph"/>
        <w:numPr>
          <w:ilvl w:val="0"/>
          <w:numId w:val="7"/>
        </w:numPr>
        <w:spacing w:after="120"/>
        <w:ind w:left="720" w:hanging="360"/>
        <w:contextualSpacing w:val="0"/>
        <w:rPr>
          <w:szCs w:val="22"/>
          <w:lang w:val="es-419"/>
        </w:rPr>
      </w:pPr>
      <w:r w:rsidRPr="00A165E4">
        <w:rPr>
          <w:szCs w:val="22"/>
          <w:lang w:val="es-419"/>
        </w:rPr>
        <w:t>investigación documental, que incluyó publicaciones, referencias bibliográfica</w:t>
      </w:r>
      <w:r w:rsidR="0024012E">
        <w:rPr>
          <w:szCs w:val="22"/>
          <w:lang w:val="es-419"/>
        </w:rPr>
        <w:t>s, proyectos e ideas relacionado</w:t>
      </w:r>
      <w:r w:rsidRPr="00A165E4">
        <w:rPr>
          <w:szCs w:val="22"/>
          <w:lang w:val="es-419"/>
        </w:rPr>
        <w:t>s con la cadena de bloques, los ecosistemas de la PI y las aplicaciones de la cadena de bloques dentro de l</w:t>
      </w:r>
      <w:r w:rsidR="005756D1">
        <w:rPr>
          <w:szCs w:val="22"/>
          <w:lang w:val="es-419"/>
        </w:rPr>
        <w:t xml:space="preserve">os ecosistemas de la PI. </w:t>
      </w:r>
      <w:r w:rsidRPr="00A165E4">
        <w:rPr>
          <w:szCs w:val="22"/>
          <w:lang w:val="es-419"/>
        </w:rPr>
        <w:t>Los resultados de esta investigación se analizaron y los proyectos e iniciativas encontrados se clasificaron atendiendo a la percepción sobre su grado de interés para los ecosistemas de la PI;</w:t>
      </w:r>
    </w:p>
    <w:p w:rsidR="00375534" w:rsidRPr="00A165E4" w:rsidRDefault="00E25B3B" w:rsidP="008D2779">
      <w:pPr>
        <w:pStyle w:val="ListParagraph"/>
        <w:numPr>
          <w:ilvl w:val="0"/>
          <w:numId w:val="7"/>
        </w:numPr>
        <w:spacing w:after="120"/>
        <w:ind w:left="720" w:hanging="360"/>
        <w:contextualSpacing w:val="0"/>
        <w:rPr>
          <w:szCs w:val="22"/>
          <w:lang w:val="es-419"/>
        </w:rPr>
      </w:pPr>
      <w:r w:rsidRPr="00A165E4">
        <w:rPr>
          <w:szCs w:val="22"/>
          <w:lang w:val="es-419"/>
        </w:rPr>
        <w:t>una encuesta en línea enviada a los posibles participantes que desempeñan una función en l</w:t>
      </w:r>
      <w:r w:rsidR="005413E1" w:rsidRPr="00A165E4">
        <w:rPr>
          <w:szCs w:val="22"/>
          <w:lang w:val="es-419"/>
        </w:rPr>
        <w:t>os sectore</w:t>
      </w:r>
      <w:r w:rsidRPr="00A165E4">
        <w:rPr>
          <w:szCs w:val="22"/>
          <w:lang w:val="es-419"/>
        </w:rPr>
        <w:t>s de la cadena de bloques y de la PI; el libro blanco recoge 139 respuestas; y</w:t>
      </w:r>
    </w:p>
    <w:p w:rsidR="00375534" w:rsidRPr="00A165E4" w:rsidRDefault="008D2779" w:rsidP="008D2779">
      <w:pPr>
        <w:pStyle w:val="ListParagraph"/>
        <w:numPr>
          <w:ilvl w:val="0"/>
          <w:numId w:val="7"/>
        </w:numPr>
        <w:spacing w:after="120"/>
        <w:ind w:left="720" w:hanging="360"/>
        <w:contextualSpacing w:val="0"/>
        <w:rPr>
          <w:szCs w:val="22"/>
          <w:lang w:val="es-419"/>
        </w:rPr>
      </w:pPr>
      <w:r w:rsidRPr="00A165E4">
        <w:rPr>
          <w:szCs w:val="22"/>
          <w:lang w:val="es-419"/>
        </w:rPr>
        <w:t>entrevistas con 10 organizaciones y entidades de los sectores de la PI y de la cadena de bloques que tienen experiencia en la apli</w:t>
      </w:r>
      <w:r w:rsidR="00BA052D">
        <w:rPr>
          <w:szCs w:val="22"/>
          <w:lang w:val="es-419"/>
        </w:rPr>
        <w:t xml:space="preserve">cación de las tecnologías de </w:t>
      </w:r>
      <w:r w:rsidRPr="00A165E4">
        <w:rPr>
          <w:szCs w:val="22"/>
          <w:lang w:val="es-419"/>
        </w:rPr>
        <w:t>cadena de bloques en el ámbito de la PI.</w:t>
      </w:r>
    </w:p>
    <w:p w:rsidR="00375534" w:rsidRPr="00A165E4" w:rsidRDefault="00067B9E" w:rsidP="00067B9E">
      <w:pPr>
        <w:pStyle w:val="ONUMFS"/>
        <w:numPr>
          <w:ilvl w:val="0"/>
          <w:numId w:val="0"/>
        </w:numPr>
        <w:rPr>
          <w:szCs w:val="22"/>
          <w:lang w:val="es-419"/>
        </w:rPr>
      </w:pPr>
      <w:r w:rsidRPr="00A165E4">
        <w:rPr>
          <w:szCs w:val="22"/>
          <w:lang w:val="es-419"/>
        </w:rPr>
        <w:fldChar w:fldCharType="begin"/>
      </w:r>
      <w:r w:rsidRPr="00A165E4">
        <w:rPr>
          <w:szCs w:val="22"/>
          <w:lang w:val="es-419"/>
        </w:rPr>
        <w:instrText xml:space="preserve"> AUTONUM  </w:instrText>
      </w:r>
      <w:r w:rsidRPr="00A165E4">
        <w:rPr>
          <w:szCs w:val="22"/>
          <w:lang w:val="es-419"/>
        </w:rPr>
        <w:fldChar w:fldCharType="end"/>
      </w:r>
      <w:r w:rsidRPr="00A165E4">
        <w:rPr>
          <w:szCs w:val="22"/>
          <w:lang w:val="es-419"/>
        </w:rPr>
        <w:tab/>
      </w:r>
      <w:r w:rsidR="002D2D90" w:rsidRPr="00A165E4">
        <w:rPr>
          <w:szCs w:val="22"/>
          <w:lang w:val="es-419"/>
        </w:rPr>
        <w:t>Los proyectos del libro blanco se sometieron al examen de las oficinas del Equipo Técnico sobre la Cadena de Bloques y de varios ámbitos de trabajo de la Oficina Internacional, que formula</w:t>
      </w:r>
      <w:r w:rsidR="005756D1">
        <w:rPr>
          <w:szCs w:val="22"/>
          <w:lang w:val="es-419"/>
        </w:rPr>
        <w:t xml:space="preserve">ron observaciones al respecto. </w:t>
      </w:r>
      <w:r w:rsidR="002D2D90" w:rsidRPr="00A165E4">
        <w:rPr>
          <w:szCs w:val="22"/>
          <w:lang w:val="es-419"/>
        </w:rPr>
        <w:t xml:space="preserve">Teniendo en cuenta todas las aportaciones recibidas, se preparó el proyecto </w:t>
      </w:r>
      <w:r w:rsidR="00BF2A4D">
        <w:rPr>
          <w:szCs w:val="22"/>
          <w:lang w:val="es-419"/>
        </w:rPr>
        <w:t>definitivo</w:t>
      </w:r>
      <w:r w:rsidR="002D2D90" w:rsidRPr="00A165E4">
        <w:rPr>
          <w:szCs w:val="22"/>
          <w:lang w:val="es-419"/>
        </w:rPr>
        <w:t xml:space="preserve"> del libro blanco, que consta de seis partes, a saber, el resumen, el cuerpo principal y cuatro anexos, incluido el Anexo IV, en el que figura el modelo de los ide</w:t>
      </w:r>
      <w:r w:rsidR="005756D1">
        <w:rPr>
          <w:szCs w:val="22"/>
          <w:lang w:val="es-419"/>
        </w:rPr>
        <w:t xml:space="preserve">ntificadores descentralizados. </w:t>
      </w:r>
      <w:r w:rsidR="002D2D90" w:rsidRPr="00A165E4">
        <w:rPr>
          <w:szCs w:val="22"/>
          <w:lang w:val="es-419"/>
        </w:rPr>
        <w:t>La Oficina Internacional tiene previsto publicar el libro blanco en el sitio web de la OMPI en noviembre de 2021, una vez esté editado y diseñado.</w:t>
      </w:r>
    </w:p>
    <w:p w:rsidR="00375534" w:rsidRPr="00A165E4" w:rsidRDefault="00067B9E" w:rsidP="00067B9E">
      <w:pPr>
        <w:pStyle w:val="ONUMFS"/>
        <w:numPr>
          <w:ilvl w:val="0"/>
          <w:numId w:val="0"/>
        </w:numPr>
        <w:rPr>
          <w:szCs w:val="22"/>
          <w:lang w:val="es-419"/>
        </w:rPr>
      </w:pPr>
      <w:r w:rsidRPr="00A165E4">
        <w:rPr>
          <w:lang w:val="es-419"/>
        </w:rPr>
        <w:fldChar w:fldCharType="begin"/>
      </w:r>
      <w:r w:rsidRPr="00A165E4">
        <w:rPr>
          <w:lang w:val="es-419"/>
        </w:rPr>
        <w:instrText xml:space="preserve"> AUTONUM  </w:instrText>
      </w:r>
      <w:r w:rsidRPr="00A165E4">
        <w:rPr>
          <w:lang w:val="es-419"/>
        </w:rPr>
        <w:fldChar w:fldCharType="end"/>
      </w:r>
      <w:r w:rsidRPr="00A165E4">
        <w:rPr>
          <w:lang w:val="es-419"/>
        </w:rPr>
        <w:tab/>
      </w:r>
      <w:r w:rsidR="004765C8" w:rsidRPr="00A165E4">
        <w:rPr>
          <w:lang w:val="es-419"/>
        </w:rPr>
        <w:t xml:space="preserve">Además, el 28 de septiembre de 2021 la Oficina Internacional organizó un seminario web en torno a la publicación del libro blanco relativo a la cadena de bloques en el ecosistema de la PI, en el que se presentó el proyecto </w:t>
      </w:r>
      <w:r w:rsidR="00BF2A4D">
        <w:rPr>
          <w:lang w:val="es-419"/>
        </w:rPr>
        <w:t>definitivo</w:t>
      </w:r>
      <w:r w:rsidR="004765C8" w:rsidRPr="00A165E4">
        <w:rPr>
          <w:lang w:val="es-419"/>
        </w:rPr>
        <w:t xml:space="preserve">; se puede obtener más información sobre el seminario web, la grabación en video y la documentación utilizada en el evento en el sitio web de la OMPI, en la dirección </w:t>
      </w:r>
      <w:hyperlink r:id="rId11" w:history="1">
        <w:r w:rsidR="004765C8" w:rsidRPr="00A165E4">
          <w:rPr>
            <w:rStyle w:val="Hyperlink"/>
            <w:lang w:val="es-419"/>
          </w:rPr>
          <w:t>https://www.wipo.int/meetings/es/details.jsp?meeting_id=66030</w:t>
        </w:r>
      </w:hyperlink>
      <w:r w:rsidRPr="00A165E4">
        <w:rPr>
          <w:lang w:val="es-419"/>
        </w:rPr>
        <w:t>.</w:t>
      </w:r>
    </w:p>
    <w:p w:rsidR="00375534" w:rsidRPr="00A165E4" w:rsidRDefault="00067B9E" w:rsidP="00472369">
      <w:pPr>
        <w:pStyle w:val="ONUMFS"/>
        <w:numPr>
          <w:ilvl w:val="0"/>
          <w:numId w:val="0"/>
        </w:numPr>
        <w:rPr>
          <w:szCs w:val="22"/>
          <w:lang w:val="es-419"/>
        </w:rPr>
      </w:pPr>
      <w:r w:rsidRPr="00A165E4">
        <w:rPr>
          <w:lang w:val="es-419"/>
        </w:rPr>
        <w:fldChar w:fldCharType="begin"/>
      </w:r>
      <w:r w:rsidRPr="00A165E4">
        <w:rPr>
          <w:lang w:val="es-419"/>
        </w:rPr>
        <w:instrText xml:space="preserve"> AUTONUM  </w:instrText>
      </w:r>
      <w:r w:rsidRPr="00A165E4">
        <w:rPr>
          <w:lang w:val="es-419"/>
        </w:rPr>
        <w:fldChar w:fldCharType="end"/>
      </w:r>
      <w:r w:rsidRPr="00A165E4">
        <w:rPr>
          <w:lang w:val="es-419"/>
        </w:rPr>
        <w:tab/>
      </w:r>
      <w:r w:rsidR="00BB4A43" w:rsidRPr="00A165E4">
        <w:rPr>
          <w:lang w:val="es-419"/>
        </w:rPr>
        <w:t xml:space="preserve">Mientras tanto, a petición de miembros y observadores del CWS, la Oficina Internacional presenta el proyecto </w:t>
      </w:r>
      <w:r w:rsidR="00BF2A4D">
        <w:rPr>
          <w:lang w:val="es-419"/>
        </w:rPr>
        <w:t>definitivo</w:t>
      </w:r>
      <w:r w:rsidR="00BB4A43" w:rsidRPr="00A165E4">
        <w:rPr>
          <w:lang w:val="es-419"/>
        </w:rPr>
        <w:t xml:space="preserve"> en esta sesión del CWS como Anexo del presente documento, a los fines de comprobac</w:t>
      </w:r>
      <w:r w:rsidR="005756D1">
        <w:rPr>
          <w:lang w:val="es-419"/>
        </w:rPr>
        <w:t>ión de la información objetiva.</w:t>
      </w:r>
      <w:r w:rsidR="00BB4A43" w:rsidRPr="00A165E4">
        <w:rPr>
          <w:lang w:val="es-419"/>
        </w:rPr>
        <w:t xml:space="preserve"> Dado que el libro blanco no es un documento destinado a la adopción de acuerdos sobre cuestiones, sino un documento basado en hechos, se invita a los miembros y observadores del CWS a </w:t>
      </w:r>
      <w:r w:rsidR="00E5439B">
        <w:rPr>
          <w:lang w:val="es-419"/>
        </w:rPr>
        <w:t>que comprueben</w:t>
      </w:r>
      <w:r w:rsidR="00BB4A43" w:rsidRPr="00A165E4">
        <w:rPr>
          <w:lang w:val="es-419"/>
        </w:rPr>
        <w:t xml:space="preserve"> la información incluida en el proyecto </w:t>
      </w:r>
      <w:r w:rsidR="00BF2A4D">
        <w:rPr>
          <w:lang w:val="es-419"/>
        </w:rPr>
        <w:t>definitivo</w:t>
      </w:r>
      <w:r w:rsidR="00BB4A43" w:rsidRPr="00A165E4">
        <w:rPr>
          <w:lang w:val="es-419"/>
        </w:rPr>
        <w:t xml:space="preserve"> para asegurarse de su exactitud y a </w:t>
      </w:r>
      <w:r w:rsidR="006C6299">
        <w:rPr>
          <w:lang w:val="es-419"/>
        </w:rPr>
        <w:t>que envíen</w:t>
      </w:r>
      <w:r w:rsidR="00BB4A43" w:rsidRPr="00A165E4">
        <w:rPr>
          <w:lang w:val="es-419"/>
        </w:rPr>
        <w:t xml:space="preserve"> sus observaciones al respecto a la Oficina Internacional, a la dirección </w:t>
      </w:r>
      <w:hyperlink r:id="rId12" w:history="1">
        <w:r w:rsidRPr="00A165E4">
          <w:rPr>
            <w:rStyle w:val="Hyperlink"/>
            <w:lang w:val="es-419"/>
          </w:rPr>
          <w:t>blockchain@wipo.int</w:t>
        </w:r>
      </w:hyperlink>
      <w:r w:rsidRPr="00A165E4">
        <w:rPr>
          <w:lang w:val="es-419"/>
        </w:rPr>
        <w:t xml:space="preserve"> </w:t>
      </w:r>
      <w:r w:rsidR="005756D1">
        <w:rPr>
          <w:lang w:val="es-419"/>
        </w:rPr>
        <w:t xml:space="preserve">antes del 22 de octubre de 2021. </w:t>
      </w:r>
      <w:r w:rsidR="00237B3E" w:rsidRPr="00A165E4">
        <w:rPr>
          <w:lang w:val="es-419"/>
        </w:rPr>
        <w:t>La Oficina Internacional examinará las observaciones que reciba e informará de ello oralmente al CWS en esta sesión.</w:t>
      </w:r>
    </w:p>
    <w:p w:rsidR="00375534" w:rsidRPr="00472369" w:rsidRDefault="00067B9E" w:rsidP="00472369">
      <w:pPr>
        <w:pStyle w:val="ONUMFS"/>
        <w:numPr>
          <w:ilvl w:val="0"/>
          <w:numId w:val="0"/>
        </w:numPr>
        <w:ind w:left="5530"/>
        <w:rPr>
          <w:i/>
          <w:szCs w:val="22"/>
          <w:lang w:val="es-419"/>
        </w:rPr>
      </w:pPr>
      <w:r w:rsidRPr="00A165E4">
        <w:rPr>
          <w:i/>
          <w:szCs w:val="22"/>
          <w:lang w:val="es-419"/>
        </w:rPr>
        <w:fldChar w:fldCharType="begin"/>
      </w:r>
      <w:r w:rsidRPr="00A165E4">
        <w:rPr>
          <w:i/>
          <w:szCs w:val="22"/>
          <w:lang w:val="es-419"/>
        </w:rPr>
        <w:instrText xml:space="preserve"> AUTONUM  </w:instrText>
      </w:r>
      <w:r w:rsidRPr="00A165E4">
        <w:rPr>
          <w:i/>
          <w:szCs w:val="22"/>
          <w:lang w:val="es-419"/>
        </w:rPr>
        <w:fldChar w:fldCharType="end"/>
      </w:r>
      <w:r w:rsidRPr="00A165E4">
        <w:rPr>
          <w:i/>
          <w:szCs w:val="22"/>
          <w:lang w:val="es-419"/>
        </w:rPr>
        <w:tab/>
      </w:r>
      <w:r w:rsidR="00375534" w:rsidRPr="00A165E4">
        <w:rPr>
          <w:i/>
          <w:szCs w:val="22"/>
          <w:lang w:val="es-419"/>
        </w:rPr>
        <w:t>Se invita al CWS a tomar nota del contenido del presente documento y del Anexo del presente documento, que se menciona en el párrafo 8.</w:t>
      </w:r>
      <w:bookmarkStart w:id="5" w:name="_GoBack"/>
      <w:bookmarkEnd w:id="5"/>
    </w:p>
    <w:p w:rsidR="00152CEA" w:rsidRPr="00A165E4" w:rsidRDefault="00375534" w:rsidP="00375534">
      <w:pPr>
        <w:spacing w:before="440"/>
        <w:ind w:left="5760" w:right="475"/>
        <w:rPr>
          <w:lang w:val="es-419"/>
        </w:rPr>
      </w:pPr>
      <w:r w:rsidRPr="00A165E4">
        <w:rPr>
          <w:lang w:val="es-419"/>
        </w:rPr>
        <w:t>[Sigue el Anexo</w:t>
      </w:r>
      <w:r w:rsidR="000B7D2A">
        <w:rPr>
          <w:lang w:val="es-419"/>
        </w:rPr>
        <w:t xml:space="preserve"> I</w:t>
      </w:r>
      <w:r w:rsidRPr="00A165E4">
        <w:rPr>
          <w:lang w:val="es-419"/>
        </w:rPr>
        <w:t>]</w:t>
      </w:r>
    </w:p>
    <w:sectPr w:rsidR="00152CEA" w:rsidRPr="00A165E4" w:rsidSect="00230C31">
      <w:headerReference w:type="default" r:id="rId13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2DE" w:rsidRDefault="00CF52DE">
      <w:r>
        <w:separator/>
      </w:r>
    </w:p>
  </w:endnote>
  <w:endnote w:type="continuationSeparator" w:id="0">
    <w:p w:rsidR="00CF52DE" w:rsidRPr="009D30E6" w:rsidRDefault="00CF52DE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CF52DE" w:rsidRPr="007E663E" w:rsidRDefault="00CF52DE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CF52DE" w:rsidRPr="007E663E" w:rsidRDefault="00CF52DE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2DE" w:rsidRDefault="00CF52DE">
      <w:r>
        <w:separator/>
      </w:r>
    </w:p>
  </w:footnote>
  <w:footnote w:type="continuationSeparator" w:id="0">
    <w:p w:rsidR="00CF52DE" w:rsidRPr="009D30E6" w:rsidRDefault="00CF52DE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CF52DE" w:rsidRPr="007E663E" w:rsidRDefault="00CF52DE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CF52DE" w:rsidRPr="007E663E" w:rsidRDefault="00CF52DE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F20" w:rsidRPr="00FD3DE3" w:rsidRDefault="00375534" w:rsidP="00375534">
    <w:pPr>
      <w:jc w:val="right"/>
      <w:rPr>
        <w:caps/>
      </w:rPr>
    </w:pPr>
    <w:r w:rsidRPr="00FD3DE3">
      <w:rPr>
        <w:caps/>
        <w:lang w:val="es-ES_tradnl"/>
      </w:rPr>
      <w:t>CWS/9/8</w:t>
    </w:r>
  </w:p>
  <w:p w:rsidR="00AE7F20" w:rsidRPr="00FD3DE3" w:rsidRDefault="00375534" w:rsidP="00375534">
    <w:pPr>
      <w:jc w:val="right"/>
    </w:pPr>
    <w:r w:rsidRPr="00FD3DE3">
      <w:rPr>
        <w:lang w:val="es-ES_tradnl"/>
      </w:rPr>
      <w:t xml:space="preserve">página </w:t>
    </w:r>
    <w:r w:rsidR="00AE7F20" w:rsidRPr="00FD3DE3">
      <w:fldChar w:fldCharType="begin"/>
    </w:r>
    <w:r w:rsidR="00AE7F20" w:rsidRPr="00FD3DE3">
      <w:instrText xml:space="preserve"> PAGE  \* MERGEFORMAT </w:instrText>
    </w:r>
    <w:r w:rsidR="00AE7F20" w:rsidRPr="00FD3DE3">
      <w:fldChar w:fldCharType="separate"/>
    </w:r>
    <w:r w:rsidR="00472369">
      <w:rPr>
        <w:noProof/>
      </w:rPr>
      <w:t>2</w:t>
    </w:r>
    <w:r w:rsidR="00AE7F20" w:rsidRPr="00FD3DE3">
      <w:fldChar w:fldCharType="end"/>
    </w:r>
  </w:p>
  <w:p w:rsidR="00AE7F20" w:rsidRPr="00FD3DE3" w:rsidRDefault="00AE7F20" w:rsidP="00477D6B">
    <w:pPr>
      <w:jc w:val="right"/>
    </w:pPr>
  </w:p>
  <w:p w:rsidR="00EC1AA7" w:rsidRPr="00FD3DE3" w:rsidRDefault="00EC1AA7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E5313BD"/>
    <w:multiLevelType w:val="multilevel"/>
    <w:tmpl w:val="5E3EC994"/>
    <w:lvl w:ilvl="0">
      <w:start w:val="1"/>
      <w:numFmt w:val="lowerLetter"/>
      <w:lvlText w:val="%1)"/>
      <w:lvlJc w:val="left"/>
      <w:pPr>
        <w:tabs>
          <w:tab w:val="num" w:pos="1647"/>
        </w:tabs>
        <w:ind w:left="108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214"/>
        </w:tabs>
        <w:ind w:left="164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781"/>
        </w:tabs>
        <w:ind w:left="221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348"/>
        </w:tabs>
        <w:ind w:left="278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915"/>
        </w:tabs>
        <w:ind w:left="334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4482"/>
        </w:tabs>
        <w:ind w:left="391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5049"/>
        </w:tabs>
        <w:ind w:left="448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615"/>
        </w:tabs>
        <w:ind w:left="504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6182"/>
        </w:tabs>
        <w:ind w:left="5615" w:firstLine="0"/>
      </w:pPr>
      <w:rPr>
        <w:rFonts w:hint="default"/>
      </w:r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spa"/>
    <w:docVar w:name="TermBases" w:val="WIPOLDTERM"/>
    <w:docVar w:name="TermBaseURL" w:val="empty"/>
    <w:docVar w:name="TextBases" w:val="TextBase TMs\WorkspaceSTS\Patents &amp; Innovation\Patents Main|TextBase TMs\WorkspaceSTS\Patents &amp; Innovation\P Instruments|TextBase TMs\WorkspaceSTS\Outreach\POW Main|TextBase TMs\WorkspaceSTS\Outreach\Economist|TextBase TMs\WorkspaceSTS\Outreach\IP Advantage|TextBase TMs\WorkspaceSTS\Treaties &amp; Laws\WIPO Lex|Team Server TMs\Spanish|TextBase TMs\WorkspaceSTS\Administration &amp; Finance\Current Budget|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"/>
    <w:docVar w:name="TextBaseURL" w:val="empty"/>
    <w:docVar w:name="UILng" w:val="en"/>
  </w:docVars>
  <w:rsids>
    <w:rsidRoot w:val="00230C31"/>
    <w:rsid w:val="00010686"/>
    <w:rsid w:val="00052915"/>
    <w:rsid w:val="00067B9E"/>
    <w:rsid w:val="0008319A"/>
    <w:rsid w:val="00091783"/>
    <w:rsid w:val="000B7D2A"/>
    <w:rsid w:val="000E3BB3"/>
    <w:rsid w:val="000E6E58"/>
    <w:rsid w:val="000E7B81"/>
    <w:rsid w:val="000F5E56"/>
    <w:rsid w:val="001070FF"/>
    <w:rsid w:val="00113CE6"/>
    <w:rsid w:val="001362EE"/>
    <w:rsid w:val="00152CEA"/>
    <w:rsid w:val="00167338"/>
    <w:rsid w:val="00167C60"/>
    <w:rsid w:val="001832A6"/>
    <w:rsid w:val="001A37D3"/>
    <w:rsid w:val="001E4DCD"/>
    <w:rsid w:val="00230C31"/>
    <w:rsid w:val="00237B3E"/>
    <w:rsid w:val="0024012E"/>
    <w:rsid w:val="002634C4"/>
    <w:rsid w:val="0029462A"/>
    <w:rsid w:val="002C2E2F"/>
    <w:rsid w:val="002D0E63"/>
    <w:rsid w:val="002D23B5"/>
    <w:rsid w:val="002D2D90"/>
    <w:rsid w:val="002E0F47"/>
    <w:rsid w:val="002F4E68"/>
    <w:rsid w:val="00310826"/>
    <w:rsid w:val="003421B6"/>
    <w:rsid w:val="00354647"/>
    <w:rsid w:val="00375534"/>
    <w:rsid w:val="00377273"/>
    <w:rsid w:val="003845C1"/>
    <w:rsid w:val="00387287"/>
    <w:rsid w:val="003E48F1"/>
    <w:rsid w:val="003F347A"/>
    <w:rsid w:val="00411247"/>
    <w:rsid w:val="00423E3E"/>
    <w:rsid w:val="00427AF4"/>
    <w:rsid w:val="0045231F"/>
    <w:rsid w:val="004647DA"/>
    <w:rsid w:val="0046793F"/>
    <w:rsid w:val="00472369"/>
    <w:rsid w:val="00472A6E"/>
    <w:rsid w:val="004765C8"/>
    <w:rsid w:val="00477808"/>
    <w:rsid w:val="00477D6B"/>
    <w:rsid w:val="004A6C37"/>
    <w:rsid w:val="004E17C6"/>
    <w:rsid w:val="004E297D"/>
    <w:rsid w:val="005058A1"/>
    <w:rsid w:val="00531B02"/>
    <w:rsid w:val="005332F0"/>
    <w:rsid w:val="005413E1"/>
    <w:rsid w:val="0055013B"/>
    <w:rsid w:val="005700C0"/>
    <w:rsid w:val="00571B99"/>
    <w:rsid w:val="005756D1"/>
    <w:rsid w:val="005B2EAE"/>
    <w:rsid w:val="00605827"/>
    <w:rsid w:val="006173A5"/>
    <w:rsid w:val="00675021"/>
    <w:rsid w:val="006A06C6"/>
    <w:rsid w:val="006C6299"/>
    <w:rsid w:val="007224C8"/>
    <w:rsid w:val="00746CC7"/>
    <w:rsid w:val="00794BE2"/>
    <w:rsid w:val="007A5581"/>
    <w:rsid w:val="007A5AB8"/>
    <w:rsid w:val="007B71FE"/>
    <w:rsid w:val="007D781E"/>
    <w:rsid w:val="007E663E"/>
    <w:rsid w:val="007E79C1"/>
    <w:rsid w:val="00815082"/>
    <w:rsid w:val="008412AB"/>
    <w:rsid w:val="0088395E"/>
    <w:rsid w:val="008B2CC1"/>
    <w:rsid w:val="008D2779"/>
    <w:rsid w:val="008E6BD6"/>
    <w:rsid w:val="0090731E"/>
    <w:rsid w:val="00954F6A"/>
    <w:rsid w:val="00966A22"/>
    <w:rsid w:val="00972F03"/>
    <w:rsid w:val="0098367F"/>
    <w:rsid w:val="009A0C8B"/>
    <w:rsid w:val="009A20CD"/>
    <w:rsid w:val="009B6241"/>
    <w:rsid w:val="009F640B"/>
    <w:rsid w:val="00A165E4"/>
    <w:rsid w:val="00A16FC0"/>
    <w:rsid w:val="00A32C9E"/>
    <w:rsid w:val="00AB613D"/>
    <w:rsid w:val="00AE7F20"/>
    <w:rsid w:val="00B40887"/>
    <w:rsid w:val="00B534D5"/>
    <w:rsid w:val="00B65A0A"/>
    <w:rsid w:val="00B67CDC"/>
    <w:rsid w:val="00B72D36"/>
    <w:rsid w:val="00BA052D"/>
    <w:rsid w:val="00BB4A43"/>
    <w:rsid w:val="00BC4164"/>
    <w:rsid w:val="00BD2DCC"/>
    <w:rsid w:val="00BF2A4D"/>
    <w:rsid w:val="00BF5A8E"/>
    <w:rsid w:val="00C90559"/>
    <w:rsid w:val="00CA0500"/>
    <w:rsid w:val="00CA2251"/>
    <w:rsid w:val="00CA73CC"/>
    <w:rsid w:val="00CF52DE"/>
    <w:rsid w:val="00D31C89"/>
    <w:rsid w:val="00D56C7C"/>
    <w:rsid w:val="00D61E6D"/>
    <w:rsid w:val="00D71B4D"/>
    <w:rsid w:val="00D90289"/>
    <w:rsid w:val="00D93D55"/>
    <w:rsid w:val="00DC3A37"/>
    <w:rsid w:val="00DC4C60"/>
    <w:rsid w:val="00DD6CF4"/>
    <w:rsid w:val="00E0079A"/>
    <w:rsid w:val="00E17311"/>
    <w:rsid w:val="00E25B3B"/>
    <w:rsid w:val="00E360AB"/>
    <w:rsid w:val="00E444DA"/>
    <w:rsid w:val="00E45C84"/>
    <w:rsid w:val="00E504E5"/>
    <w:rsid w:val="00E5439B"/>
    <w:rsid w:val="00E816CC"/>
    <w:rsid w:val="00EB0D93"/>
    <w:rsid w:val="00EB4463"/>
    <w:rsid w:val="00EB7A3E"/>
    <w:rsid w:val="00EC1AA7"/>
    <w:rsid w:val="00EC401A"/>
    <w:rsid w:val="00EF530A"/>
    <w:rsid w:val="00EF6622"/>
    <w:rsid w:val="00EF78A9"/>
    <w:rsid w:val="00F55408"/>
    <w:rsid w:val="00F66152"/>
    <w:rsid w:val="00F80845"/>
    <w:rsid w:val="00F84474"/>
    <w:rsid w:val="00FA0F0D"/>
    <w:rsid w:val="00FB324C"/>
    <w:rsid w:val="00FB3CD1"/>
    <w:rsid w:val="00FD3DE3"/>
    <w:rsid w:val="00FD59D1"/>
    <w:rsid w:val="00FE7116"/>
    <w:rsid w:val="00FF2437"/>
    <w:rsid w:val="00FF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BBEF17"/>
  <w15:docId w15:val="{4CA39FC2-79E3-4E23-80F2-33919D0B1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styleId="Hyperlink">
    <w:name w:val="Hyperlink"/>
    <w:uiPriority w:val="99"/>
    <w:unhideWhenUsed/>
    <w:rsid w:val="00067B9E"/>
    <w:rPr>
      <w:color w:val="0000FF"/>
      <w:u w:val="single"/>
    </w:rPr>
  </w:style>
  <w:style w:type="paragraph" w:customStyle="1" w:styleId="Body">
    <w:name w:val="Body"/>
    <w:rsid w:val="00067B9E"/>
    <w:pP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lang w:val="en-US" w:eastAsia="ru-RU"/>
    </w:rPr>
  </w:style>
  <w:style w:type="paragraph" w:styleId="ListParagraph">
    <w:name w:val="List Paragraph"/>
    <w:basedOn w:val="Normal"/>
    <w:uiPriority w:val="34"/>
    <w:qFormat/>
    <w:rsid w:val="00067B9E"/>
    <w:pPr>
      <w:ind w:left="720"/>
      <w:contextualSpacing/>
    </w:pPr>
    <w:rPr>
      <w:lang w:val="en-US"/>
    </w:rPr>
  </w:style>
  <w:style w:type="character" w:styleId="FollowedHyperlink">
    <w:name w:val="FollowedHyperlink"/>
    <w:basedOn w:val="DefaultParagraphFont"/>
    <w:semiHidden/>
    <w:unhideWhenUsed/>
    <w:rsid w:val="00D31C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lockchain@wipo.in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ipo.int/meetings/es/details.jsp?meeting_id=6603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wipo.int/meetings/es/details.jsp?meeting_id=5756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ipo.int/meetings/es/details.jsp?meeting_id=51407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CWS_9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CD351-EA92-4DBB-AEE0-45E67E23B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CWS_9 (S)</Template>
  <TotalTime>0</TotalTime>
  <Pages>2</Pages>
  <Words>946</Words>
  <Characters>4568</Characters>
  <Application>Microsoft Office Word</Application>
  <DocSecurity>0</DocSecurity>
  <Lines>77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CWS/9/8</vt:lpstr>
    </vt:vector>
  </TitlesOfParts>
  <Company>WIPO</Company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CWS/9/8</dc:title>
  <dc:creator>WIPO</dc:creator>
  <cp:keywords>FOR OFFICIAL USE ONLY</cp:keywords>
  <cp:lastModifiedBy>CHAVAS Louison</cp:lastModifiedBy>
  <cp:revision>2</cp:revision>
  <dcterms:created xsi:type="dcterms:W3CDTF">2021-10-06T13:32:00Z</dcterms:created>
  <dcterms:modified xsi:type="dcterms:W3CDTF">2021-10-06T13:32:00Z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c6b9fb8d-7be1-454a-84fa-5fcf87092ced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