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2A" w:rsidRPr="005256F7" w:rsidRDefault="00472A6E" w:rsidP="006173A5">
      <w:pPr>
        <w:pBdr>
          <w:bottom w:val="single" w:sz="4" w:space="11" w:color="auto"/>
        </w:pBdr>
        <w:spacing w:after="120"/>
        <w:ind w:right="-57"/>
        <w:jc w:val="right"/>
        <w:rPr>
          <w:lang w:val="es-ES_tradnl"/>
        </w:rPr>
      </w:pPr>
      <w:r w:rsidRPr="005256F7">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36632A" w:rsidRPr="005256F7" w:rsidRDefault="006173A5" w:rsidP="00472A6E">
      <w:pPr>
        <w:jc w:val="right"/>
        <w:rPr>
          <w:rFonts w:ascii="Arial Black" w:hAnsi="Arial Black"/>
          <w:caps/>
          <w:sz w:val="15"/>
          <w:lang w:val="es-ES_tradnl"/>
        </w:rPr>
      </w:pPr>
      <w:r w:rsidRPr="005256F7">
        <w:rPr>
          <w:rFonts w:ascii="Arial Black" w:hAnsi="Arial Black"/>
          <w:caps/>
          <w:sz w:val="15"/>
          <w:lang w:val="es-ES_tradnl"/>
        </w:rPr>
        <w:t>CWS/9/</w:t>
      </w:r>
      <w:bookmarkStart w:id="0" w:name="Code"/>
      <w:bookmarkEnd w:id="0"/>
      <w:r w:rsidR="001916B7" w:rsidRPr="005256F7">
        <w:rPr>
          <w:rFonts w:ascii="Arial Black" w:hAnsi="Arial Black"/>
          <w:caps/>
          <w:sz w:val="15"/>
          <w:lang w:val="es-ES_tradnl"/>
        </w:rPr>
        <w:t>21</w:t>
      </w:r>
    </w:p>
    <w:p w:rsidR="0036632A" w:rsidRPr="005256F7" w:rsidRDefault="00472A6E" w:rsidP="00472A6E">
      <w:pPr>
        <w:jc w:val="right"/>
        <w:rPr>
          <w:lang w:val="es-ES_tradnl"/>
        </w:rPr>
      </w:pPr>
      <w:r w:rsidRPr="005256F7">
        <w:rPr>
          <w:rFonts w:ascii="Arial Black" w:hAnsi="Arial Black"/>
          <w:caps/>
          <w:sz w:val="15"/>
          <w:lang w:val="es-ES_tradnl"/>
        </w:rPr>
        <w:t xml:space="preserve">ORIGINAL: </w:t>
      </w:r>
      <w:bookmarkStart w:id="1" w:name="Original"/>
      <w:r w:rsidR="001916B7" w:rsidRPr="005256F7">
        <w:rPr>
          <w:rFonts w:ascii="Arial Black" w:hAnsi="Arial Black"/>
          <w:caps/>
          <w:sz w:val="15"/>
          <w:lang w:val="es-ES_tradnl"/>
        </w:rPr>
        <w:t>inglés</w:t>
      </w:r>
    </w:p>
    <w:bookmarkEnd w:id="1"/>
    <w:p w:rsidR="0036632A" w:rsidRPr="005256F7" w:rsidRDefault="00472A6E" w:rsidP="00472A6E">
      <w:pPr>
        <w:spacing w:after="1200"/>
        <w:jc w:val="right"/>
        <w:rPr>
          <w:lang w:val="es-ES_tradnl"/>
        </w:rPr>
      </w:pPr>
      <w:r w:rsidRPr="005256F7">
        <w:rPr>
          <w:rFonts w:ascii="Arial Black" w:hAnsi="Arial Black"/>
          <w:caps/>
          <w:sz w:val="15"/>
          <w:lang w:val="es-ES_tradnl"/>
        </w:rPr>
        <w:t xml:space="preserve">fecha: </w:t>
      </w:r>
      <w:bookmarkStart w:id="2" w:name="Date"/>
      <w:r w:rsidR="001916B7" w:rsidRPr="005256F7">
        <w:rPr>
          <w:rFonts w:ascii="Arial Black" w:hAnsi="Arial Black"/>
          <w:caps/>
          <w:sz w:val="15"/>
          <w:lang w:val="es-ES_tradnl"/>
        </w:rPr>
        <w:t>11 de octubre de 2021</w:t>
      </w:r>
    </w:p>
    <w:bookmarkEnd w:id="2"/>
    <w:p w:rsidR="0036632A" w:rsidRPr="005256F7" w:rsidRDefault="00167338" w:rsidP="00472A6E">
      <w:pPr>
        <w:pStyle w:val="Heading1"/>
        <w:spacing w:before="0" w:after="480"/>
        <w:rPr>
          <w:sz w:val="28"/>
          <w:lang w:val="es-ES_tradnl"/>
        </w:rPr>
      </w:pPr>
      <w:r w:rsidRPr="005256F7">
        <w:rPr>
          <w:caps w:val="0"/>
          <w:sz w:val="28"/>
          <w:szCs w:val="28"/>
          <w:lang w:val="es-ES_tradnl"/>
        </w:rPr>
        <w:t>Comité de Normas Técnicas de la OMPI (CWS)</w:t>
      </w:r>
    </w:p>
    <w:p w:rsidR="0036632A" w:rsidRPr="005256F7" w:rsidRDefault="006173A5" w:rsidP="005B2EAE">
      <w:pPr>
        <w:outlineLvl w:val="1"/>
        <w:rPr>
          <w:b/>
          <w:sz w:val="24"/>
          <w:szCs w:val="24"/>
          <w:lang w:val="es-ES_tradnl"/>
        </w:rPr>
      </w:pPr>
      <w:r w:rsidRPr="005256F7">
        <w:rPr>
          <w:b/>
          <w:sz w:val="24"/>
          <w:szCs w:val="24"/>
          <w:lang w:val="es-ES_tradnl"/>
        </w:rPr>
        <w:t>Novena sesión</w:t>
      </w:r>
    </w:p>
    <w:p w:rsidR="0036632A" w:rsidRPr="005256F7" w:rsidRDefault="00167338" w:rsidP="00472A6E">
      <w:pPr>
        <w:spacing w:after="720"/>
        <w:outlineLvl w:val="1"/>
        <w:rPr>
          <w:b/>
          <w:sz w:val="24"/>
          <w:szCs w:val="24"/>
          <w:lang w:val="es-ES_tradnl"/>
        </w:rPr>
      </w:pPr>
      <w:r w:rsidRPr="005256F7">
        <w:rPr>
          <w:b/>
          <w:sz w:val="24"/>
          <w:szCs w:val="24"/>
          <w:lang w:val="es-ES_tradnl"/>
        </w:rPr>
        <w:t>Ginebra, 1 a 5 de noviembre de 2021</w:t>
      </w:r>
    </w:p>
    <w:p w:rsidR="0036632A" w:rsidRPr="005256F7" w:rsidRDefault="001916B7" w:rsidP="00472A6E">
      <w:pPr>
        <w:spacing w:after="360"/>
        <w:rPr>
          <w:caps/>
          <w:sz w:val="24"/>
          <w:lang w:val="es-ES_tradnl"/>
        </w:rPr>
      </w:pPr>
      <w:bookmarkStart w:id="3" w:name="TitleOfDoc"/>
      <w:r w:rsidRPr="005256F7">
        <w:rPr>
          <w:caps/>
          <w:sz w:val="24"/>
          <w:lang w:val="es-ES_tradnl"/>
        </w:rPr>
        <w:t>Información sobre la entrada en la fase nacional (regional) de solicitudes internacionales PCT publicadas</w:t>
      </w:r>
    </w:p>
    <w:p w:rsidR="0036632A" w:rsidRPr="005256F7" w:rsidRDefault="001916B7" w:rsidP="00472A6E">
      <w:pPr>
        <w:spacing w:after="1040"/>
        <w:rPr>
          <w:i/>
          <w:lang w:val="es-ES_tradnl"/>
        </w:rPr>
      </w:pPr>
      <w:bookmarkStart w:id="4" w:name="Prepared"/>
      <w:bookmarkEnd w:id="3"/>
      <w:bookmarkEnd w:id="4"/>
      <w:r w:rsidRPr="005256F7">
        <w:rPr>
          <w:i/>
          <w:lang w:val="es-ES_tradnl"/>
        </w:rPr>
        <w:t>Documento preparado por la Oficina Internacional</w:t>
      </w:r>
    </w:p>
    <w:p w:rsidR="0036632A" w:rsidRPr="005256F7" w:rsidRDefault="00BF2629" w:rsidP="005256F7">
      <w:pPr>
        <w:pStyle w:val="ONUMFS"/>
        <w:rPr>
          <w:lang w:val="es-ES_tradnl"/>
        </w:rPr>
      </w:pPr>
      <w:r w:rsidRPr="005256F7">
        <w:rPr>
          <w:lang w:val="es-ES_tradnl"/>
        </w:rPr>
        <w:t>El Comité de Normas Técnicas de la OMPI (CWS), con arreglo a la Tarea N.º 23, supervisa “la inclusión, en las bases de datos, de información sobre la entrada y, si procede, la no entrada, en la fase nacional (regional) de solicitudes internacionales PCT publicadas”.</w:t>
      </w:r>
      <w:r w:rsidR="00311311" w:rsidRPr="005256F7">
        <w:rPr>
          <w:lang w:val="es-ES_tradnl"/>
        </w:rPr>
        <w:t xml:space="preserve"> </w:t>
      </w:r>
      <w:r w:rsidRPr="005256F7">
        <w:rPr>
          <w:lang w:val="es-ES_tradnl"/>
        </w:rPr>
        <w:t>La Oficina Internacional debe presentar en las reuniones del CWS, cada dos años, un informe sobre la marcha de la labor en relación con dicha tarea.</w:t>
      </w:r>
      <w:r w:rsidR="00311311" w:rsidRPr="005256F7">
        <w:rPr>
          <w:lang w:val="es-ES_tradnl"/>
        </w:rPr>
        <w:t xml:space="preserve"> </w:t>
      </w:r>
      <w:r w:rsidRPr="005256F7">
        <w:rPr>
          <w:lang w:val="es-ES_tradnl"/>
        </w:rPr>
        <w:t>(Véanse el documento CWS/3/12 y el párrafo 73 del documento CWS/3/14).</w:t>
      </w:r>
    </w:p>
    <w:p w:rsidR="0036632A" w:rsidRDefault="00AE604F" w:rsidP="005256F7">
      <w:pPr>
        <w:pStyle w:val="ONUMFS"/>
        <w:rPr>
          <w:lang w:val="es-ES_tradnl"/>
        </w:rPr>
      </w:pPr>
      <w:r w:rsidRPr="005256F7">
        <w:rPr>
          <w:lang w:val="es-ES_tradnl"/>
        </w:rPr>
        <w:t>En su sexta sesión, el CWS observó que, a partir del 1 de julio de 2017, se ha</w:t>
      </w:r>
      <w:r w:rsidR="00CA438F" w:rsidRPr="005256F7">
        <w:rPr>
          <w:lang w:val="es-ES_tradnl"/>
        </w:rPr>
        <w:t>bía</w:t>
      </w:r>
      <w:r w:rsidRPr="005256F7">
        <w:rPr>
          <w:lang w:val="es-ES_tradnl"/>
        </w:rPr>
        <w:t xml:space="preserve"> exigido a las Oficinas designadas que, en virtud de </w:t>
      </w:r>
      <w:r w:rsidR="00CA438F" w:rsidRPr="005256F7">
        <w:rPr>
          <w:lang w:val="es-ES_tradnl"/>
        </w:rPr>
        <w:t>la regla 95.1 del PCT, notificara</w:t>
      </w:r>
      <w:r w:rsidRPr="005256F7">
        <w:rPr>
          <w:lang w:val="es-ES_tradnl"/>
        </w:rPr>
        <w:t>n a la Oficina Internacional la información concerniente a las solicitudes internacionales que hacen su entrada en la fase nacional en su Oficina.</w:t>
      </w:r>
      <w:r w:rsidR="00311311" w:rsidRPr="005256F7">
        <w:rPr>
          <w:lang w:val="es-ES_tradnl"/>
        </w:rPr>
        <w:t xml:space="preserve"> </w:t>
      </w:r>
      <w:r w:rsidRPr="005256F7">
        <w:rPr>
          <w:lang w:val="es-ES_tradnl"/>
        </w:rPr>
        <w:t>El CWS observó asimismo que la Oficina Internacional ha</w:t>
      </w:r>
      <w:r w:rsidR="00CA438F" w:rsidRPr="005256F7">
        <w:rPr>
          <w:lang w:val="es-ES_tradnl"/>
        </w:rPr>
        <w:t>bía</w:t>
      </w:r>
      <w:r w:rsidRPr="005256F7">
        <w:rPr>
          <w:lang w:val="es-ES_tradnl"/>
        </w:rPr>
        <w:t xml:space="preserve"> desarrollado sistemas para recopilar y distribuir esa información y que </w:t>
      </w:r>
      <w:r w:rsidR="00156875" w:rsidRPr="005256F7">
        <w:rPr>
          <w:lang w:val="es-ES_tradnl"/>
        </w:rPr>
        <w:t xml:space="preserve">en el sitio web de PATENTSCOPE, en la dirección </w:t>
      </w:r>
      <w:hyperlink r:id="rId9" w:history="1">
        <w:r w:rsidR="004F2FC0" w:rsidRPr="005256F7">
          <w:rPr>
            <w:rStyle w:val="Hyperlink"/>
            <w:lang w:val="es-ES_tradnl"/>
          </w:rPr>
          <w:t>https://patentscope.wipo.int/search/es/structuredSearch.jsf</w:t>
        </w:r>
      </w:hyperlink>
      <w:r w:rsidR="00156875" w:rsidRPr="005256F7">
        <w:rPr>
          <w:lang w:val="es-ES_tradnl"/>
        </w:rPr>
        <w:t>, en el que pueden descargarse en formato CSV los conjuntos de datos relativos a la entrada en la fase nacional, se ha mejorado l</w:t>
      </w:r>
      <w:r w:rsidRPr="005256F7">
        <w:rPr>
          <w:lang w:val="es-ES_tradnl"/>
        </w:rPr>
        <w:t xml:space="preserve">a manera de transmitir y hacer visibles </w:t>
      </w:r>
      <w:r w:rsidR="004F2FC0" w:rsidRPr="005256F7">
        <w:rPr>
          <w:lang w:val="es-ES_tradnl"/>
        </w:rPr>
        <w:t>es</w:t>
      </w:r>
      <w:r w:rsidRPr="005256F7">
        <w:rPr>
          <w:lang w:val="es-ES_tradnl"/>
        </w:rPr>
        <w:t>os datos</w:t>
      </w:r>
      <w:r w:rsidR="00A04D91" w:rsidRPr="005256F7">
        <w:rPr>
          <w:lang w:val="es-ES_tradnl"/>
        </w:rPr>
        <w:t>.</w:t>
      </w:r>
      <w:r w:rsidR="00311311" w:rsidRPr="005256F7">
        <w:rPr>
          <w:lang w:val="es-ES_tradnl"/>
        </w:rPr>
        <w:t xml:space="preserve"> </w:t>
      </w:r>
      <w:r w:rsidR="001916B7" w:rsidRPr="005256F7">
        <w:rPr>
          <w:lang w:val="es-ES_tradnl"/>
        </w:rPr>
        <w:t>T</w:t>
      </w:r>
      <w:r w:rsidR="00CA567D" w:rsidRPr="005256F7">
        <w:rPr>
          <w:lang w:val="es-ES_tradnl"/>
        </w:rPr>
        <w:t xml:space="preserve">eniendo en cuenta la nueva regla del PCT y la disponibilidad de los datos en el sitio web de </w:t>
      </w:r>
      <w:r w:rsidR="001916B7" w:rsidRPr="005256F7">
        <w:rPr>
          <w:lang w:val="es-ES_tradnl"/>
        </w:rPr>
        <w:t>PATENTSCOPE</w:t>
      </w:r>
      <w:r w:rsidR="00CA567D" w:rsidRPr="005256F7">
        <w:rPr>
          <w:lang w:val="es-ES_tradnl"/>
        </w:rPr>
        <w:t>, la Oficina Internacional propuso que se suspend</w:t>
      </w:r>
      <w:r w:rsidR="00CA438F" w:rsidRPr="005256F7">
        <w:rPr>
          <w:lang w:val="es-ES_tradnl"/>
        </w:rPr>
        <w:t>ier</w:t>
      </w:r>
      <w:r w:rsidR="00CA567D" w:rsidRPr="005256F7">
        <w:rPr>
          <w:lang w:val="es-ES_tradnl"/>
        </w:rPr>
        <w:t xml:space="preserve">a la Tarea N.º 23 del CWS. </w:t>
      </w:r>
      <w:r w:rsidR="004F2FC0" w:rsidRPr="005256F7">
        <w:rPr>
          <w:lang w:val="es-ES_tradnl"/>
        </w:rPr>
        <w:t>A ese respecto, e</w:t>
      </w:r>
      <w:r w:rsidR="00CA567D" w:rsidRPr="005256F7">
        <w:rPr>
          <w:lang w:val="es-ES_tradnl"/>
        </w:rPr>
        <w:t xml:space="preserve">l CWS acordó que suspender dicha tarea quizás </w:t>
      </w:r>
      <w:r w:rsidR="00CA438F" w:rsidRPr="005256F7">
        <w:rPr>
          <w:lang w:val="es-ES_tradnl"/>
        </w:rPr>
        <w:t xml:space="preserve">fuera </w:t>
      </w:r>
      <w:r w:rsidR="00CA567D" w:rsidRPr="005256F7">
        <w:rPr>
          <w:lang w:val="es-ES_tradnl"/>
        </w:rPr>
        <w:t>prematuro y que debería mantenerse un ciclo más antes de su suspensión, en 2020.</w:t>
      </w:r>
      <w:r w:rsidR="00311311" w:rsidRPr="005256F7">
        <w:rPr>
          <w:lang w:val="es-ES_tradnl"/>
        </w:rPr>
        <w:t xml:space="preserve"> </w:t>
      </w:r>
      <w:r w:rsidR="00CA567D" w:rsidRPr="005256F7">
        <w:rPr>
          <w:lang w:val="es-ES_tradnl"/>
        </w:rPr>
        <w:t>(Véanse el documento CWS/6/30 y los párrafos 181 a 184 del documento CWS/6/34).</w:t>
      </w:r>
    </w:p>
    <w:p w:rsidR="00D05F56" w:rsidRPr="005256F7" w:rsidRDefault="00D05F56" w:rsidP="00D05F56">
      <w:pPr>
        <w:pStyle w:val="ONUMFS"/>
        <w:numPr>
          <w:ilvl w:val="0"/>
          <w:numId w:val="0"/>
        </w:numPr>
        <w:rPr>
          <w:lang w:val="es-ES_tradnl"/>
        </w:rPr>
      </w:pPr>
      <w:bookmarkStart w:id="5" w:name="_GoBack"/>
      <w:bookmarkEnd w:id="5"/>
    </w:p>
    <w:p w:rsidR="0036632A" w:rsidRPr="005256F7" w:rsidRDefault="0005681E" w:rsidP="005256F7">
      <w:pPr>
        <w:pStyle w:val="ONUMFS"/>
        <w:rPr>
          <w:lang w:val="es-ES_tradnl"/>
        </w:rPr>
      </w:pPr>
      <w:r w:rsidRPr="005256F7">
        <w:rPr>
          <w:lang w:val="es-ES_tradnl"/>
        </w:rPr>
        <w:lastRenderedPageBreak/>
        <w:t>Actualmente, el sitio web de PATENTSCOPE mencionado anteriormente permite descargar conjuntos de datos relativos a la entrada en la fase nacional del PCT de forma “completa” o de los “últimos 7 días”</w:t>
      </w:r>
      <w:r w:rsidR="001F7CEE" w:rsidRPr="005256F7">
        <w:rPr>
          <w:lang w:val="es-ES_tradnl"/>
        </w:rPr>
        <w:t xml:space="preserve">. </w:t>
      </w:r>
      <w:r w:rsidRPr="005256F7">
        <w:rPr>
          <w:lang w:val="es-ES_tradnl"/>
        </w:rPr>
        <w:t xml:space="preserve">En el momento de preparar el presente documento, en PATENTSCOPE se puede obtener la descarga completa de los datos de </w:t>
      </w:r>
      <w:r w:rsidR="001916B7" w:rsidRPr="005256F7">
        <w:rPr>
          <w:lang w:val="es-ES_tradnl"/>
        </w:rPr>
        <w:t>82 Of</w:t>
      </w:r>
      <w:r w:rsidR="005256F7">
        <w:rPr>
          <w:lang w:val="es-ES_tradnl"/>
        </w:rPr>
        <w:t>icinas y solo las </w:t>
      </w:r>
      <w:r w:rsidRPr="005256F7">
        <w:rPr>
          <w:lang w:val="es-ES_tradnl"/>
        </w:rPr>
        <w:t>43 oficinas siguientes han facilitado los datos relativos a 2021:</w:t>
      </w:r>
      <w:r w:rsidR="001916B7" w:rsidRPr="005256F7">
        <w:rPr>
          <w:lang w:val="es-ES_tradnl"/>
        </w:rPr>
        <w:t xml:space="preserve"> AE, AM, AO, AT, AU, CA, CH, CN, CZ, DE, DJ, DK, EP, ES, FI, GB, GE, HR, HU, IL, IN, JP, KR, KZ, MD, MX, NI, NO, PE, PH, PL, RO, RS, RU, SA, SE, SG, SK, TH, TR, UA, US </w:t>
      </w:r>
      <w:r w:rsidR="0089400F" w:rsidRPr="005256F7">
        <w:rPr>
          <w:lang w:val="es-ES_tradnl"/>
        </w:rPr>
        <w:t>y</w:t>
      </w:r>
      <w:r w:rsidR="001F7CEE" w:rsidRPr="005256F7">
        <w:rPr>
          <w:lang w:val="es-ES_tradnl"/>
        </w:rPr>
        <w:t xml:space="preserve"> ZM. </w:t>
      </w:r>
      <w:r w:rsidR="0089400F" w:rsidRPr="005256F7">
        <w:rPr>
          <w:lang w:val="es-ES_tradnl"/>
        </w:rPr>
        <w:t>La Oficina Internacional alienta a las Oficinas a que faciliten los datos sobre las entradas en la fase nacional.</w:t>
      </w:r>
    </w:p>
    <w:p w:rsidR="0036632A" w:rsidRPr="005256F7" w:rsidRDefault="0036632A" w:rsidP="005256F7">
      <w:pPr>
        <w:pStyle w:val="ONUMFS"/>
        <w:rPr>
          <w:lang w:val="es-ES_tradnl"/>
        </w:rPr>
      </w:pPr>
      <w:r w:rsidRPr="005256F7">
        <w:rPr>
          <w:lang w:val="es-ES_tradnl"/>
        </w:rPr>
        <w:t xml:space="preserve">Como ya ha entrado en vigor con arreglo al PCT la nueva disposición por la que se exige el suministro de datos relativos a la entrada en la fase nacional y los datos están disponibles en el sitio web de PATENTSCOPE de la OMPI, la Oficina </w:t>
      </w:r>
      <w:r w:rsidR="00EB404C" w:rsidRPr="005256F7">
        <w:rPr>
          <w:lang w:val="es-ES_tradnl"/>
        </w:rPr>
        <w:t>Internacional</w:t>
      </w:r>
      <w:r w:rsidRPr="005256F7">
        <w:rPr>
          <w:lang w:val="es-ES_tradnl"/>
        </w:rPr>
        <w:t xml:space="preserve"> propone que se suspenda la Tarea N.º 23 del CWS.</w:t>
      </w:r>
    </w:p>
    <w:p w:rsidR="0036632A" w:rsidRPr="005256F7" w:rsidRDefault="001F7CEE" w:rsidP="005256F7">
      <w:pPr>
        <w:pStyle w:val="ONUMFS"/>
        <w:tabs>
          <w:tab w:val="clear" w:pos="567"/>
        </w:tabs>
        <w:ind w:left="5529"/>
        <w:rPr>
          <w:i/>
          <w:lang w:val="es-ES_tradnl"/>
        </w:rPr>
      </w:pPr>
      <w:r w:rsidRPr="005256F7">
        <w:rPr>
          <w:i/>
          <w:lang w:val="es-ES_tradnl"/>
        </w:rPr>
        <w:t>Se invita al CWS a:</w:t>
      </w:r>
    </w:p>
    <w:p w:rsidR="0036632A" w:rsidRPr="005256F7" w:rsidRDefault="0036632A" w:rsidP="005256F7">
      <w:pPr>
        <w:pStyle w:val="ONUMFS"/>
        <w:numPr>
          <w:ilvl w:val="1"/>
          <w:numId w:val="6"/>
        </w:numPr>
        <w:tabs>
          <w:tab w:val="clear" w:pos="1134"/>
        </w:tabs>
        <w:spacing w:after="120"/>
        <w:ind w:left="6095"/>
        <w:rPr>
          <w:i/>
          <w:lang w:val="es-ES_tradnl"/>
        </w:rPr>
      </w:pPr>
      <w:r w:rsidRPr="005256F7">
        <w:rPr>
          <w:i/>
          <w:lang w:val="es-ES_tradnl"/>
        </w:rPr>
        <w:t>tomar nota del contenido del presente documento; y</w:t>
      </w:r>
    </w:p>
    <w:p w:rsidR="0036632A" w:rsidRPr="005256F7" w:rsidRDefault="0036632A" w:rsidP="005256F7">
      <w:pPr>
        <w:pStyle w:val="ONUMFS"/>
        <w:numPr>
          <w:ilvl w:val="1"/>
          <w:numId w:val="6"/>
        </w:numPr>
        <w:tabs>
          <w:tab w:val="clear" w:pos="1134"/>
        </w:tabs>
        <w:spacing w:after="600"/>
        <w:ind w:left="6095"/>
        <w:rPr>
          <w:i/>
          <w:lang w:val="es-ES_tradnl"/>
        </w:rPr>
      </w:pPr>
      <w:r w:rsidRPr="005256F7">
        <w:rPr>
          <w:i/>
          <w:lang w:val="es-ES_tradnl"/>
        </w:rPr>
        <w:t>examinar la propuesta de suspensión de la Tarea N.º 23, según se indica en el párrafo 4.</w:t>
      </w:r>
    </w:p>
    <w:p w:rsidR="00152CEA" w:rsidRPr="005256F7" w:rsidRDefault="0036632A" w:rsidP="005256F7">
      <w:pPr>
        <w:pStyle w:val="Endofdocument"/>
        <w:spacing w:line="240" w:lineRule="auto"/>
        <w:rPr>
          <w:sz w:val="22"/>
          <w:szCs w:val="22"/>
          <w:lang w:val="es-ES_tradnl"/>
        </w:rPr>
      </w:pPr>
      <w:r w:rsidRPr="005256F7">
        <w:rPr>
          <w:sz w:val="22"/>
          <w:szCs w:val="22"/>
          <w:lang w:val="es-ES_tradnl"/>
        </w:rPr>
        <w:t>[Fin del documento]</w:t>
      </w:r>
    </w:p>
    <w:sectPr w:rsidR="00152CEA" w:rsidRPr="005256F7" w:rsidSect="001916B7">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189" w:rsidRDefault="00E73189">
      <w:r>
        <w:separator/>
      </w:r>
    </w:p>
  </w:endnote>
  <w:endnote w:type="continuationSeparator" w:id="0">
    <w:p w:rsidR="00E73189" w:rsidRPr="009D30E6" w:rsidRDefault="00E73189" w:rsidP="007E663E">
      <w:pPr>
        <w:rPr>
          <w:sz w:val="17"/>
          <w:szCs w:val="17"/>
        </w:rPr>
      </w:pPr>
      <w:r w:rsidRPr="009D30E6">
        <w:rPr>
          <w:sz w:val="17"/>
          <w:szCs w:val="17"/>
        </w:rPr>
        <w:separator/>
      </w:r>
    </w:p>
    <w:p w:rsidR="00E73189" w:rsidRPr="007E663E" w:rsidRDefault="00E73189" w:rsidP="007E663E">
      <w:pPr>
        <w:spacing w:after="60"/>
        <w:rPr>
          <w:sz w:val="17"/>
          <w:szCs w:val="17"/>
        </w:rPr>
      </w:pPr>
      <w:r>
        <w:rPr>
          <w:sz w:val="17"/>
        </w:rPr>
        <w:t>[Continuación de la nota de la página anterior]</w:t>
      </w:r>
    </w:p>
  </w:endnote>
  <w:endnote w:type="continuationNotice" w:id="1">
    <w:p w:rsidR="00E73189" w:rsidRPr="007E663E" w:rsidRDefault="00E731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189" w:rsidRDefault="00E73189">
      <w:r>
        <w:separator/>
      </w:r>
    </w:p>
  </w:footnote>
  <w:footnote w:type="continuationSeparator" w:id="0">
    <w:p w:rsidR="00E73189" w:rsidRPr="009D30E6" w:rsidRDefault="00E73189" w:rsidP="007E663E">
      <w:pPr>
        <w:rPr>
          <w:sz w:val="17"/>
          <w:szCs w:val="17"/>
        </w:rPr>
      </w:pPr>
      <w:r w:rsidRPr="009D30E6">
        <w:rPr>
          <w:sz w:val="17"/>
          <w:szCs w:val="17"/>
        </w:rPr>
        <w:separator/>
      </w:r>
    </w:p>
    <w:p w:rsidR="00E73189" w:rsidRPr="007E663E" w:rsidRDefault="00E73189" w:rsidP="007E663E">
      <w:pPr>
        <w:spacing w:after="60"/>
        <w:rPr>
          <w:sz w:val="17"/>
          <w:szCs w:val="17"/>
        </w:rPr>
      </w:pPr>
      <w:r>
        <w:rPr>
          <w:sz w:val="17"/>
        </w:rPr>
        <w:t>[Continuación de la nota de la página anterior]</w:t>
      </w:r>
    </w:p>
  </w:footnote>
  <w:footnote w:type="continuationNotice" w:id="1">
    <w:p w:rsidR="00E73189" w:rsidRPr="007E663E" w:rsidRDefault="00E7318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256F7" w:rsidRDefault="0036632A" w:rsidP="0036632A">
    <w:pPr>
      <w:jc w:val="right"/>
      <w:rPr>
        <w:caps/>
        <w:lang w:val="es-ES_tradnl"/>
      </w:rPr>
    </w:pPr>
    <w:r w:rsidRPr="005256F7">
      <w:rPr>
        <w:caps/>
        <w:lang w:val="es-ES_tradnl"/>
      </w:rPr>
      <w:t>CWS/9/21</w:t>
    </w:r>
  </w:p>
  <w:p w:rsidR="00AE7F20" w:rsidRPr="005256F7" w:rsidRDefault="00FA7F69" w:rsidP="005256F7">
    <w:pPr>
      <w:spacing w:after="480"/>
      <w:jc w:val="right"/>
      <w:rPr>
        <w:lang w:val="es-ES_tradnl"/>
      </w:rPr>
    </w:pPr>
    <w:r w:rsidRPr="005256F7">
      <w:rPr>
        <w:lang w:val="es-ES_tradnl"/>
      </w:rPr>
      <w:t>página</w:t>
    </w:r>
    <w:r w:rsidR="00AE7F20" w:rsidRPr="005256F7">
      <w:rPr>
        <w:lang w:val="es-ES_tradnl"/>
      </w:rPr>
      <w:t xml:space="preserve"> </w:t>
    </w:r>
    <w:r w:rsidR="00AE7F20" w:rsidRPr="005256F7">
      <w:rPr>
        <w:lang w:val="es-ES_tradnl"/>
      </w:rPr>
      <w:fldChar w:fldCharType="begin"/>
    </w:r>
    <w:r w:rsidR="00AE7F20" w:rsidRPr="005256F7">
      <w:rPr>
        <w:lang w:val="es-ES_tradnl"/>
      </w:rPr>
      <w:instrText xml:space="preserve"> PAGE  \* MERGEFORMAT </w:instrText>
    </w:r>
    <w:r w:rsidR="00AE7F20" w:rsidRPr="005256F7">
      <w:rPr>
        <w:lang w:val="es-ES_tradnl"/>
      </w:rPr>
      <w:fldChar w:fldCharType="separate"/>
    </w:r>
    <w:r w:rsidR="00D05F56">
      <w:rPr>
        <w:noProof/>
        <w:lang w:val="es-ES_tradnl"/>
      </w:rPr>
      <w:t>2</w:t>
    </w:r>
    <w:r w:rsidR="00AE7F20" w:rsidRPr="005256F7">
      <w:rPr>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B7"/>
    <w:rsid w:val="00010686"/>
    <w:rsid w:val="00052915"/>
    <w:rsid w:val="0005681E"/>
    <w:rsid w:val="000E3BB3"/>
    <w:rsid w:val="000F5E56"/>
    <w:rsid w:val="001362EE"/>
    <w:rsid w:val="00152CEA"/>
    <w:rsid w:val="00156875"/>
    <w:rsid w:val="00167338"/>
    <w:rsid w:val="001832A6"/>
    <w:rsid w:val="001916B7"/>
    <w:rsid w:val="001F7CEE"/>
    <w:rsid w:val="002634C4"/>
    <w:rsid w:val="002C2E2F"/>
    <w:rsid w:val="002D23B5"/>
    <w:rsid w:val="002E0F47"/>
    <w:rsid w:val="002F4E68"/>
    <w:rsid w:val="00310826"/>
    <w:rsid w:val="00311311"/>
    <w:rsid w:val="00354647"/>
    <w:rsid w:val="0036632A"/>
    <w:rsid w:val="00377273"/>
    <w:rsid w:val="00383A76"/>
    <w:rsid w:val="003845C1"/>
    <w:rsid w:val="00387287"/>
    <w:rsid w:val="003C0CDE"/>
    <w:rsid w:val="003E48F1"/>
    <w:rsid w:val="003F347A"/>
    <w:rsid w:val="00423E3E"/>
    <w:rsid w:val="00427AF4"/>
    <w:rsid w:val="0045231F"/>
    <w:rsid w:val="004647DA"/>
    <w:rsid w:val="0046793F"/>
    <w:rsid w:val="00470446"/>
    <w:rsid w:val="00472A6E"/>
    <w:rsid w:val="00477808"/>
    <w:rsid w:val="00477D6B"/>
    <w:rsid w:val="004A6C37"/>
    <w:rsid w:val="004E297D"/>
    <w:rsid w:val="004F2FC0"/>
    <w:rsid w:val="005256F7"/>
    <w:rsid w:val="00531B02"/>
    <w:rsid w:val="005332F0"/>
    <w:rsid w:val="0055013B"/>
    <w:rsid w:val="00571B99"/>
    <w:rsid w:val="005B2EAE"/>
    <w:rsid w:val="00605827"/>
    <w:rsid w:val="006173A5"/>
    <w:rsid w:val="0063057E"/>
    <w:rsid w:val="00675021"/>
    <w:rsid w:val="006A06C6"/>
    <w:rsid w:val="007224C8"/>
    <w:rsid w:val="00757559"/>
    <w:rsid w:val="00794BE2"/>
    <w:rsid w:val="007A5581"/>
    <w:rsid w:val="007B26E7"/>
    <w:rsid w:val="007B71FE"/>
    <w:rsid w:val="007D781E"/>
    <w:rsid w:val="007E0AE2"/>
    <w:rsid w:val="007E663E"/>
    <w:rsid w:val="00815082"/>
    <w:rsid w:val="008332B4"/>
    <w:rsid w:val="008520FD"/>
    <w:rsid w:val="0088395E"/>
    <w:rsid w:val="0089400F"/>
    <w:rsid w:val="008B2CC1"/>
    <w:rsid w:val="008E6BD6"/>
    <w:rsid w:val="0090731E"/>
    <w:rsid w:val="00954F6A"/>
    <w:rsid w:val="00964196"/>
    <w:rsid w:val="00966A22"/>
    <w:rsid w:val="00972F03"/>
    <w:rsid w:val="0098367F"/>
    <w:rsid w:val="009A0C8B"/>
    <w:rsid w:val="009A20CD"/>
    <w:rsid w:val="009B6241"/>
    <w:rsid w:val="00A04D91"/>
    <w:rsid w:val="00A16FC0"/>
    <w:rsid w:val="00A32C9E"/>
    <w:rsid w:val="00A40F29"/>
    <w:rsid w:val="00A965B6"/>
    <w:rsid w:val="00AB613D"/>
    <w:rsid w:val="00AE604F"/>
    <w:rsid w:val="00AE7F20"/>
    <w:rsid w:val="00B534D5"/>
    <w:rsid w:val="00B65A0A"/>
    <w:rsid w:val="00B67CDC"/>
    <w:rsid w:val="00B72D36"/>
    <w:rsid w:val="00BC4164"/>
    <w:rsid w:val="00BD2DCC"/>
    <w:rsid w:val="00BF2629"/>
    <w:rsid w:val="00BF5A8E"/>
    <w:rsid w:val="00C235CF"/>
    <w:rsid w:val="00C90559"/>
    <w:rsid w:val="00CA0500"/>
    <w:rsid w:val="00CA2251"/>
    <w:rsid w:val="00CA438F"/>
    <w:rsid w:val="00CA567D"/>
    <w:rsid w:val="00CB5589"/>
    <w:rsid w:val="00D05F56"/>
    <w:rsid w:val="00D56C7C"/>
    <w:rsid w:val="00D71B4D"/>
    <w:rsid w:val="00D90289"/>
    <w:rsid w:val="00D93D55"/>
    <w:rsid w:val="00DB1B1C"/>
    <w:rsid w:val="00DC4C60"/>
    <w:rsid w:val="00DD6CF4"/>
    <w:rsid w:val="00E0079A"/>
    <w:rsid w:val="00E444DA"/>
    <w:rsid w:val="00E45C84"/>
    <w:rsid w:val="00E504E5"/>
    <w:rsid w:val="00E73189"/>
    <w:rsid w:val="00EB0D93"/>
    <w:rsid w:val="00EB404C"/>
    <w:rsid w:val="00EB4463"/>
    <w:rsid w:val="00EB7A3E"/>
    <w:rsid w:val="00EC1AA7"/>
    <w:rsid w:val="00EC401A"/>
    <w:rsid w:val="00EF530A"/>
    <w:rsid w:val="00EF6622"/>
    <w:rsid w:val="00EF78A9"/>
    <w:rsid w:val="00F30874"/>
    <w:rsid w:val="00F55408"/>
    <w:rsid w:val="00F66152"/>
    <w:rsid w:val="00F80845"/>
    <w:rsid w:val="00F84474"/>
    <w:rsid w:val="00FA0F0D"/>
    <w:rsid w:val="00FA7F69"/>
    <w:rsid w:val="00FC7074"/>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C594"/>
  <w15:docId w15:val="{82D7F73E-57F0-4EAD-9270-70F49E77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1916B7"/>
    <w:rPr>
      <w:rFonts w:ascii="Arial" w:eastAsia="SimSun" w:hAnsi="Arial" w:cs="Arial"/>
      <w:sz w:val="22"/>
      <w:lang w:val="es-ES" w:eastAsia="zh-CN"/>
    </w:rPr>
  </w:style>
  <w:style w:type="character" w:styleId="Hyperlink">
    <w:name w:val="Hyperlink"/>
    <w:basedOn w:val="DefaultParagraphFont"/>
    <w:unhideWhenUsed/>
    <w:rsid w:val="001916B7"/>
    <w:rPr>
      <w:color w:val="0000FF" w:themeColor="hyperlink"/>
      <w:u w:val="single"/>
    </w:rPr>
  </w:style>
  <w:style w:type="paragraph" w:customStyle="1" w:styleId="Endofdocument">
    <w:name w:val="End of document"/>
    <w:basedOn w:val="Normal"/>
    <w:rsid w:val="001916B7"/>
    <w:pPr>
      <w:spacing w:line="260" w:lineRule="atLeast"/>
      <w:ind w:left="5534"/>
    </w:pPr>
    <w:rPr>
      <w:rFonts w:eastAsia="Times New Roman" w:cs="Times New Roman"/>
      <w:sz w:val="20"/>
      <w:lang w:val="en-US" w:eastAsia="en-US"/>
    </w:rPr>
  </w:style>
  <w:style w:type="character" w:styleId="FollowedHyperlink">
    <w:name w:val="FollowedHyperlink"/>
    <w:basedOn w:val="DefaultParagraphFont"/>
    <w:semiHidden/>
    <w:unhideWhenUsed/>
    <w:rsid w:val="00AE60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tentscope.wipo.int/search/es/structuredSearch.js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EF52-B61A-441C-9172-C1D1E16E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CWS/9/21</vt:lpstr>
    </vt:vector>
  </TitlesOfParts>
  <Company>WIPO</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CWS/9/21</dc:title>
  <dc:creator>WIPO</dc:creator>
  <cp:keywords>FOR OFFICIAL USE ONLY</cp:keywords>
  <cp:lastModifiedBy>CHAVAS Louison</cp:lastModifiedBy>
  <cp:revision>2</cp:revision>
  <dcterms:created xsi:type="dcterms:W3CDTF">2021-10-19T12:39:00Z</dcterms:created>
  <dcterms:modified xsi:type="dcterms:W3CDTF">2021-10-19T12:39:00Z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