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D" w:rsidRPr="00D7751C" w:rsidRDefault="00472A6E" w:rsidP="006173A5">
      <w:pPr>
        <w:pBdr>
          <w:bottom w:val="single" w:sz="4" w:space="11" w:color="auto"/>
        </w:pBdr>
        <w:spacing w:after="120"/>
        <w:ind w:right="-57"/>
        <w:jc w:val="right"/>
        <w:rPr>
          <w:lang w:val="es-ES_tradnl"/>
        </w:rPr>
      </w:pPr>
      <w:r w:rsidRPr="00D7751C">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17FCD" w:rsidRPr="00D7751C" w:rsidRDefault="006173A5" w:rsidP="00472A6E">
      <w:pPr>
        <w:jc w:val="right"/>
        <w:rPr>
          <w:rFonts w:ascii="Arial Black" w:hAnsi="Arial Black"/>
          <w:caps/>
          <w:sz w:val="15"/>
          <w:lang w:val="es-ES_tradnl"/>
        </w:rPr>
      </w:pPr>
      <w:r w:rsidRPr="00D7751C">
        <w:rPr>
          <w:rFonts w:ascii="Arial Black" w:hAnsi="Arial Black"/>
          <w:caps/>
          <w:sz w:val="15"/>
          <w:lang w:val="es-ES_tradnl"/>
        </w:rPr>
        <w:t>CWS/9/</w:t>
      </w:r>
      <w:bookmarkStart w:id="0" w:name="Code"/>
      <w:bookmarkEnd w:id="0"/>
      <w:r w:rsidR="000F513D" w:rsidRPr="00D7751C">
        <w:rPr>
          <w:rFonts w:ascii="Arial Black" w:hAnsi="Arial Black"/>
          <w:caps/>
          <w:sz w:val="15"/>
          <w:lang w:val="es-ES_tradnl"/>
        </w:rPr>
        <w:t>12</w:t>
      </w:r>
      <w:r w:rsidR="008326FC">
        <w:rPr>
          <w:rFonts w:ascii="Arial Black" w:hAnsi="Arial Black"/>
          <w:caps/>
          <w:sz w:val="15"/>
          <w:lang w:val="es-ES_tradnl"/>
        </w:rPr>
        <w:t xml:space="preserve"> REV.</w:t>
      </w:r>
    </w:p>
    <w:p w:rsidR="00817FCD" w:rsidRPr="00D7751C" w:rsidRDefault="00472A6E" w:rsidP="00472A6E">
      <w:pPr>
        <w:jc w:val="right"/>
        <w:rPr>
          <w:lang w:val="es-ES_tradnl"/>
        </w:rPr>
      </w:pPr>
      <w:r w:rsidRPr="00D7751C">
        <w:rPr>
          <w:rFonts w:ascii="Arial Black" w:hAnsi="Arial Black"/>
          <w:caps/>
          <w:sz w:val="15"/>
          <w:lang w:val="es-ES_tradnl"/>
        </w:rPr>
        <w:t xml:space="preserve">ORIGINAL: </w:t>
      </w:r>
      <w:bookmarkStart w:id="1" w:name="Original"/>
      <w:r w:rsidR="000F513D" w:rsidRPr="00D7751C">
        <w:rPr>
          <w:rFonts w:ascii="Arial Black" w:hAnsi="Arial Black"/>
          <w:caps/>
          <w:sz w:val="15"/>
          <w:lang w:val="es-ES_tradnl"/>
        </w:rPr>
        <w:t>inglés</w:t>
      </w:r>
    </w:p>
    <w:bookmarkEnd w:id="1"/>
    <w:p w:rsidR="00817FCD" w:rsidRPr="00D7751C" w:rsidRDefault="00472A6E" w:rsidP="00472A6E">
      <w:pPr>
        <w:spacing w:after="1200"/>
        <w:jc w:val="right"/>
        <w:rPr>
          <w:lang w:val="es-ES_tradnl"/>
        </w:rPr>
      </w:pPr>
      <w:r w:rsidRPr="00D7751C">
        <w:rPr>
          <w:rFonts w:ascii="Arial Black" w:hAnsi="Arial Black"/>
          <w:caps/>
          <w:sz w:val="15"/>
          <w:lang w:val="es-ES_tradnl"/>
        </w:rPr>
        <w:t xml:space="preserve">fecha: </w:t>
      </w:r>
      <w:bookmarkStart w:id="2" w:name="Date"/>
      <w:r w:rsidR="0065771A">
        <w:rPr>
          <w:rFonts w:ascii="Arial Black" w:hAnsi="Arial Black"/>
          <w:caps/>
          <w:sz w:val="15"/>
          <w:lang w:val="es-ES_tradnl"/>
        </w:rPr>
        <w:t>27</w:t>
      </w:r>
      <w:r w:rsidR="000F513D" w:rsidRPr="00D7751C">
        <w:rPr>
          <w:rFonts w:ascii="Arial Black" w:hAnsi="Arial Black"/>
          <w:caps/>
          <w:sz w:val="15"/>
          <w:lang w:val="es-ES_tradnl"/>
        </w:rPr>
        <w:t xml:space="preserve"> de </w:t>
      </w:r>
      <w:r w:rsidR="008326FC">
        <w:rPr>
          <w:rFonts w:ascii="Arial Black" w:hAnsi="Arial Black"/>
          <w:caps/>
          <w:sz w:val="15"/>
          <w:lang w:val="es-ES_tradnl"/>
        </w:rPr>
        <w:t>octu</w:t>
      </w:r>
      <w:r w:rsidR="000F513D" w:rsidRPr="00D7751C">
        <w:rPr>
          <w:rFonts w:ascii="Arial Black" w:hAnsi="Arial Black"/>
          <w:caps/>
          <w:sz w:val="15"/>
          <w:lang w:val="es-ES_tradnl"/>
        </w:rPr>
        <w:t>bre de 2021</w:t>
      </w:r>
    </w:p>
    <w:bookmarkEnd w:id="2"/>
    <w:p w:rsidR="00817FCD" w:rsidRPr="00D7751C" w:rsidRDefault="00167338" w:rsidP="00D7751C">
      <w:pPr>
        <w:pStyle w:val="Heading1"/>
        <w:keepNext w:val="0"/>
        <w:spacing w:before="0" w:after="480"/>
        <w:rPr>
          <w:sz w:val="28"/>
          <w:lang w:val="es-ES_tradnl"/>
        </w:rPr>
      </w:pPr>
      <w:r w:rsidRPr="00D7751C">
        <w:rPr>
          <w:caps w:val="0"/>
          <w:sz w:val="28"/>
          <w:szCs w:val="28"/>
          <w:lang w:val="es-ES_tradnl"/>
        </w:rPr>
        <w:t>Comité de Normas Técnicas de la OMPI (CWS)</w:t>
      </w:r>
    </w:p>
    <w:p w:rsidR="00817FCD" w:rsidRPr="00D7751C" w:rsidRDefault="006173A5" w:rsidP="005B2EAE">
      <w:pPr>
        <w:outlineLvl w:val="1"/>
        <w:rPr>
          <w:b/>
          <w:sz w:val="24"/>
          <w:szCs w:val="24"/>
          <w:lang w:val="es-ES_tradnl"/>
        </w:rPr>
      </w:pPr>
      <w:r w:rsidRPr="00D7751C">
        <w:rPr>
          <w:b/>
          <w:sz w:val="24"/>
          <w:szCs w:val="24"/>
          <w:lang w:val="es-ES_tradnl"/>
        </w:rPr>
        <w:t>Novena sesión</w:t>
      </w:r>
    </w:p>
    <w:p w:rsidR="00817FCD" w:rsidRPr="00D7751C" w:rsidRDefault="00167338" w:rsidP="00472A6E">
      <w:pPr>
        <w:spacing w:after="720"/>
        <w:outlineLvl w:val="1"/>
        <w:rPr>
          <w:b/>
          <w:sz w:val="24"/>
          <w:szCs w:val="24"/>
          <w:lang w:val="es-ES_tradnl"/>
        </w:rPr>
      </w:pPr>
      <w:r w:rsidRPr="00D7751C">
        <w:rPr>
          <w:b/>
          <w:sz w:val="24"/>
          <w:szCs w:val="24"/>
          <w:lang w:val="es-ES_tradnl"/>
        </w:rPr>
        <w:t>Ginebra, 1 a 5 de noviembre de 2021</w:t>
      </w:r>
    </w:p>
    <w:p w:rsidR="00817FCD" w:rsidRPr="00D7751C" w:rsidRDefault="004D399C" w:rsidP="00D7751C">
      <w:pPr>
        <w:pStyle w:val="Heading2"/>
        <w:keepNext w:val="0"/>
        <w:spacing w:after="360"/>
        <w:rPr>
          <w:sz w:val="24"/>
          <w:lang w:val="es-ES_tradnl"/>
        </w:rPr>
      </w:pPr>
      <w:r w:rsidRPr="00D7751C">
        <w:rPr>
          <w:sz w:val="24"/>
          <w:lang w:val="es-ES_tradnl"/>
        </w:rPr>
        <w:t>Propuesta de revisión de la Norma ST.26 de la OMPI</w:t>
      </w:r>
    </w:p>
    <w:p w:rsidR="00817FCD" w:rsidRPr="00D7751C" w:rsidRDefault="004D399C" w:rsidP="004D399C">
      <w:pPr>
        <w:spacing w:after="1040"/>
        <w:rPr>
          <w:i/>
          <w:lang w:val="es-ES_tradnl"/>
        </w:rPr>
      </w:pPr>
      <w:r w:rsidRPr="00D7751C">
        <w:rPr>
          <w:i/>
          <w:lang w:val="es-ES_tradnl"/>
        </w:rPr>
        <w:t>Documento preparado por la Oficina Internacional</w:t>
      </w:r>
    </w:p>
    <w:p w:rsidR="00817FCD" w:rsidRPr="00D7751C" w:rsidRDefault="004D399C" w:rsidP="00D7751C">
      <w:pPr>
        <w:pStyle w:val="Heading2"/>
        <w:keepNext w:val="0"/>
        <w:spacing w:after="120"/>
        <w:rPr>
          <w:lang w:val="es-ES_tradnl"/>
        </w:rPr>
      </w:pPr>
      <w:bookmarkStart w:id="3" w:name="Prepared"/>
      <w:bookmarkEnd w:id="3"/>
      <w:r w:rsidRPr="00D7751C">
        <w:rPr>
          <w:lang w:val="es-ES_tradnl"/>
        </w:rPr>
        <w:t>Introducción</w:t>
      </w:r>
    </w:p>
    <w:p w:rsidR="00817FCD" w:rsidRPr="00D7751C" w:rsidRDefault="00CB0E46" w:rsidP="00022450">
      <w:pPr>
        <w:pStyle w:val="ONUMFS"/>
        <w:rPr>
          <w:lang w:val="es-ES_tradnl"/>
        </w:rPr>
      </w:pPr>
      <w:r w:rsidRPr="00D7751C">
        <w:rPr>
          <w:lang w:val="es-ES_tradnl"/>
        </w:rPr>
        <w:t xml:space="preserve">En la reanudación su cuarta sesión, celebrada en marzo de 2016, el Comité de Normas Técnicas de la OMPI (CWS) aprobó la Norma ST.26 de la OMPI (véase el párrafo 52 del documento CWS/4BIS/16), denominada </w:t>
      </w:r>
      <w:r w:rsidR="00D7751C" w:rsidRPr="00D7751C">
        <w:rPr>
          <w:lang w:val="es-ES_tradnl"/>
        </w:rPr>
        <w:t>“</w:t>
      </w:r>
      <w:r w:rsidRPr="00D7751C">
        <w:rPr>
          <w:lang w:val="es-ES_tradnl"/>
        </w:rPr>
        <w:t>Norma recomendada para la presentación de listas de secuencias de nucleótidos y aminoácidos en lenguaje extensible de marcado (XML)</w:t>
      </w:r>
      <w:r w:rsidR="00D7751C" w:rsidRPr="00D7751C">
        <w:rPr>
          <w:lang w:val="es-ES_tradnl"/>
        </w:rPr>
        <w:t>”</w:t>
      </w:r>
      <w:r w:rsidRPr="00D7751C">
        <w:rPr>
          <w:lang w:val="es-ES_tradnl"/>
        </w:rPr>
        <w:t>.</w:t>
      </w:r>
    </w:p>
    <w:p w:rsidR="00817FCD" w:rsidRPr="00D7751C" w:rsidRDefault="00CB0E46" w:rsidP="00022450">
      <w:pPr>
        <w:pStyle w:val="ONUMFS"/>
        <w:rPr>
          <w:lang w:val="es-ES_tradnl"/>
        </w:rPr>
      </w:pPr>
      <w:r w:rsidRPr="00D7751C">
        <w:rPr>
          <w:lang w:val="es-ES_tradnl"/>
        </w:rPr>
        <w:t>Las revisiones adicionales de la Norma ST.26 de la OMPI, a saber, las versiones 1.1 y 1.2, fueron aprobadas por el CWS en sus sesiones quinta y sexta, respectivamente (véase el párrafo 41 del documento CWS/5/22 y el párrafo 112 del documento CWS/6/34).</w:t>
      </w:r>
      <w:r w:rsidR="00144CFE" w:rsidRPr="00D7751C">
        <w:rPr>
          <w:lang w:val="es-ES_tradnl"/>
        </w:rPr>
        <w:t xml:space="preserve"> </w:t>
      </w:r>
      <w:r w:rsidRPr="00D7751C">
        <w:rPr>
          <w:lang w:val="es-ES_tradnl"/>
        </w:rPr>
        <w:t>En su séptima sesión, celebrada en julio de 2019, el CWS aprobó una nueva r</w:t>
      </w:r>
      <w:r w:rsidR="00D7751C" w:rsidRPr="00D7751C">
        <w:rPr>
          <w:lang w:val="es-ES_tradnl"/>
        </w:rPr>
        <w:t>evisión de la Norma, la versión </w:t>
      </w:r>
      <w:r w:rsidRPr="00D7751C">
        <w:rPr>
          <w:lang w:val="es-ES_tradnl"/>
        </w:rPr>
        <w:t>1.3 (véase el párrafo 133 del documento CWS/7/29).</w:t>
      </w:r>
      <w:r w:rsidR="00144CFE" w:rsidRPr="00D7751C">
        <w:rPr>
          <w:lang w:val="es-ES_tradnl"/>
        </w:rPr>
        <w:t xml:space="preserve"> </w:t>
      </w:r>
      <w:r w:rsidRPr="00D7751C">
        <w:rPr>
          <w:lang w:val="es-ES_tradnl"/>
        </w:rPr>
        <w:t>Recientemente, en su octava sesión, celebrada en diciembre de 2020, el CWS aprobó varias revisiones sustanciales y de redacción, y las publicó como la versión más reciente de la Norma ST.26, la 1.4 (véase el párrafo 49 del documento CWS/8/24).</w:t>
      </w:r>
    </w:p>
    <w:p w:rsidR="00817FCD" w:rsidRPr="00D7751C" w:rsidRDefault="00CB0E46" w:rsidP="00022450">
      <w:pPr>
        <w:pStyle w:val="ONUMFS"/>
        <w:rPr>
          <w:lang w:val="es-ES_tradnl"/>
        </w:rPr>
      </w:pPr>
      <w:r w:rsidRPr="00D7751C">
        <w:rPr>
          <w:lang w:val="es-ES_tradnl"/>
        </w:rPr>
        <w:t>El Equipo Técnico sobre Listas de Secuencias ha estado trabajando en el marco de la Tarea N.º 44, cuya descripción es:</w:t>
      </w:r>
    </w:p>
    <w:p w:rsidR="00817FCD" w:rsidRPr="00022450" w:rsidRDefault="00D7751C" w:rsidP="00022450">
      <w:pPr>
        <w:pStyle w:val="ONUMFS"/>
        <w:numPr>
          <w:ilvl w:val="0"/>
          <w:numId w:val="0"/>
        </w:numPr>
        <w:ind w:left="567"/>
        <w:rPr>
          <w:i/>
          <w:lang w:val="es-ES_tradnl"/>
        </w:rPr>
      </w:pPr>
      <w:r w:rsidRPr="00022450">
        <w:rPr>
          <w:i/>
          <w:lang w:val="es-ES_tradnl"/>
        </w:rPr>
        <w:t>“</w:t>
      </w:r>
      <w:r w:rsidR="00CB0E46" w:rsidRPr="00022450">
        <w:rPr>
          <w:i/>
          <w:lang w:val="es-ES_tradnl"/>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r w:rsidRPr="00022450">
        <w:rPr>
          <w:i/>
          <w:lang w:val="es-ES_tradnl"/>
        </w:rPr>
        <w:t>”</w:t>
      </w:r>
    </w:p>
    <w:p w:rsidR="00817FCD" w:rsidRPr="00D7751C" w:rsidRDefault="00CB0E46" w:rsidP="00D7751C">
      <w:pPr>
        <w:pStyle w:val="Heading2"/>
        <w:spacing w:after="120"/>
        <w:rPr>
          <w:lang w:val="es-ES_tradnl"/>
        </w:rPr>
      </w:pPr>
      <w:r w:rsidRPr="00D7751C">
        <w:rPr>
          <w:lang w:val="es-ES_tradnl"/>
        </w:rPr>
        <w:lastRenderedPageBreak/>
        <w:t>Propuesta de revisión de la Norma ST.26 de la OMPI</w:t>
      </w:r>
    </w:p>
    <w:p w:rsidR="00817FCD" w:rsidRPr="00D7751C" w:rsidRDefault="00020030" w:rsidP="00022450">
      <w:pPr>
        <w:pStyle w:val="ONUMFS"/>
        <w:rPr>
          <w:lang w:val="es-ES_tradnl"/>
        </w:rPr>
      </w:pPr>
      <w:r w:rsidRPr="00D7751C">
        <w:rPr>
          <w:lang w:val="es-ES_tradnl"/>
        </w:rPr>
        <w:t>El Equipo Técnico sobre Listas de Secuencias ha preparado una propuesta de revisión de la Norma ST.26 de la OMPI para que el CWS la examine y, en su caso, la apruebe. La propuesta figura en los Anexos I a III del presente documento, donde el resaltado amarillo indica el texto nuevo y el resaltado púrpura indica el texto suprimido.</w:t>
      </w:r>
    </w:p>
    <w:p w:rsidR="00817FCD" w:rsidRPr="00D7751C" w:rsidRDefault="00020030" w:rsidP="00022450">
      <w:pPr>
        <w:pStyle w:val="ONUMFS"/>
        <w:rPr>
          <w:lang w:val="es-ES_tradnl"/>
        </w:rPr>
      </w:pPr>
      <w:r w:rsidRPr="00D7751C">
        <w:rPr>
          <w:lang w:val="es-ES_tradnl"/>
        </w:rPr>
        <w:t>Los cambios propuestos en el cuerpo de la Norma ST.26 pueden resumirse como sigue:</w:t>
      </w:r>
    </w:p>
    <w:p w:rsidR="00817FCD" w:rsidRPr="00D7751C" w:rsidRDefault="00E006F2" w:rsidP="00022450">
      <w:pPr>
        <w:pStyle w:val="ONUMFS"/>
        <w:numPr>
          <w:ilvl w:val="1"/>
          <w:numId w:val="6"/>
        </w:numPr>
        <w:ind w:left="1134" w:hanging="567"/>
        <w:rPr>
          <w:lang w:val="es-ES_tradnl"/>
        </w:rPr>
      </w:pPr>
      <w:r w:rsidRPr="00D7751C">
        <w:rPr>
          <w:lang w:val="es-ES_tradnl"/>
        </w:rPr>
        <w:t xml:space="preserve">todos los casos de la característica </w:t>
      </w:r>
      <w:r w:rsidR="00D7751C" w:rsidRPr="00D7751C">
        <w:rPr>
          <w:lang w:val="es-ES_tradnl"/>
        </w:rPr>
        <w:t>“</w:t>
      </w:r>
      <w:r w:rsidRPr="00D7751C">
        <w:rPr>
          <w:lang w:val="es-ES_tradnl"/>
        </w:rPr>
        <w:t>SOURCE</w:t>
      </w:r>
      <w:r w:rsidR="00D7751C" w:rsidRPr="00D7751C">
        <w:rPr>
          <w:lang w:val="es-ES_tradnl"/>
        </w:rPr>
        <w:t>”</w:t>
      </w:r>
      <w:r w:rsidRPr="00D7751C">
        <w:rPr>
          <w:lang w:val="es-ES_tradnl"/>
        </w:rPr>
        <w:t xml:space="preserve"> de las secuencias de aminoácidos se han cambiado por </w:t>
      </w:r>
      <w:r w:rsidR="00D7751C" w:rsidRPr="00D7751C">
        <w:rPr>
          <w:lang w:val="es-ES_tradnl"/>
        </w:rPr>
        <w:t>“</w:t>
      </w:r>
      <w:proofErr w:type="spellStart"/>
      <w:r w:rsidRPr="00D7751C">
        <w:rPr>
          <w:lang w:val="es-ES_tradnl"/>
        </w:rPr>
        <w:t>source</w:t>
      </w:r>
      <w:proofErr w:type="spellEnd"/>
      <w:r w:rsidR="00D7751C" w:rsidRPr="00D7751C">
        <w:rPr>
          <w:lang w:val="es-ES_tradnl"/>
        </w:rPr>
        <w:t>”</w:t>
      </w:r>
      <w:r w:rsidRPr="00D7751C">
        <w:rPr>
          <w:lang w:val="es-ES_tradnl"/>
        </w:rPr>
        <w:t xml:space="preserve"> con arreglo a los últimos cambios de </w:t>
      </w:r>
      <w:proofErr w:type="spellStart"/>
      <w:r w:rsidRPr="00D7751C">
        <w:rPr>
          <w:lang w:val="es-ES_tradnl"/>
        </w:rPr>
        <w:t>UniProt</w:t>
      </w:r>
      <w:proofErr w:type="spellEnd"/>
      <w:r w:rsidRPr="00D7751C">
        <w:rPr>
          <w:lang w:val="es-ES_tradnl"/>
        </w:rPr>
        <w:t>;</w:t>
      </w:r>
    </w:p>
    <w:p w:rsidR="00817FCD" w:rsidRPr="00D7751C" w:rsidRDefault="00E006F2" w:rsidP="00022450">
      <w:pPr>
        <w:pStyle w:val="ONUMFS"/>
        <w:numPr>
          <w:ilvl w:val="1"/>
          <w:numId w:val="6"/>
        </w:numPr>
        <w:ind w:left="1134" w:hanging="567"/>
        <w:rPr>
          <w:lang w:val="es-ES_tradnl"/>
        </w:rPr>
      </w:pPr>
      <w:r w:rsidRPr="00D7751C">
        <w:rPr>
          <w:lang w:val="es-ES_tradnl"/>
        </w:rPr>
        <w:t xml:space="preserve">todos los casos de los calificadores </w:t>
      </w:r>
      <w:r w:rsidR="00D7751C" w:rsidRPr="00D7751C">
        <w:rPr>
          <w:lang w:val="es-ES_tradnl"/>
        </w:rPr>
        <w:t>“</w:t>
      </w:r>
      <w:r w:rsidRPr="00D7751C">
        <w:rPr>
          <w:lang w:val="es-ES_tradnl"/>
        </w:rPr>
        <w:t>ORGANISM</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MOL_TYPE</w:t>
      </w:r>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xml:space="preserve"> se han cambiado por </w:t>
      </w:r>
      <w:r w:rsidR="00D7751C" w:rsidRPr="00D7751C">
        <w:rPr>
          <w:lang w:val="es-ES_tradnl"/>
        </w:rPr>
        <w:t>“</w:t>
      </w:r>
      <w:proofErr w:type="spellStart"/>
      <w:r w:rsidRPr="00D7751C">
        <w:rPr>
          <w:lang w:val="es-ES_tradnl"/>
        </w:rPr>
        <w:t>organism</w:t>
      </w:r>
      <w:proofErr w:type="spellEnd"/>
      <w:r w:rsidR="00D7751C" w:rsidRPr="00D7751C">
        <w:rPr>
          <w:lang w:val="es-ES_tradnl"/>
        </w:rPr>
        <w:t>”</w:t>
      </w:r>
      <w:r w:rsidRPr="00D7751C">
        <w:rPr>
          <w:lang w:val="es-ES_tradnl"/>
        </w:rPr>
        <w:t xml:space="preserve">, </w:t>
      </w:r>
      <w:r w:rsidR="00D7751C" w:rsidRPr="00D7751C">
        <w:rPr>
          <w:lang w:val="es-ES_tradnl"/>
        </w:rPr>
        <w:t>“</w:t>
      </w:r>
      <w:proofErr w:type="spellStart"/>
      <w:r w:rsidRPr="00D7751C">
        <w:rPr>
          <w:lang w:val="es-ES_tradnl"/>
        </w:rPr>
        <w:t>mol_type</w:t>
      </w:r>
      <w:proofErr w:type="spellEnd"/>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xml:space="preserve"> con arreglo a los últimos cambios de </w:t>
      </w:r>
      <w:proofErr w:type="spellStart"/>
      <w:r w:rsidRPr="00D7751C">
        <w:rPr>
          <w:lang w:val="es-ES_tradnl"/>
        </w:rPr>
        <w:t>UniProt</w:t>
      </w:r>
      <w:proofErr w:type="spellEnd"/>
      <w:r w:rsidRPr="00D7751C">
        <w:rPr>
          <w:lang w:val="es-ES_tradnl"/>
        </w:rPr>
        <w:t>;</w:t>
      </w:r>
    </w:p>
    <w:p w:rsidR="00817FCD" w:rsidRPr="00D7751C" w:rsidRDefault="00FD2B3E" w:rsidP="00022450">
      <w:pPr>
        <w:pStyle w:val="ONUMFS"/>
        <w:numPr>
          <w:ilvl w:val="1"/>
          <w:numId w:val="6"/>
        </w:numPr>
        <w:ind w:left="1134" w:hanging="567"/>
        <w:rPr>
          <w:lang w:val="es-ES_tradnl"/>
        </w:rPr>
      </w:pPr>
      <w:r w:rsidRPr="00D7751C">
        <w:rPr>
          <w:lang w:val="es-ES_tradnl"/>
        </w:rPr>
        <w:t xml:space="preserve">todos los casos de </w:t>
      </w:r>
      <w:r w:rsidR="00D7751C" w:rsidRPr="00D7751C">
        <w:rPr>
          <w:lang w:val="es-ES_tradnl"/>
        </w:rPr>
        <w:t>“</w:t>
      </w:r>
      <w:r w:rsidRPr="00D7751C">
        <w:rPr>
          <w:lang w:val="es-ES_tradnl"/>
        </w:rPr>
        <w:t>Oficina de patentes</w:t>
      </w:r>
      <w:r w:rsidR="00D7751C" w:rsidRPr="00D7751C">
        <w:rPr>
          <w:lang w:val="es-ES_tradnl"/>
        </w:rPr>
        <w:t>”</w:t>
      </w:r>
      <w:r w:rsidRPr="00D7751C">
        <w:rPr>
          <w:lang w:val="es-ES_tradnl"/>
        </w:rPr>
        <w:t xml:space="preserve"> se han cambiado por </w:t>
      </w:r>
      <w:r w:rsidR="00D7751C" w:rsidRPr="00D7751C">
        <w:rPr>
          <w:lang w:val="es-ES_tradnl"/>
        </w:rPr>
        <w:t>“</w:t>
      </w:r>
      <w:r w:rsidRPr="00D7751C">
        <w:rPr>
          <w:lang w:val="es-ES_tradnl"/>
        </w:rPr>
        <w:t>OPI</w:t>
      </w:r>
      <w:r w:rsidR="00D7751C" w:rsidRPr="00D7751C">
        <w:rPr>
          <w:lang w:val="es-ES_tradnl"/>
        </w:rPr>
        <w:t>”</w:t>
      </w:r>
      <w:r w:rsidRPr="00D7751C">
        <w:rPr>
          <w:lang w:val="es-ES_tradnl"/>
        </w:rPr>
        <w:t>;</w:t>
      </w:r>
    </w:p>
    <w:p w:rsidR="00817FCD" w:rsidRPr="00D7751C" w:rsidRDefault="0067184B" w:rsidP="00022450">
      <w:pPr>
        <w:pStyle w:val="ONUMFS"/>
        <w:numPr>
          <w:ilvl w:val="1"/>
          <w:numId w:val="6"/>
        </w:numPr>
        <w:ind w:left="1134" w:hanging="567"/>
        <w:rPr>
          <w:lang w:val="es-ES_tradnl"/>
        </w:rPr>
      </w:pPr>
      <w:r w:rsidRPr="00D7751C">
        <w:rPr>
          <w:lang w:val="es-ES_tradnl"/>
        </w:rPr>
        <w:t xml:space="preserve">se ha cambiado la posición de la sigla </w:t>
      </w:r>
      <w:r w:rsidR="00D7751C" w:rsidRPr="00D7751C">
        <w:rPr>
          <w:lang w:val="es-ES_tradnl"/>
        </w:rPr>
        <w:t>“</w:t>
      </w:r>
      <w:r w:rsidRPr="00D7751C">
        <w:rPr>
          <w:lang w:val="es-ES_tradnl"/>
        </w:rPr>
        <w:t>DTD</w:t>
      </w:r>
      <w:r w:rsidR="00D7751C" w:rsidRPr="00D7751C">
        <w:rPr>
          <w:lang w:val="es-ES_tradnl"/>
        </w:rPr>
        <w:t>”</w:t>
      </w:r>
      <w:r w:rsidRPr="00D7751C">
        <w:rPr>
          <w:lang w:val="es-ES_tradnl"/>
        </w:rPr>
        <w:t xml:space="preserve"> para que figure junto a </w:t>
      </w:r>
      <w:r w:rsidR="00D7751C" w:rsidRPr="00D7751C">
        <w:rPr>
          <w:lang w:val="es-ES_tradnl"/>
        </w:rPr>
        <w:t>“</w:t>
      </w:r>
      <w:r w:rsidRPr="00D7751C">
        <w:rPr>
          <w:lang w:val="es-ES_tradnl"/>
        </w:rPr>
        <w:t>Definiciones de tipo de documento</w:t>
      </w:r>
      <w:r w:rsidR="00D7751C" w:rsidRPr="00D7751C">
        <w:rPr>
          <w:lang w:val="es-ES_tradnl"/>
        </w:rPr>
        <w:t>”</w:t>
      </w:r>
      <w:r w:rsidRPr="00D7751C">
        <w:rPr>
          <w:lang w:val="es-ES_tradnl"/>
        </w:rPr>
        <w:t>;</w:t>
      </w:r>
    </w:p>
    <w:p w:rsidR="00817FCD" w:rsidRPr="00D7751C" w:rsidRDefault="0067184B" w:rsidP="00022450">
      <w:pPr>
        <w:pStyle w:val="ONUMFS"/>
        <w:numPr>
          <w:ilvl w:val="1"/>
          <w:numId w:val="6"/>
        </w:numPr>
        <w:ind w:left="1134" w:hanging="567"/>
        <w:rPr>
          <w:lang w:val="es-ES_tradnl"/>
        </w:rPr>
      </w:pPr>
      <w:r w:rsidRPr="00D7751C">
        <w:rPr>
          <w:lang w:val="es-ES_tradnl"/>
        </w:rPr>
        <w:t xml:space="preserve">en el párrafo </w:t>
      </w:r>
      <w:proofErr w:type="gramStart"/>
      <w:r w:rsidRPr="00D7751C">
        <w:rPr>
          <w:lang w:val="es-ES_tradnl"/>
        </w:rPr>
        <w:t>3.g)i</w:t>
      </w:r>
      <w:proofErr w:type="gramEnd"/>
      <w:r w:rsidRPr="00D7751C">
        <w:rPr>
          <w:lang w:val="es-ES_tradnl"/>
        </w:rPr>
        <w:t xml:space="preserve">)2) se ha sustituido </w:t>
      </w:r>
      <w:r w:rsidR="00D7751C" w:rsidRPr="00D7751C">
        <w:rPr>
          <w:lang w:val="es-ES_tradnl"/>
        </w:rPr>
        <w:t>“</w:t>
      </w:r>
      <w:r w:rsidRPr="00D7751C">
        <w:rPr>
          <w:lang w:val="es-ES_tradnl"/>
        </w:rPr>
        <w:t>análogos de nucleótidos</w:t>
      </w:r>
      <w:r w:rsidR="00D7751C" w:rsidRPr="00D7751C">
        <w:rPr>
          <w:lang w:val="es-ES_tradnl"/>
        </w:rPr>
        <w:t>”</w:t>
      </w:r>
      <w:r w:rsidRPr="00D7751C">
        <w:rPr>
          <w:lang w:val="es-ES_tradnl"/>
        </w:rPr>
        <w:t xml:space="preserve"> por </w:t>
      </w:r>
      <w:r w:rsidR="00D7751C" w:rsidRPr="00D7751C">
        <w:rPr>
          <w:lang w:val="es-ES_tradnl"/>
        </w:rPr>
        <w:t>“</w:t>
      </w:r>
      <w:r w:rsidRPr="00D7751C">
        <w:rPr>
          <w:lang w:val="es-ES_tradnl"/>
        </w:rPr>
        <w:t>componentes del esqueleto</w:t>
      </w:r>
      <w:r w:rsidR="00D7751C" w:rsidRPr="00D7751C">
        <w:rPr>
          <w:lang w:val="es-ES_tradnl"/>
        </w:rPr>
        <w:t>”</w:t>
      </w:r>
      <w:r w:rsidRPr="00D7751C">
        <w:rPr>
          <w:lang w:val="es-ES_tradnl"/>
        </w:rPr>
        <w:t>;</w:t>
      </w:r>
    </w:p>
    <w:p w:rsidR="00817FCD" w:rsidRPr="00D7751C" w:rsidRDefault="00752053" w:rsidP="00022450">
      <w:pPr>
        <w:pStyle w:val="ONUMFS"/>
        <w:numPr>
          <w:ilvl w:val="1"/>
          <w:numId w:val="6"/>
        </w:numPr>
        <w:ind w:left="1134" w:hanging="567"/>
        <w:rPr>
          <w:lang w:val="es-ES_tradnl"/>
        </w:rPr>
      </w:pPr>
      <w:r w:rsidRPr="00D7751C">
        <w:rPr>
          <w:lang w:val="es-ES_tradnl"/>
        </w:rPr>
        <w:t xml:space="preserve">se ha modificado el segmento de código en el párrafo 44 para corregir las comillas utilizadas en </w:t>
      </w:r>
      <w:proofErr w:type="spellStart"/>
      <w:r w:rsidRPr="00D7751C">
        <w:rPr>
          <w:lang w:val="es-ES_tradnl"/>
        </w:rPr>
        <w:t>softwareVersion</w:t>
      </w:r>
      <w:proofErr w:type="spellEnd"/>
      <w:r w:rsidRPr="00D7751C">
        <w:rPr>
          <w:lang w:val="es-ES_tradnl"/>
        </w:rPr>
        <w:t xml:space="preserve">, que deben ser: </w:t>
      </w:r>
      <w:proofErr w:type="spellStart"/>
      <w:r w:rsidRPr="00D7751C">
        <w:rPr>
          <w:lang w:val="es-ES_tradnl"/>
        </w:rPr>
        <w:t>softwareVersion</w:t>
      </w:r>
      <w:proofErr w:type="spellEnd"/>
      <w:proofErr w:type="gramStart"/>
      <w:r w:rsidRPr="00D7751C">
        <w:rPr>
          <w:lang w:val="es-ES_tradnl"/>
        </w:rPr>
        <w:t>=</w:t>
      </w:r>
      <w:r w:rsidR="00D7751C" w:rsidRPr="00D7751C">
        <w:rPr>
          <w:lang w:val="es-ES_tradnl"/>
        </w:rPr>
        <w:t>“</w:t>
      </w:r>
      <w:proofErr w:type="gramEnd"/>
      <w:r w:rsidRPr="00D7751C">
        <w:rPr>
          <w:lang w:val="es-ES_tradnl"/>
        </w:rPr>
        <w:t>1.0</w:t>
      </w:r>
      <w:r w:rsidR="00D7751C" w:rsidRPr="00D7751C">
        <w:rPr>
          <w:lang w:val="es-ES_tradnl"/>
        </w:rPr>
        <w:t>”</w:t>
      </w:r>
      <w:r w:rsidRPr="00D7751C">
        <w:rPr>
          <w:lang w:val="es-ES_tradnl"/>
        </w:rPr>
        <w:t>;</w:t>
      </w:r>
    </w:p>
    <w:p w:rsidR="00817FCD" w:rsidRPr="00D7751C" w:rsidRDefault="00752053" w:rsidP="00022450">
      <w:pPr>
        <w:pStyle w:val="ONUMFS"/>
        <w:numPr>
          <w:ilvl w:val="1"/>
          <w:numId w:val="6"/>
        </w:numPr>
        <w:ind w:left="1134" w:hanging="567"/>
        <w:rPr>
          <w:lang w:val="es-ES_tradnl"/>
        </w:rPr>
      </w:pPr>
      <w:r w:rsidRPr="00D7751C">
        <w:rPr>
          <w:lang w:val="es-ES_tradnl"/>
        </w:rPr>
        <w:t xml:space="preserve">se ha editado el párrafo 46, ejemplos 1 y 2, para </w:t>
      </w:r>
      <w:r w:rsidR="003C7DA7" w:rsidRPr="00D7751C">
        <w:rPr>
          <w:lang w:val="es-ES_tradnl"/>
        </w:rPr>
        <w:t>cambiar</w:t>
      </w:r>
      <w:r w:rsidRPr="00D7751C">
        <w:rPr>
          <w:lang w:val="es-ES_tradnl"/>
        </w:rPr>
        <w:t xml:space="preserve"> el código </w:t>
      </w:r>
      <w:proofErr w:type="spellStart"/>
      <w:r w:rsidRPr="00D7751C">
        <w:rPr>
          <w:lang w:val="es-ES_tradnl"/>
        </w:rPr>
        <w:t>nonEnglishFreeTextLanguageCode</w:t>
      </w:r>
      <w:proofErr w:type="spellEnd"/>
      <w:r w:rsidRPr="00D7751C">
        <w:rPr>
          <w:lang w:val="es-ES_tradnl"/>
        </w:rPr>
        <w:t xml:space="preserve"> de </w:t>
      </w:r>
      <w:r w:rsidR="00D7751C" w:rsidRPr="00D7751C">
        <w:rPr>
          <w:lang w:val="es-ES_tradnl"/>
        </w:rPr>
        <w:t>“</w:t>
      </w:r>
      <w:proofErr w:type="spellStart"/>
      <w:r w:rsidRPr="00D7751C">
        <w:rPr>
          <w:lang w:val="es-ES_tradnl"/>
        </w:rPr>
        <w:t>jp</w:t>
      </w:r>
      <w:proofErr w:type="spellEnd"/>
      <w:r w:rsidR="00D7751C" w:rsidRPr="00D7751C">
        <w:rPr>
          <w:lang w:val="es-ES_tradnl"/>
        </w:rPr>
        <w:t>”</w:t>
      </w:r>
      <w:r w:rsidRPr="00D7751C">
        <w:rPr>
          <w:lang w:val="es-ES_tradnl"/>
        </w:rPr>
        <w:t xml:space="preserve"> a </w:t>
      </w:r>
      <w:r w:rsidR="00D7751C" w:rsidRPr="00D7751C">
        <w:rPr>
          <w:lang w:val="es-ES_tradnl"/>
        </w:rPr>
        <w:t>“</w:t>
      </w:r>
      <w:r w:rsidRPr="00D7751C">
        <w:rPr>
          <w:lang w:val="es-ES_tradnl"/>
        </w:rPr>
        <w:t>ja</w:t>
      </w:r>
      <w:r w:rsidR="00D7751C" w:rsidRPr="00D7751C">
        <w:rPr>
          <w:lang w:val="es-ES_tradnl"/>
        </w:rPr>
        <w:t>”</w:t>
      </w:r>
      <w:r w:rsidRPr="00D7751C">
        <w:rPr>
          <w:lang w:val="es-ES_tradnl"/>
        </w:rPr>
        <w:t xml:space="preserve"> y también para corregir la sangría de &lt;</w:t>
      </w:r>
      <w:proofErr w:type="spellStart"/>
      <w:r w:rsidRPr="00D7751C">
        <w:rPr>
          <w:lang w:val="es-ES_tradnl"/>
        </w:rPr>
        <w:t>FilingDate</w:t>
      </w:r>
      <w:proofErr w:type="spellEnd"/>
      <w:r w:rsidRPr="00D7751C">
        <w:rPr>
          <w:lang w:val="es-ES_tradnl"/>
        </w:rPr>
        <w:t>&gt; a fin de alinearla con &lt;</w:t>
      </w:r>
      <w:proofErr w:type="spellStart"/>
      <w:r w:rsidRPr="00D7751C">
        <w:rPr>
          <w:lang w:val="es-ES_tradnl"/>
        </w:rPr>
        <w:t>ApplicationNumberText</w:t>
      </w:r>
      <w:proofErr w:type="spellEnd"/>
      <w:r w:rsidRPr="00D7751C">
        <w:rPr>
          <w:lang w:val="es-ES_tradnl"/>
        </w:rPr>
        <w:t>&gt;; y</w:t>
      </w:r>
    </w:p>
    <w:p w:rsidR="00817FCD" w:rsidRPr="00022450" w:rsidRDefault="00752053" w:rsidP="00022450">
      <w:pPr>
        <w:pStyle w:val="ONUMFS"/>
        <w:numPr>
          <w:ilvl w:val="1"/>
          <w:numId w:val="6"/>
        </w:numPr>
        <w:ind w:left="1134" w:hanging="567"/>
        <w:rPr>
          <w:lang w:val="es-ES_tradnl"/>
        </w:rPr>
      </w:pPr>
      <w:r w:rsidRPr="00022450">
        <w:rPr>
          <w:lang w:val="es-ES_tradnl"/>
        </w:rPr>
        <w:t xml:space="preserve">se ha editado el párrafo 97 para sustituir la expresión </w:t>
      </w:r>
      <w:r w:rsidR="00D7751C" w:rsidRPr="00022450">
        <w:rPr>
          <w:lang w:val="es-ES_tradnl"/>
        </w:rPr>
        <w:t>“</w:t>
      </w:r>
      <w:r w:rsidRPr="00022450">
        <w:rPr>
          <w:lang w:val="es-ES_tradnl"/>
        </w:rPr>
        <w:t>...un subgrupo de...</w:t>
      </w:r>
      <w:r w:rsidR="00D7751C" w:rsidRPr="00022450">
        <w:rPr>
          <w:lang w:val="es-ES_tradnl"/>
        </w:rPr>
        <w:t>”</w:t>
      </w:r>
      <w:r w:rsidRPr="00022450">
        <w:rPr>
          <w:lang w:val="es-ES_tradnl"/>
        </w:rPr>
        <w:t xml:space="preserve"> por </w:t>
      </w:r>
      <w:r w:rsidR="00D7751C" w:rsidRPr="00022450">
        <w:rPr>
          <w:lang w:val="es-ES_tradnl"/>
        </w:rPr>
        <w:t>“</w:t>
      </w:r>
      <w:r w:rsidRPr="00022450">
        <w:rPr>
          <w:lang w:val="es-ES_tradnl"/>
        </w:rPr>
        <w:t>...un valor distinto de...</w:t>
      </w:r>
      <w:r w:rsidR="00D7751C" w:rsidRPr="00022450">
        <w:rPr>
          <w:lang w:val="es-ES_tradnl"/>
        </w:rPr>
        <w:t>”</w:t>
      </w:r>
      <w:r w:rsidRPr="00022450">
        <w:rPr>
          <w:lang w:val="es-ES_tradnl"/>
        </w:rPr>
        <w:t>.</w:t>
      </w:r>
    </w:p>
    <w:p w:rsidR="00817FCD" w:rsidRPr="00D7751C" w:rsidRDefault="00832500" w:rsidP="00022450">
      <w:pPr>
        <w:pStyle w:val="ONUMFS"/>
        <w:rPr>
          <w:lang w:val="es-ES_tradnl"/>
        </w:rPr>
      </w:pPr>
      <w:r w:rsidRPr="00D7751C">
        <w:rPr>
          <w:lang w:val="es-ES_tradnl"/>
        </w:rPr>
        <w:t>Los cambios propuestos en los Anexos de la Norma ST.26 están resaltados para que el CWS los examine. La lista completa de cambios figura en los Anexos I a III del presente documento:</w:t>
      </w:r>
    </w:p>
    <w:p w:rsidR="00817FCD" w:rsidRPr="00D7751C" w:rsidRDefault="00832500" w:rsidP="00022450">
      <w:pPr>
        <w:pStyle w:val="ONUMFS"/>
        <w:numPr>
          <w:ilvl w:val="1"/>
          <w:numId w:val="6"/>
        </w:numPr>
        <w:ind w:left="1134" w:hanging="567"/>
        <w:rPr>
          <w:lang w:val="es-ES_tradnl"/>
        </w:rPr>
      </w:pPr>
      <w:r w:rsidRPr="00D7751C">
        <w:rPr>
          <w:lang w:val="es-ES_tradnl"/>
        </w:rPr>
        <w:t xml:space="preserve">todos los casos de la característica </w:t>
      </w:r>
      <w:r w:rsidR="00D7751C" w:rsidRPr="00D7751C">
        <w:rPr>
          <w:lang w:val="es-ES_tradnl"/>
        </w:rPr>
        <w:t>“</w:t>
      </w:r>
      <w:r w:rsidRPr="00D7751C">
        <w:rPr>
          <w:lang w:val="es-ES_tradnl"/>
        </w:rPr>
        <w:t>SOURCE</w:t>
      </w:r>
      <w:r w:rsidR="00D7751C" w:rsidRPr="00D7751C">
        <w:rPr>
          <w:lang w:val="es-ES_tradnl"/>
        </w:rPr>
        <w:t>”</w:t>
      </w:r>
      <w:r w:rsidRPr="00D7751C">
        <w:rPr>
          <w:lang w:val="es-ES_tradnl"/>
        </w:rPr>
        <w:t xml:space="preserve"> de las secuencias de aminoácidos se han cambiado por </w:t>
      </w:r>
      <w:r w:rsidR="00D7751C" w:rsidRPr="00D7751C">
        <w:rPr>
          <w:lang w:val="es-ES_tradnl"/>
        </w:rPr>
        <w:t>“</w:t>
      </w:r>
      <w:proofErr w:type="spellStart"/>
      <w:r w:rsidRPr="00D7751C">
        <w:rPr>
          <w:lang w:val="es-ES_tradnl"/>
        </w:rPr>
        <w:t>source</w:t>
      </w:r>
      <w:proofErr w:type="spellEnd"/>
      <w:r w:rsidR="00D7751C" w:rsidRPr="00D7751C">
        <w:rPr>
          <w:lang w:val="es-ES_tradnl"/>
        </w:rPr>
        <w:t>”</w:t>
      </w:r>
      <w:r w:rsidRPr="00D7751C">
        <w:rPr>
          <w:lang w:val="es-ES_tradnl"/>
        </w:rPr>
        <w:t xml:space="preserve">, incluida la sección 7 del Anexo I, con arreglo a los últimos cambios de </w:t>
      </w:r>
      <w:proofErr w:type="spellStart"/>
      <w:r w:rsidRPr="00D7751C">
        <w:rPr>
          <w:lang w:val="es-ES_tradnl"/>
        </w:rPr>
        <w:t>UniProt</w:t>
      </w:r>
      <w:proofErr w:type="spellEnd"/>
      <w:r w:rsidRPr="00D7751C">
        <w:rPr>
          <w:lang w:val="es-ES_tradnl"/>
        </w:rPr>
        <w:t>;</w:t>
      </w:r>
    </w:p>
    <w:p w:rsidR="00817FCD" w:rsidRPr="00D7751C" w:rsidRDefault="00832500" w:rsidP="00022450">
      <w:pPr>
        <w:pStyle w:val="ONUMFS"/>
        <w:numPr>
          <w:ilvl w:val="1"/>
          <w:numId w:val="6"/>
        </w:numPr>
        <w:ind w:left="1134" w:hanging="567"/>
        <w:rPr>
          <w:lang w:val="es-ES_tradnl"/>
        </w:rPr>
      </w:pPr>
      <w:r w:rsidRPr="00D7751C">
        <w:rPr>
          <w:lang w:val="es-ES_tradnl"/>
        </w:rPr>
        <w:t xml:space="preserve">todos los casos de los calificadores </w:t>
      </w:r>
      <w:r w:rsidR="00D7751C" w:rsidRPr="00D7751C">
        <w:rPr>
          <w:lang w:val="es-ES_tradnl"/>
        </w:rPr>
        <w:t>“</w:t>
      </w:r>
      <w:r w:rsidRPr="00D7751C">
        <w:rPr>
          <w:lang w:val="es-ES_tradnl"/>
        </w:rPr>
        <w:t>ORGANISM</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MOL_TYPE</w:t>
      </w:r>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xml:space="preserve"> se han cambiado por </w:t>
      </w:r>
      <w:r w:rsidR="00D7751C" w:rsidRPr="00D7751C">
        <w:rPr>
          <w:lang w:val="es-ES_tradnl"/>
        </w:rPr>
        <w:t>“</w:t>
      </w:r>
      <w:proofErr w:type="spellStart"/>
      <w:r w:rsidRPr="00D7751C">
        <w:rPr>
          <w:lang w:val="es-ES_tradnl"/>
        </w:rPr>
        <w:t>organism</w:t>
      </w:r>
      <w:proofErr w:type="spellEnd"/>
      <w:r w:rsidR="00D7751C" w:rsidRPr="00D7751C">
        <w:rPr>
          <w:lang w:val="es-ES_tradnl"/>
        </w:rPr>
        <w:t>”</w:t>
      </w:r>
      <w:r w:rsidRPr="00D7751C">
        <w:rPr>
          <w:lang w:val="es-ES_tradnl"/>
        </w:rPr>
        <w:t xml:space="preserve">, </w:t>
      </w:r>
      <w:r w:rsidR="00D7751C" w:rsidRPr="00D7751C">
        <w:rPr>
          <w:lang w:val="es-ES_tradnl"/>
        </w:rPr>
        <w:t>“</w:t>
      </w:r>
      <w:proofErr w:type="spellStart"/>
      <w:r w:rsidRPr="00D7751C">
        <w:rPr>
          <w:lang w:val="es-ES_tradnl"/>
        </w:rPr>
        <w:t>mol_type</w:t>
      </w:r>
      <w:proofErr w:type="spellEnd"/>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xml:space="preserve">, incluida la sección 8 del Anexo I, con arreglo a los últimos cambios de </w:t>
      </w:r>
      <w:proofErr w:type="spellStart"/>
      <w:r w:rsidRPr="00D7751C">
        <w:rPr>
          <w:lang w:val="es-ES_tradnl"/>
        </w:rPr>
        <w:t>UniProt</w:t>
      </w:r>
      <w:proofErr w:type="spellEnd"/>
      <w:r w:rsidRPr="00D7751C">
        <w:rPr>
          <w:lang w:val="es-ES_tradnl"/>
        </w:rPr>
        <w:t>;</w:t>
      </w:r>
    </w:p>
    <w:p w:rsidR="00817FCD" w:rsidRPr="00D7751C" w:rsidRDefault="00832500" w:rsidP="00022450">
      <w:pPr>
        <w:pStyle w:val="ONUMFS"/>
        <w:numPr>
          <w:ilvl w:val="1"/>
          <w:numId w:val="6"/>
        </w:numPr>
        <w:ind w:left="1134" w:hanging="567"/>
        <w:rPr>
          <w:lang w:val="es-ES_tradnl"/>
        </w:rPr>
      </w:pPr>
      <w:r w:rsidRPr="00D7751C">
        <w:rPr>
          <w:lang w:val="es-ES_tradnl"/>
        </w:rPr>
        <w:t xml:space="preserve">la cabecera de la segunda columna de los cuadros 1 y 3 y los cuadros A y B se ha sustituido por </w:t>
      </w:r>
      <w:r w:rsidR="00D7751C" w:rsidRPr="00D7751C">
        <w:rPr>
          <w:lang w:val="es-ES_tradnl"/>
        </w:rPr>
        <w:t>“</w:t>
      </w:r>
      <w:r w:rsidRPr="00D7751C">
        <w:rPr>
          <w:lang w:val="es-ES_tradnl"/>
        </w:rPr>
        <w:t>Definición</w:t>
      </w:r>
      <w:r w:rsidR="00D7751C" w:rsidRPr="00D7751C">
        <w:rPr>
          <w:lang w:val="es-ES_tradnl"/>
        </w:rPr>
        <w:t>”</w:t>
      </w:r>
      <w:r w:rsidRPr="00D7751C">
        <w:rPr>
          <w:lang w:val="es-ES_tradnl"/>
        </w:rPr>
        <w:t xml:space="preserve"> por motivos de coherencia.</w:t>
      </w:r>
      <w:r w:rsidR="00144CFE" w:rsidRPr="00D7751C">
        <w:rPr>
          <w:lang w:val="es-ES_tradnl"/>
        </w:rPr>
        <w:t xml:space="preserve"> </w:t>
      </w:r>
      <w:r w:rsidRPr="00D7751C">
        <w:rPr>
          <w:lang w:val="es-ES_tradnl"/>
        </w:rPr>
        <w:t>También se ha añadido una columna con un código de 3 letras al cuadro B;</w:t>
      </w:r>
    </w:p>
    <w:p w:rsidR="00817FCD" w:rsidRPr="00D7751C" w:rsidRDefault="00832500" w:rsidP="00022450">
      <w:pPr>
        <w:pStyle w:val="ONUMFS"/>
        <w:numPr>
          <w:ilvl w:val="1"/>
          <w:numId w:val="6"/>
        </w:numPr>
        <w:ind w:left="1134" w:hanging="567"/>
        <w:rPr>
          <w:lang w:val="es-ES_tradnl"/>
        </w:rPr>
      </w:pPr>
      <w:r w:rsidRPr="00D7751C">
        <w:rPr>
          <w:lang w:val="es-ES_tradnl"/>
        </w:rPr>
        <w:t>se han añadido calificadores al Anexo I con arreglo a las últimas actualizaciones de la INSDC;</w:t>
      </w:r>
    </w:p>
    <w:p w:rsidR="00817FCD" w:rsidRPr="00D7751C" w:rsidRDefault="009F725B" w:rsidP="00022450">
      <w:pPr>
        <w:pStyle w:val="ONUMFS"/>
        <w:numPr>
          <w:ilvl w:val="1"/>
          <w:numId w:val="6"/>
        </w:numPr>
        <w:ind w:left="1134" w:hanging="567"/>
        <w:rPr>
          <w:lang w:val="es-ES_tradnl"/>
        </w:rPr>
      </w:pPr>
      <w:r w:rsidRPr="00D7751C">
        <w:rPr>
          <w:lang w:val="es-ES_tradnl"/>
        </w:rPr>
        <w:t>se ha añadido un nuevo ejemplo 29-2 al Anexo VI para aclarar la inclusión del aminoácido no modificado correspondiente;</w:t>
      </w:r>
    </w:p>
    <w:p w:rsidR="00817FCD" w:rsidRPr="00D7751C" w:rsidRDefault="00C343A0" w:rsidP="00022450">
      <w:pPr>
        <w:pStyle w:val="ONUMFS"/>
        <w:numPr>
          <w:ilvl w:val="1"/>
          <w:numId w:val="6"/>
        </w:numPr>
        <w:ind w:left="1134" w:hanging="567"/>
        <w:rPr>
          <w:lang w:val="es-ES_tradnl"/>
        </w:rPr>
      </w:pPr>
      <w:r w:rsidRPr="00D7751C">
        <w:rPr>
          <w:lang w:val="es-ES_tradnl"/>
        </w:rPr>
        <w:t>se ha editado la introducción del Anexo VI para justificar las respuestas a las preguntas</w:t>
      </w:r>
      <w:r w:rsidR="000F513D" w:rsidRPr="00D7751C">
        <w:rPr>
          <w:lang w:val="es-ES_tradnl"/>
        </w:rPr>
        <w:t xml:space="preserve"> </w:t>
      </w:r>
      <w:r w:rsidR="00D7751C" w:rsidRPr="00D7751C">
        <w:rPr>
          <w:lang w:val="es-ES_tradnl"/>
        </w:rPr>
        <w:t>“</w:t>
      </w:r>
      <w:r w:rsidRPr="00D7751C">
        <w:rPr>
          <w:lang w:val="es-ES_tradnl"/>
        </w:rPr>
        <w:t>¿cuándo debería representarse un residuo modificado por el correspondiente residuo no modificado o por la variable 'n' o 'X'?</w:t>
      </w:r>
      <w:r w:rsidR="00D7751C" w:rsidRPr="00D7751C">
        <w:rPr>
          <w:lang w:val="es-ES_tradnl"/>
        </w:rPr>
        <w:t>”</w:t>
      </w:r>
      <w:r w:rsidR="000F513D" w:rsidRPr="00D7751C">
        <w:rPr>
          <w:lang w:val="es-ES_tradnl"/>
        </w:rPr>
        <w:t xml:space="preserve"> </w:t>
      </w:r>
      <w:r w:rsidRPr="00D7751C">
        <w:rPr>
          <w:lang w:val="es-ES_tradnl"/>
        </w:rPr>
        <w:t>y</w:t>
      </w:r>
      <w:r w:rsidR="000F513D" w:rsidRPr="00D7751C">
        <w:rPr>
          <w:lang w:val="es-ES_tradnl"/>
        </w:rPr>
        <w:t xml:space="preserve"> </w:t>
      </w:r>
      <w:r w:rsidR="00D7751C" w:rsidRPr="00D7751C">
        <w:rPr>
          <w:lang w:val="es-ES_tradnl"/>
        </w:rPr>
        <w:t>“</w:t>
      </w:r>
      <w:r w:rsidRPr="00D7751C">
        <w:rPr>
          <w:lang w:val="es-ES_tradnl"/>
        </w:rPr>
        <w:t>¿qué modificaciones dan lugar a un 'residuo modificado' y DEBE</w:t>
      </w:r>
      <w:r w:rsidR="00202F8B" w:rsidRPr="00D7751C">
        <w:rPr>
          <w:lang w:val="es-ES_tradnl"/>
        </w:rPr>
        <w:t>RÁ</w:t>
      </w:r>
      <w:r w:rsidRPr="00D7751C">
        <w:rPr>
          <w:lang w:val="es-ES_tradnl"/>
        </w:rPr>
        <w:t>N ser anotadas?</w:t>
      </w:r>
      <w:r w:rsidR="00D7751C" w:rsidRPr="00D7751C">
        <w:rPr>
          <w:lang w:val="es-ES_tradnl"/>
        </w:rPr>
        <w:t>”</w:t>
      </w:r>
      <w:r w:rsidRPr="00D7751C">
        <w:rPr>
          <w:lang w:val="es-ES_tradnl"/>
        </w:rPr>
        <w:t>,</w:t>
      </w:r>
      <w:r w:rsidR="000F513D" w:rsidRPr="00D7751C">
        <w:rPr>
          <w:lang w:val="es-ES_tradnl"/>
        </w:rPr>
        <w:t xml:space="preserve"> </w:t>
      </w:r>
      <w:r w:rsidRPr="00D7751C">
        <w:rPr>
          <w:lang w:val="es-ES_tradnl"/>
        </w:rPr>
        <w:t xml:space="preserve">y se ha añadido texto para explicar la forma de representar las divulgaciones en las que la longitud de la secuencia puede variar en </w:t>
      </w:r>
      <w:r w:rsidR="00D7751C" w:rsidRPr="00D7751C">
        <w:rPr>
          <w:lang w:val="es-ES_tradnl"/>
        </w:rPr>
        <w:t>“</w:t>
      </w:r>
      <w:r w:rsidRPr="00D7751C">
        <w:rPr>
          <w:lang w:val="es-ES_tradnl"/>
        </w:rPr>
        <w:t>secuencia más abarcadora</w:t>
      </w:r>
      <w:r w:rsidR="00D7751C" w:rsidRPr="00D7751C">
        <w:rPr>
          <w:lang w:val="es-ES_tradnl"/>
        </w:rPr>
        <w:t>”</w:t>
      </w:r>
      <w:r w:rsidRPr="00D7751C">
        <w:rPr>
          <w:lang w:val="es-ES_tradnl"/>
        </w:rPr>
        <w:t>;</w:t>
      </w:r>
    </w:p>
    <w:p w:rsidR="00817FCD" w:rsidRPr="00D7751C" w:rsidRDefault="00803AD9" w:rsidP="00022450">
      <w:pPr>
        <w:pStyle w:val="ONUMFS"/>
        <w:numPr>
          <w:ilvl w:val="1"/>
          <w:numId w:val="6"/>
        </w:numPr>
        <w:ind w:left="1134" w:hanging="567"/>
        <w:rPr>
          <w:lang w:val="es-ES_tradnl"/>
        </w:rPr>
      </w:pPr>
      <w:r w:rsidRPr="00D7751C">
        <w:rPr>
          <w:lang w:val="es-ES_tradnl"/>
        </w:rPr>
        <w:t xml:space="preserve">se ha revisado el Anexo VI en general para garantizar la coherencia en el uso de </w:t>
      </w:r>
      <w:r w:rsidR="00D7751C" w:rsidRPr="00D7751C">
        <w:rPr>
          <w:lang w:val="es-ES_tradnl"/>
        </w:rPr>
        <w:t>“</w:t>
      </w:r>
      <w:r w:rsidRPr="00D7751C">
        <w:rPr>
          <w:lang w:val="es-ES_tradnl"/>
        </w:rPr>
        <w:t>debe</w:t>
      </w:r>
      <w:r w:rsidR="00E7477F" w:rsidRPr="00D7751C">
        <w:rPr>
          <w:lang w:val="es-ES_tradnl"/>
        </w:rPr>
        <w:t>rá</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debería</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preferiblemente</w:t>
      </w:r>
      <w:r w:rsidR="00D7751C" w:rsidRPr="00D7751C">
        <w:rPr>
          <w:lang w:val="es-ES_tradnl"/>
        </w:rPr>
        <w:t>”</w:t>
      </w:r>
      <w:r w:rsidRPr="00D7751C">
        <w:rPr>
          <w:lang w:val="es-ES_tradnl"/>
        </w:rPr>
        <w:t xml:space="preserve"> y </w:t>
      </w:r>
      <w:r w:rsidR="00D7751C" w:rsidRPr="00D7751C">
        <w:rPr>
          <w:lang w:val="es-ES_tradnl"/>
        </w:rPr>
        <w:t>“</w:t>
      </w:r>
      <w:r w:rsidR="00E7477F" w:rsidRPr="00D7751C">
        <w:rPr>
          <w:lang w:val="es-ES_tradnl"/>
        </w:rPr>
        <w:t>podrá</w:t>
      </w:r>
      <w:r w:rsidR="00D7751C" w:rsidRPr="00D7751C">
        <w:rPr>
          <w:lang w:val="es-ES_tradnl"/>
        </w:rPr>
        <w:t>”</w:t>
      </w:r>
      <w:r w:rsidRPr="00D7751C">
        <w:rPr>
          <w:lang w:val="es-ES_tradnl"/>
        </w:rPr>
        <w:t xml:space="preserve"> y evitar confusiones, ya que </w:t>
      </w:r>
      <w:r w:rsidR="00D7751C" w:rsidRPr="00D7751C">
        <w:rPr>
          <w:lang w:val="es-ES_tradnl"/>
        </w:rPr>
        <w:t>“</w:t>
      </w:r>
      <w:r w:rsidRPr="00D7751C">
        <w:rPr>
          <w:lang w:val="es-ES_tradnl"/>
        </w:rPr>
        <w:t>preferiblemente</w:t>
      </w:r>
      <w:r w:rsidR="00D7751C" w:rsidRPr="00D7751C">
        <w:rPr>
          <w:lang w:val="es-ES_tradnl"/>
        </w:rPr>
        <w:t>”</w:t>
      </w:r>
      <w:r w:rsidRPr="00D7751C">
        <w:rPr>
          <w:lang w:val="es-ES_tradnl"/>
        </w:rPr>
        <w:t xml:space="preserve"> no se define en el párrafo 4 de la Norma ST.26;</w:t>
      </w:r>
    </w:p>
    <w:p w:rsidR="00817FCD" w:rsidRPr="00D7751C" w:rsidRDefault="00803AD9" w:rsidP="00022450">
      <w:pPr>
        <w:pStyle w:val="ONUMFS"/>
        <w:numPr>
          <w:ilvl w:val="1"/>
          <w:numId w:val="6"/>
        </w:numPr>
        <w:ind w:left="1134" w:hanging="567"/>
        <w:rPr>
          <w:lang w:val="es-ES_tradnl"/>
        </w:rPr>
      </w:pPr>
      <w:r w:rsidRPr="00D7751C">
        <w:rPr>
          <w:lang w:val="es-ES_tradnl"/>
        </w:rPr>
        <w:t xml:space="preserve">se ha editado el ejemplo 3.c)-2 del Anexo VI para cambiar </w:t>
      </w:r>
      <w:r w:rsidR="00D7751C" w:rsidRPr="00D7751C">
        <w:rPr>
          <w:lang w:val="es-ES_tradnl"/>
        </w:rPr>
        <w:t>“</w:t>
      </w:r>
      <w:r w:rsidRPr="00D7751C">
        <w:rPr>
          <w:lang w:val="es-ES_tradnl"/>
        </w:rPr>
        <w:t>debería</w:t>
      </w:r>
      <w:r w:rsidR="00D7751C" w:rsidRPr="00D7751C">
        <w:rPr>
          <w:lang w:val="es-ES_tradnl"/>
        </w:rPr>
        <w:t>”</w:t>
      </w:r>
      <w:r w:rsidRPr="00D7751C">
        <w:rPr>
          <w:lang w:val="es-ES_tradnl"/>
        </w:rPr>
        <w:t xml:space="preserve"> por </w:t>
      </w:r>
      <w:r w:rsidR="00D7751C" w:rsidRPr="00D7751C">
        <w:rPr>
          <w:lang w:val="es-ES_tradnl"/>
        </w:rPr>
        <w:t>“</w:t>
      </w:r>
      <w:r w:rsidRPr="00D7751C">
        <w:rPr>
          <w:lang w:val="es-ES_tradnl"/>
        </w:rPr>
        <w:t>debe</w:t>
      </w:r>
      <w:r w:rsidR="00E7477F" w:rsidRPr="00D7751C">
        <w:rPr>
          <w:lang w:val="es-ES_tradnl"/>
        </w:rPr>
        <w:t>rá</w:t>
      </w:r>
      <w:r w:rsidR="00D7751C" w:rsidRPr="00D7751C">
        <w:rPr>
          <w:lang w:val="es-ES_tradnl"/>
        </w:rPr>
        <w:t>”</w:t>
      </w:r>
      <w:r w:rsidRPr="00D7751C">
        <w:rPr>
          <w:lang w:val="es-ES_tradnl"/>
        </w:rPr>
        <w:t>, de modo que la frase siguiente diga:</w:t>
      </w:r>
    </w:p>
    <w:p w:rsidR="00817FCD" w:rsidRPr="00022450" w:rsidRDefault="00803AD9" w:rsidP="00022450">
      <w:pPr>
        <w:pStyle w:val="ONUMFS"/>
        <w:numPr>
          <w:ilvl w:val="1"/>
          <w:numId w:val="6"/>
        </w:numPr>
        <w:ind w:left="1134" w:hanging="567"/>
        <w:rPr>
          <w:lang w:val="es-ES_tradnl"/>
        </w:rPr>
      </w:pPr>
      <w:r w:rsidRPr="00022450">
        <w:rPr>
          <w:lang w:val="es-ES_tradnl"/>
        </w:rPr>
        <w:t xml:space="preserve">'Por lo tanto, si se pretende que </w:t>
      </w:r>
      <w:r w:rsidR="00D7751C" w:rsidRPr="00022450">
        <w:rPr>
          <w:lang w:val="es-ES_tradnl"/>
        </w:rPr>
        <w:t>“</w:t>
      </w:r>
      <w:r w:rsidRPr="00022450">
        <w:rPr>
          <w:lang w:val="es-ES_tradnl"/>
        </w:rPr>
        <w:t>X</w:t>
      </w:r>
      <w:r w:rsidR="00D7751C" w:rsidRPr="00022450">
        <w:rPr>
          <w:lang w:val="es-ES_tradnl"/>
        </w:rPr>
        <w:t>”</w:t>
      </w:r>
      <w:r w:rsidRPr="00022450">
        <w:rPr>
          <w:lang w:val="es-ES_tradnl"/>
        </w:rPr>
        <w:t xml:space="preserve"> represente </w:t>
      </w:r>
      <w:r w:rsidR="00D7751C" w:rsidRPr="00022450">
        <w:rPr>
          <w:lang w:val="es-ES_tradnl"/>
        </w:rPr>
        <w:t>“</w:t>
      </w:r>
      <w:r w:rsidRPr="00022450">
        <w:rPr>
          <w:lang w:val="es-ES_tradnl"/>
        </w:rPr>
        <w:t>cualquier aminoácido</w:t>
      </w:r>
      <w:r w:rsidR="00D7751C" w:rsidRPr="00022450">
        <w:rPr>
          <w:lang w:val="es-ES_tradnl"/>
        </w:rPr>
        <w:t>”</w:t>
      </w:r>
      <w:r w:rsidRPr="00022450">
        <w:rPr>
          <w:lang w:val="es-ES_tradnl"/>
        </w:rPr>
        <w:t>, debería debe</w:t>
      </w:r>
      <w:r w:rsidR="00E7477F" w:rsidRPr="00022450">
        <w:rPr>
          <w:lang w:val="es-ES_tradnl"/>
        </w:rPr>
        <w:t>rá</w:t>
      </w:r>
      <w:r w:rsidRPr="00022450">
        <w:rPr>
          <w:lang w:val="es-ES_tradnl"/>
        </w:rPr>
        <w:t xml:space="preserve"> anotarse con la clave de caracterización VARIANT y un calificador NOTE con el valor </w:t>
      </w:r>
      <w:r w:rsidR="00D7751C" w:rsidRPr="00022450">
        <w:rPr>
          <w:lang w:val="es-ES_tradnl"/>
        </w:rPr>
        <w:t>“</w:t>
      </w:r>
      <w:r w:rsidRPr="00022450">
        <w:rPr>
          <w:lang w:val="es-ES_tradnl"/>
        </w:rPr>
        <w:t>X puede ser cualquier aminoácido</w:t>
      </w:r>
      <w:r w:rsidR="00D7751C" w:rsidRPr="00022450">
        <w:rPr>
          <w:lang w:val="es-ES_tradnl"/>
        </w:rPr>
        <w:t>”</w:t>
      </w:r>
      <w:r w:rsidRPr="00022450">
        <w:rPr>
          <w:lang w:val="es-ES_tradnl"/>
        </w:rPr>
        <w:t>.';</w:t>
      </w:r>
    </w:p>
    <w:p w:rsidR="008326FC" w:rsidRPr="00022450" w:rsidRDefault="008326FC" w:rsidP="00022450">
      <w:pPr>
        <w:pStyle w:val="ONUMFS"/>
        <w:numPr>
          <w:ilvl w:val="1"/>
          <w:numId w:val="6"/>
        </w:numPr>
        <w:ind w:left="1134" w:hanging="567"/>
        <w:rPr>
          <w:lang w:val="es-ES_tradnl"/>
        </w:rPr>
      </w:pPr>
      <w:r w:rsidRPr="00D7751C">
        <w:rPr>
          <w:lang w:val="es-ES_tradnl"/>
        </w:rPr>
        <w:t>se ha incluido el nuevo SEQ ID NO: 51, que forma parte del ejemplo 29-2, en el Apéndice del Anexo VI, y se ha cambiado la numeración de las secuencias subsiguientes para que siga siendo consecutiva;</w:t>
      </w:r>
    </w:p>
    <w:p w:rsidR="00817FCD" w:rsidRPr="00D7751C" w:rsidRDefault="00803AD9" w:rsidP="00022450">
      <w:pPr>
        <w:pStyle w:val="ONUMFS"/>
        <w:numPr>
          <w:ilvl w:val="1"/>
          <w:numId w:val="6"/>
        </w:numPr>
        <w:ind w:left="1134" w:hanging="567"/>
        <w:rPr>
          <w:lang w:val="es-ES_tradnl"/>
        </w:rPr>
      </w:pPr>
      <w:r w:rsidRPr="00D7751C">
        <w:rPr>
          <w:lang w:val="es-ES_tradnl"/>
        </w:rPr>
        <w:t>se ha editado el ejemplo 30-1 del Anexo VI para corregir el último párrafo de la pregunta 3, como sigue:</w:t>
      </w:r>
    </w:p>
    <w:p w:rsidR="002A5421" w:rsidRDefault="00803AD9" w:rsidP="00022450">
      <w:pPr>
        <w:pStyle w:val="ONUMFS"/>
        <w:numPr>
          <w:ilvl w:val="1"/>
          <w:numId w:val="6"/>
        </w:numPr>
        <w:ind w:left="1134" w:hanging="567"/>
        <w:rPr>
          <w:lang w:val="es-ES_tradnl"/>
        </w:rPr>
      </w:pPr>
      <w:r w:rsidRPr="00D7751C">
        <w:rPr>
          <w:lang w:val="es-ES_tradnl"/>
        </w:rPr>
        <w:t xml:space="preserve">'Además, hay una unión </w:t>
      </w:r>
      <w:proofErr w:type="spellStart"/>
      <w:r w:rsidRPr="00D7751C">
        <w:rPr>
          <w:lang w:val="es-ES_tradnl"/>
        </w:rPr>
        <w:t>disulfuro</w:t>
      </w:r>
      <w:proofErr w:type="spellEnd"/>
      <w:r w:rsidRPr="00D7751C">
        <w:rPr>
          <w:lang w:val="es-ES_tradnl"/>
        </w:rPr>
        <w:t xml:space="preserve"> entre los dos residuos </w:t>
      </w:r>
      <w:proofErr w:type="spellStart"/>
      <w:r w:rsidRPr="00D7751C">
        <w:rPr>
          <w:lang w:val="es-ES_tradnl"/>
        </w:rPr>
        <w:t>Cys</w:t>
      </w:r>
      <w:proofErr w:type="spellEnd"/>
      <w:r w:rsidRPr="00D7751C">
        <w:rPr>
          <w:lang w:val="es-ES_tradnl"/>
        </w:rPr>
        <w:t>.</w:t>
      </w:r>
      <w:r w:rsidR="00144CFE" w:rsidRPr="00D7751C">
        <w:rPr>
          <w:lang w:val="es-ES_tradnl"/>
        </w:rPr>
        <w:t xml:space="preserve"> </w:t>
      </w:r>
      <w:r w:rsidRPr="00D7751C">
        <w:rPr>
          <w:lang w:val="es-ES_tradnl"/>
        </w:rPr>
        <w:t>Por lo tanto, se utiliza la clave de caracterización DISULFID para describir un enlace cruzado entre cadenas.</w:t>
      </w:r>
      <w:r w:rsidR="00144CFE" w:rsidRPr="00D7751C">
        <w:rPr>
          <w:lang w:val="es-ES_tradnl"/>
        </w:rPr>
        <w:t xml:space="preserve"> </w:t>
      </w:r>
      <w:r w:rsidRPr="00D7751C">
        <w:rPr>
          <w:lang w:val="es-ES_tradnl"/>
        </w:rPr>
        <w:t xml:space="preserve">El elemento localización de característica son los números de posición de los residuos </w:t>
      </w:r>
      <w:proofErr w:type="spellStart"/>
      <w:r w:rsidRPr="00D7751C">
        <w:rPr>
          <w:lang w:val="es-ES_tradnl"/>
        </w:rPr>
        <w:t>Cys</w:t>
      </w:r>
      <w:proofErr w:type="spellEnd"/>
      <w:r w:rsidRPr="00D7751C">
        <w:rPr>
          <w:lang w:val="es-ES_tradnl"/>
        </w:rPr>
        <w:t xml:space="preserve"> enlazados en formato </w:t>
      </w:r>
      <w:r w:rsidR="00D7751C" w:rsidRPr="00D7751C">
        <w:rPr>
          <w:lang w:val="es-ES_tradnl"/>
        </w:rPr>
        <w:t>“</w:t>
      </w:r>
      <w:proofErr w:type="spellStart"/>
      <w:proofErr w:type="gramStart"/>
      <w:r w:rsidRPr="00D7751C">
        <w:rPr>
          <w:lang w:val="es-ES_tradnl"/>
        </w:rPr>
        <w:t>x..y</w:t>
      </w:r>
      <w:proofErr w:type="spellEnd"/>
      <w:proofErr w:type="gramEnd"/>
      <w:r w:rsidR="00D7751C" w:rsidRPr="00D7751C">
        <w:rPr>
          <w:lang w:val="es-ES_tradnl"/>
        </w:rPr>
        <w:t>”</w:t>
      </w:r>
      <w:r w:rsidRPr="00D7751C">
        <w:rPr>
          <w:lang w:val="es-ES_tradnl"/>
        </w:rPr>
        <w:t xml:space="preserve">, es decir, </w:t>
      </w:r>
      <w:r w:rsidR="00D7751C" w:rsidRPr="00D7751C">
        <w:rPr>
          <w:lang w:val="es-ES_tradnl"/>
        </w:rPr>
        <w:t>“</w:t>
      </w:r>
      <w:r w:rsidRPr="00D7751C">
        <w:rPr>
          <w:lang w:val="es-ES_tradnl"/>
        </w:rPr>
        <w:t>4..15</w:t>
      </w:r>
      <w:r w:rsidR="00D7751C" w:rsidRPr="00D7751C">
        <w:rPr>
          <w:lang w:val="es-ES_tradnl"/>
        </w:rPr>
        <w:t>”</w:t>
      </w:r>
      <w:r w:rsidRPr="00D7751C">
        <w:rPr>
          <w:lang w:val="es-ES_tradnl"/>
        </w:rPr>
        <w:t>.</w:t>
      </w:r>
      <w:r w:rsidR="00144CFE" w:rsidRPr="00D7751C">
        <w:rPr>
          <w:lang w:val="es-ES_tradnl"/>
        </w:rPr>
        <w:t xml:space="preserve"> </w:t>
      </w:r>
      <w:r w:rsidRPr="00022450">
        <w:rPr>
          <w:lang w:val="es-ES_tradnl"/>
        </w:rPr>
        <w:t xml:space="preserve">El calificador obligatorio </w:t>
      </w:r>
      <w:proofErr w:type="spellStart"/>
      <w:r w:rsidR="00E60D82" w:rsidRPr="00022450">
        <w:rPr>
          <w:lang w:val="es-ES_tradnl"/>
        </w:rPr>
        <w:t>note</w:t>
      </w:r>
      <w:r w:rsidRPr="00022450">
        <w:rPr>
          <w:lang w:val="es-ES_tradnl"/>
        </w:rPr>
        <w:t>NOTE</w:t>
      </w:r>
      <w:proofErr w:type="spellEnd"/>
      <w:r w:rsidRPr="00022450">
        <w:rPr>
          <w:lang w:val="es-ES_tradnl"/>
        </w:rPr>
        <w:t xml:space="preserve"> debe</w:t>
      </w:r>
      <w:r w:rsidR="00202F8B" w:rsidRPr="00022450">
        <w:rPr>
          <w:lang w:val="es-ES_tradnl"/>
        </w:rPr>
        <w:t>ría</w:t>
      </w:r>
      <w:r w:rsidRPr="00022450">
        <w:rPr>
          <w:lang w:val="es-ES_tradnl"/>
        </w:rPr>
        <w:t xml:space="preserve"> describir el enlace </w:t>
      </w:r>
      <w:proofErr w:type="spellStart"/>
      <w:r w:rsidRPr="00022450">
        <w:rPr>
          <w:lang w:val="es-ES_tradnl"/>
        </w:rPr>
        <w:t>disulfuro</w:t>
      </w:r>
      <w:proofErr w:type="spellEnd"/>
      <w:r w:rsidRPr="00022450">
        <w:rPr>
          <w:lang w:val="es-ES_tradnl"/>
        </w:rPr>
        <w:t xml:space="preserve"> </w:t>
      </w:r>
      <w:r w:rsidR="00202F8B" w:rsidRPr="00022450">
        <w:rPr>
          <w:lang w:val="es-ES_tradnl"/>
        </w:rPr>
        <w:t>entre cadenas</w:t>
      </w:r>
      <w:r w:rsidRPr="00022450">
        <w:rPr>
          <w:lang w:val="es-ES_tradnl"/>
        </w:rPr>
        <w:t>.</w:t>
      </w:r>
      <w:r w:rsidR="000F513D" w:rsidRPr="00D7751C">
        <w:rPr>
          <w:lang w:val="es-ES_tradnl"/>
        </w:rPr>
        <w:t xml:space="preserve"> </w:t>
      </w:r>
      <w:r w:rsidR="00396759" w:rsidRPr="00022450">
        <w:rPr>
          <w:lang w:val="es-ES_tradnl"/>
        </w:rPr>
        <w:t>El calificador NOTE no es obligatorio.</w:t>
      </w:r>
      <w:r w:rsidR="00396759" w:rsidRPr="00D7751C">
        <w:rPr>
          <w:lang w:val="es-ES_tradnl"/>
        </w:rPr>
        <w:t>';</w:t>
      </w:r>
    </w:p>
    <w:p w:rsidR="00817FCD" w:rsidRPr="002A5421" w:rsidRDefault="00DB116F" w:rsidP="00022450">
      <w:pPr>
        <w:pStyle w:val="ONUMFS"/>
        <w:numPr>
          <w:ilvl w:val="0"/>
          <w:numId w:val="0"/>
        </w:numPr>
        <w:ind w:left="1134"/>
        <w:rPr>
          <w:lang w:val="es-ES_tradnl"/>
        </w:rPr>
      </w:pPr>
      <w:r>
        <w:rPr>
          <w:lang w:val="es-ES_tradnl"/>
        </w:rPr>
        <w:t>y</w:t>
      </w:r>
    </w:p>
    <w:p w:rsidR="00817FCD" w:rsidRPr="00D7751C" w:rsidRDefault="00817FCD" w:rsidP="00022450">
      <w:pPr>
        <w:pStyle w:val="ONUMFS"/>
        <w:numPr>
          <w:ilvl w:val="1"/>
          <w:numId w:val="6"/>
        </w:numPr>
        <w:ind w:left="1134" w:hanging="567"/>
        <w:rPr>
          <w:lang w:val="es-ES_tradnl"/>
        </w:rPr>
      </w:pPr>
      <w:r w:rsidRPr="00D7751C">
        <w:rPr>
          <w:lang w:val="es-ES_tradnl"/>
        </w:rPr>
        <w:t xml:space="preserve">se ha editado el Apéndice del Anexo VI, </w:t>
      </w:r>
      <w:r w:rsidR="00157A71">
        <w:rPr>
          <w:lang w:val="es-ES_tradnl"/>
        </w:rPr>
        <w:t xml:space="preserve">actual </w:t>
      </w:r>
      <w:r w:rsidRPr="00D7751C">
        <w:rPr>
          <w:lang w:val="es-ES_tradnl"/>
        </w:rPr>
        <w:t>SEQ ID NO: 51</w:t>
      </w:r>
      <w:r w:rsidR="00022450">
        <w:rPr>
          <w:lang w:val="es-ES_tradnl"/>
        </w:rPr>
        <w:t xml:space="preserve"> (nuevo SEQ ID NO: </w:t>
      </w:r>
      <w:r w:rsidR="00157A71">
        <w:rPr>
          <w:lang w:val="es-ES_tradnl"/>
        </w:rPr>
        <w:t>52)</w:t>
      </w:r>
      <w:r w:rsidRPr="00D7751C">
        <w:rPr>
          <w:lang w:val="es-ES_tradnl"/>
        </w:rPr>
        <w:t xml:space="preserve">, para añadir un calificador </w:t>
      </w:r>
      <w:proofErr w:type="gramStart"/>
      <w:r w:rsidR="00BE59A4">
        <w:rPr>
          <w:lang w:val="es-ES_tradnl"/>
        </w:rPr>
        <w:t>note</w:t>
      </w:r>
      <w:proofErr w:type="gramEnd"/>
      <w:r w:rsidRPr="00D7751C">
        <w:rPr>
          <w:lang w:val="es-ES_tradnl"/>
        </w:rPr>
        <w:t xml:space="preserve"> a la clave de caracterización DISULFID</w:t>
      </w:r>
      <w:r w:rsidR="00BE59A4">
        <w:rPr>
          <w:lang w:val="es-ES_tradnl"/>
        </w:rPr>
        <w:t>, como resultado de la modificación propuesta en el párrafo 6.j)</w:t>
      </w:r>
      <w:r w:rsidRPr="00D7751C">
        <w:rPr>
          <w:lang w:val="es-ES_tradnl"/>
        </w:rPr>
        <w:t>:</w:t>
      </w:r>
    </w:p>
    <w:p w:rsidR="00817FCD" w:rsidRPr="00E71616" w:rsidRDefault="000F513D" w:rsidP="00D7751C">
      <w:pPr>
        <w:autoSpaceDE w:val="0"/>
        <w:autoSpaceDN w:val="0"/>
        <w:adjustRightInd w:val="0"/>
        <w:ind w:left="567" w:firstLine="557"/>
        <w:rPr>
          <w:rFonts w:ascii="Courier New" w:eastAsia="Times New Roman" w:hAnsi="Courier New" w:cs="Courier New"/>
          <w:noProof/>
          <w:sz w:val="20"/>
          <w:highlight w:val="white"/>
          <w:lang w:val="en-US" w:eastAsia="en-US"/>
        </w:rPr>
      </w:pPr>
      <w:r w:rsidRPr="00E71616">
        <w:rPr>
          <w:rFonts w:ascii="Courier New" w:eastAsia="Times New Roman" w:hAnsi="Courier New" w:cs="Courier New"/>
          <w:noProof/>
          <w:sz w:val="20"/>
          <w:highlight w:val="white"/>
          <w:lang w:val="en-US" w:eastAsia="en-US"/>
        </w:rPr>
        <w:t>&lt;INSDFeature&gt;</w:t>
      </w:r>
    </w:p>
    <w:p w:rsidR="00817FCD" w:rsidRPr="00E71616" w:rsidRDefault="00817FCD" w:rsidP="00D7751C">
      <w:pPr>
        <w:autoSpaceDE w:val="0"/>
        <w:autoSpaceDN w:val="0"/>
        <w:adjustRightInd w:val="0"/>
        <w:ind w:left="567"/>
        <w:rPr>
          <w:rFonts w:ascii="Courier New" w:eastAsia="Times New Roman" w:hAnsi="Courier New" w:cs="Courier New"/>
          <w:noProof/>
          <w:sz w:val="20"/>
          <w:highlight w:val="white"/>
          <w:lang w:val="en-US" w:eastAsia="en-US"/>
        </w:rPr>
      </w:pPr>
    </w:p>
    <w:p w:rsidR="00817FCD" w:rsidRPr="00E71616" w:rsidRDefault="000F513D" w:rsidP="00D7751C">
      <w:pPr>
        <w:autoSpaceDE w:val="0"/>
        <w:autoSpaceDN w:val="0"/>
        <w:adjustRightInd w:val="0"/>
        <w:ind w:left="567"/>
        <w:rPr>
          <w:rFonts w:ascii="Courier New" w:eastAsia="Times New Roman" w:hAnsi="Courier New" w:cs="Courier New"/>
          <w:noProof/>
          <w:sz w:val="20"/>
          <w:highlight w:val="white"/>
          <w:lang w:val="en-US" w:eastAsia="en-US"/>
        </w:rPr>
      </w:pPr>
      <w:r w:rsidRPr="00E71616">
        <w:rPr>
          <w:rFonts w:ascii="Courier New" w:eastAsia="Times New Roman" w:hAnsi="Courier New" w:cs="Courier New"/>
          <w:noProof/>
          <w:sz w:val="20"/>
          <w:highlight w:val="white"/>
          <w:lang w:val="en-US" w:eastAsia="en-US"/>
        </w:rPr>
        <w:tab/>
      </w:r>
      <w:r w:rsidRPr="00E71616">
        <w:rPr>
          <w:rFonts w:ascii="Courier New" w:eastAsia="Times New Roman" w:hAnsi="Courier New" w:cs="Courier New"/>
          <w:noProof/>
          <w:sz w:val="20"/>
          <w:highlight w:val="white"/>
          <w:lang w:val="en-US" w:eastAsia="en-US"/>
        </w:rPr>
        <w:tab/>
        <w:t>&lt;INSDFeature_key&gt;DISULFID&lt;/INSDFeature_key&gt;</w:t>
      </w:r>
    </w:p>
    <w:p w:rsidR="00817FCD" w:rsidRPr="00E71616" w:rsidRDefault="000F513D" w:rsidP="00D7751C">
      <w:pPr>
        <w:autoSpaceDE w:val="0"/>
        <w:autoSpaceDN w:val="0"/>
        <w:adjustRightInd w:val="0"/>
        <w:spacing w:after="240"/>
        <w:ind w:left="567"/>
        <w:rPr>
          <w:rFonts w:ascii="Courier New" w:eastAsia="Times New Roman" w:hAnsi="Courier New" w:cs="Courier New"/>
          <w:noProof/>
          <w:sz w:val="20"/>
          <w:highlight w:val="white"/>
          <w:lang w:val="en-US" w:eastAsia="en-US"/>
        </w:rPr>
      </w:pPr>
      <w:r w:rsidRPr="00E71616">
        <w:rPr>
          <w:rFonts w:ascii="Courier New" w:eastAsia="Times New Roman" w:hAnsi="Courier New" w:cs="Courier New"/>
          <w:noProof/>
          <w:sz w:val="20"/>
          <w:highlight w:val="white"/>
          <w:lang w:val="en-US" w:eastAsia="en-US"/>
        </w:rPr>
        <w:tab/>
      </w:r>
      <w:r w:rsidRPr="00E71616">
        <w:rPr>
          <w:rFonts w:ascii="Courier New" w:eastAsia="Times New Roman" w:hAnsi="Courier New" w:cs="Courier New"/>
          <w:noProof/>
          <w:sz w:val="20"/>
          <w:highlight w:val="white"/>
          <w:lang w:val="en-US" w:eastAsia="en-US"/>
        </w:rPr>
        <w:tab/>
        <w:t>&lt;INSDFeature_location&gt;4..15&lt;/INSDFeature_location&gt;</w:t>
      </w:r>
    </w:p>
    <w:p w:rsidR="00817FCD" w:rsidRPr="00E71616" w:rsidRDefault="000F513D" w:rsidP="00D7751C">
      <w:pPr>
        <w:autoSpaceDE w:val="0"/>
        <w:autoSpaceDN w:val="0"/>
        <w:adjustRightInd w:val="0"/>
        <w:ind w:left="567"/>
        <w:rPr>
          <w:rFonts w:ascii="Courier New" w:eastAsia="Times New Roman" w:hAnsi="Courier New" w:cs="Courier New"/>
          <w:noProof/>
          <w:sz w:val="20"/>
          <w:u w:val="single"/>
          <w:lang w:val="en-US" w:eastAsia="en-US"/>
        </w:rPr>
      </w:pP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t>&lt;INSDFeature_quals&gt;</w:t>
      </w:r>
    </w:p>
    <w:p w:rsidR="00817FCD" w:rsidRPr="00E71616" w:rsidRDefault="000F513D" w:rsidP="00D7751C">
      <w:pPr>
        <w:autoSpaceDE w:val="0"/>
        <w:autoSpaceDN w:val="0"/>
        <w:adjustRightInd w:val="0"/>
        <w:ind w:left="567"/>
        <w:rPr>
          <w:rFonts w:ascii="Courier New" w:eastAsia="Times New Roman" w:hAnsi="Courier New" w:cs="Courier New"/>
          <w:noProof/>
          <w:sz w:val="20"/>
          <w:u w:val="single"/>
          <w:lang w:val="en-US" w:eastAsia="en-US"/>
        </w:rPr>
      </w:pP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t>&lt;INSDQualifier&gt;</w:t>
      </w:r>
    </w:p>
    <w:p w:rsidR="00817FCD" w:rsidRPr="00E71616" w:rsidRDefault="000F513D" w:rsidP="00D7751C">
      <w:pPr>
        <w:autoSpaceDE w:val="0"/>
        <w:autoSpaceDN w:val="0"/>
        <w:adjustRightInd w:val="0"/>
        <w:ind w:left="567"/>
        <w:rPr>
          <w:rFonts w:ascii="Courier New" w:eastAsia="Times New Roman" w:hAnsi="Courier New" w:cs="Courier New"/>
          <w:noProof/>
          <w:sz w:val="20"/>
          <w:u w:val="single"/>
          <w:lang w:val="en-US" w:eastAsia="en-US"/>
        </w:rPr>
      </w:pP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t>&lt;INSDQualifier_name&gt;</w:t>
      </w:r>
      <w:r w:rsidR="00A22E15">
        <w:rPr>
          <w:rFonts w:ascii="Courier New" w:eastAsia="Times New Roman" w:hAnsi="Courier New" w:cs="Courier New"/>
          <w:noProof/>
          <w:sz w:val="20"/>
          <w:u w:val="single"/>
          <w:lang w:val="en-US" w:eastAsia="en-US"/>
        </w:rPr>
        <w:t>note</w:t>
      </w:r>
      <w:r w:rsidRPr="00E71616">
        <w:rPr>
          <w:rFonts w:ascii="Courier New" w:eastAsia="Times New Roman" w:hAnsi="Courier New" w:cs="Courier New"/>
          <w:noProof/>
          <w:sz w:val="20"/>
          <w:u w:val="single"/>
          <w:lang w:val="en-US" w:eastAsia="en-US"/>
        </w:rPr>
        <w:t>&lt;/INSDQualifier_name&gt;</w:t>
      </w:r>
    </w:p>
    <w:p w:rsidR="00817FCD" w:rsidRPr="00E71616" w:rsidRDefault="000F513D" w:rsidP="00D7751C">
      <w:pPr>
        <w:autoSpaceDE w:val="0"/>
        <w:autoSpaceDN w:val="0"/>
        <w:adjustRightInd w:val="0"/>
        <w:ind w:left="1134"/>
        <w:rPr>
          <w:rFonts w:ascii="Courier New" w:eastAsia="Times New Roman" w:hAnsi="Courier New" w:cs="Courier New"/>
          <w:noProof/>
          <w:sz w:val="20"/>
          <w:u w:val="single"/>
          <w:lang w:val="en-US" w:eastAsia="en-US"/>
        </w:rPr>
      </w:pP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t>&lt;INSDQualifier_value&gt;intrachain disulfide bond&lt;/INSDQualifier_value&gt;</w:t>
      </w:r>
    </w:p>
    <w:p w:rsidR="00817FCD" w:rsidRPr="00D7751C" w:rsidRDefault="000F513D" w:rsidP="00D7751C">
      <w:pPr>
        <w:autoSpaceDE w:val="0"/>
        <w:autoSpaceDN w:val="0"/>
        <w:adjustRightInd w:val="0"/>
        <w:ind w:left="567"/>
        <w:rPr>
          <w:rFonts w:ascii="Courier New" w:eastAsia="Times New Roman" w:hAnsi="Courier New" w:cs="Courier New"/>
          <w:noProof/>
          <w:sz w:val="20"/>
          <w:u w:val="single"/>
          <w:lang w:val="es-ES_tradnl" w:eastAsia="en-US"/>
        </w:rPr>
      </w:pP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E71616">
        <w:rPr>
          <w:rFonts w:ascii="Courier New" w:eastAsia="Times New Roman" w:hAnsi="Courier New" w:cs="Courier New"/>
          <w:noProof/>
          <w:sz w:val="20"/>
          <w:u w:val="single"/>
          <w:lang w:val="en-US" w:eastAsia="en-US"/>
        </w:rPr>
        <w:tab/>
      </w:r>
      <w:r w:rsidRPr="00D7751C">
        <w:rPr>
          <w:rFonts w:ascii="Courier New" w:eastAsia="Times New Roman" w:hAnsi="Courier New" w:cs="Courier New"/>
          <w:noProof/>
          <w:sz w:val="20"/>
          <w:u w:val="single"/>
          <w:lang w:val="es-ES_tradnl" w:eastAsia="en-US"/>
        </w:rPr>
        <w:t>&lt;/INSDQualifier&gt;</w:t>
      </w:r>
    </w:p>
    <w:p w:rsidR="00817FCD" w:rsidRPr="00D7751C" w:rsidRDefault="000F513D" w:rsidP="00D7751C">
      <w:pPr>
        <w:autoSpaceDE w:val="0"/>
        <w:autoSpaceDN w:val="0"/>
        <w:adjustRightInd w:val="0"/>
        <w:ind w:left="567"/>
        <w:rPr>
          <w:rFonts w:ascii="Courier New" w:eastAsia="Times New Roman" w:hAnsi="Courier New" w:cs="Courier New"/>
          <w:noProof/>
          <w:sz w:val="20"/>
          <w:u w:val="single"/>
          <w:lang w:val="es-ES_tradnl" w:eastAsia="en-US"/>
        </w:rPr>
      </w:pP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t>&lt;/INSDFeature_quals&gt;</w:t>
      </w:r>
    </w:p>
    <w:p w:rsidR="00817FCD" w:rsidRPr="00D7751C" w:rsidRDefault="000F513D" w:rsidP="00D7751C">
      <w:pPr>
        <w:spacing w:before="240" w:after="240"/>
        <w:ind w:left="567" w:firstLine="567"/>
        <w:rPr>
          <w:rFonts w:ascii="Consolas" w:eastAsia="Times New Roman" w:hAnsi="Consolas" w:cs="Consolas"/>
          <w:noProof/>
          <w:sz w:val="20"/>
          <w:lang w:val="es-ES_tradnl" w:eastAsia="en-US"/>
        </w:rPr>
      </w:pPr>
      <w:r w:rsidRPr="00D7751C">
        <w:rPr>
          <w:rFonts w:ascii="Courier New" w:eastAsia="Times New Roman" w:hAnsi="Courier New" w:cs="Courier New"/>
          <w:noProof/>
          <w:sz w:val="20"/>
          <w:highlight w:val="white"/>
          <w:lang w:val="es-ES_tradnl" w:eastAsia="en-US"/>
        </w:rPr>
        <w:t>&lt;/INSDFeature&gt;</w:t>
      </w:r>
    </w:p>
    <w:p w:rsidR="00817FCD" w:rsidRPr="00D7751C" w:rsidRDefault="00817FCD" w:rsidP="00373415">
      <w:pPr>
        <w:pStyle w:val="ONUMFS"/>
        <w:keepNext/>
        <w:keepLines/>
        <w:rPr>
          <w:lang w:val="es-ES_tradnl"/>
        </w:rPr>
      </w:pPr>
      <w:r w:rsidRPr="00D7751C">
        <w:rPr>
          <w:lang w:val="es-ES_tradnl"/>
        </w:rPr>
        <w:t>La propuesta de revisión de la Norma ST.26 de la OMPI figura en los Anexos I a III del presente documento para que el CWS la examine:</w:t>
      </w:r>
    </w:p>
    <w:p w:rsidR="00817FCD" w:rsidRPr="00D7751C" w:rsidRDefault="00E95C06" w:rsidP="00D7751C">
      <w:pPr>
        <w:pStyle w:val="ListParagraph"/>
        <w:numPr>
          <w:ilvl w:val="0"/>
          <w:numId w:val="10"/>
        </w:numPr>
        <w:spacing w:after="60"/>
        <w:ind w:left="714" w:hanging="357"/>
        <w:contextualSpacing w:val="0"/>
        <w:rPr>
          <w:lang w:val="es-ES_tradnl"/>
        </w:rPr>
      </w:pPr>
      <w:r w:rsidRPr="00D7751C">
        <w:rPr>
          <w:lang w:val="es-ES_tradnl"/>
        </w:rPr>
        <w:t>El Anexo I contiene la propuesta de modificación de la Norma ST.26 de la OMPI, con las revisiones resaltadas, excepto su Anexo IV, en el que no se propone ninguna modificación (así como los dos componentes siguientes);</w:t>
      </w:r>
    </w:p>
    <w:p w:rsidR="00817FCD" w:rsidRPr="00D7751C" w:rsidRDefault="00E95C06" w:rsidP="00D7751C">
      <w:pPr>
        <w:pStyle w:val="ListParagraph"/>
        <w:numPr>
          <w:ilvl w:val="0"/>
          <w:numId w:val="10"/>
        </w:numPr>
        <w:spacing w:after="60"/>
        <w:ind w:left="714" w:hanging="357"/>
        <w:contextualSpacing w:val="0"/>
        <w:rPr>
          <w:lang w:val="es-ES_tradnl"/>
        </w:rPr>
      </w:pPr>
      <w:r w:rsidRPr="00D7751C">
        <w:rPr>
          <w:lang w:val="es-ES_tradnl"/>
        </w:rPr>
        <w:t>El Anexo II contiene el Anexo III de la Norma ST.26, que se publica en un fichero distinto; y</w:t>
      </w:r>
    </w:p>
    <w:p w:rsidR="00817FCD" w:rsidRPr="00D7751C" w:rsidRDefault="00E95C06" w:rsidP="00022450">
      <w:pPr>
        <w:pStyle w:val="ListParagraph"/>
        <w:numPr>
          <w:ilvl w:val="0"/>
          <w:numId w:val="10"/>
        </w:numPr>
        <w:spacing w:after="240"/>
        <w:ind w:left="714" w:hanging="357"/>
        <w:contextualSpacing w:val="0"/>
        <w:rPr>
          <w:lang w:val="es-ES_tradnl"/>
        </w:rPr>
      </w:pPr>
      <w:r w:rsidRPr="00D7751C">
        <w:rPr>
          <w:lang w:val="es-ES_tradnl"/>
        </w:rPr>
        <w:t>El Anexo III contiene el Apéndice del Anexo VI de la Norma ST.26, que se publica en un fichero distinto.</w:t>
      </w:r>
    </w:p>
    <w:p w:rsidR="00817FCD" w:rsidRPr="00022450" w:rsidRDefault="00E95C06" w:rsidP="00373415">
      <w:pPr>
        <w:pStyle w:val="ONUMFS"/>
        <w:tabs>
          <w:tab w:val="clear" w:pos="567"/>
        </w:tabs>
        <w:spacing w:after="120"/>
        <w:ind w:left="5528"/>
        <w:rPr>
          <w:i/>
          <w:lang w:val="es-ES_tradnl"/>
        </w:rPr>
      </w:pPr>
      <w:r w:rsidRPr="00022450">
        <w:rPr>
          <w:i/>
          <w:lang w:val="es-ES_tradnl"/>
        </w:rPr>
        <w:t>Se invita al CWS a:</w:t>
      </w:r>
    </w:p>
    <w:p w:rsidR="00817FCD" w:rsidRPr="00D7751C" w:rsidRDefault="00E95C06" w:rsidP="00E95C06">
      <w:pPr>
        <w:pStyle w:val="ListParagraph"/>
        <w:keepNext/>
        <w:keepLines/>
        <w:widowControl w:val="0"/>
        <w:numPr>
          <w:ilvl w:val="0"/>
          <w:numId w:val="8"/>
        </w:numPr>
        <w:tabs>
          <w:tab w:val="left" w:pos="6244"/>
          <w:tab w:val="left" w:pos="6245"/>
        </w:tabs>
        <w:autoSpaceDE w:val="0"/>
        <w:autoSpaceDN w:val="0"/>
        <w:spacing w:after="220"/>
        <w:ind w:right="490" w:firstLine="662"/>
        <w:contextualSpacing w:val="0"/>
        <w:rPr>
          <w:i/>
          <w:lang w:val="es-ES_tradnl"/>
        </w:rPr>
      </w:pPr>
      <w:r w:rsidRPr="00D7751C">
        <w:rPr>
          <w:i/>
          <w:lang w:val="es-ES_tradnl"/>
        </w:rPr>
        <w:t>tomar nota del contenido del presente documento y de sus Anexos; y</w:t>
      </w:r>
    </w:p>
    <w:p w:rsidR="00817FCD" w:rsidRPr="00D7751C" w:rsidRDefault="00E95C06" w:rsidP="00022450">
      <w:pPr>
        <w:pStyle w:val="ListParagraph"/>
        <w:keepNext/>
        <w:keepLines/>
        <w:widowControl w:val="0"/>
        <w:numPr>
          <w:ilvl w:val="0"/>
          <w:numId w:val="8"/>
        </w:numPr>
        <w:tabs>
          <w:tab w:val="left" w:pos="6244"/>
          <w:tab w:val="left" w:pos="6245"/>
        </w:tabs>
        <w:autoSpaceDE w:val="0"/>
        <w:autoSpaceDN w:val="0"/>
        <w:spacing w:after="600"/>
        <w:ind w:right="488" w:firstLine="663"/>
        <w:contextualSpacing w:val="0"/>
        <w:rPr>
          <w:i/>
          <w:lang w:val="es-ES_tradnl"/>
        </w:rPr>
      </w:pPr>
      <w:r w:rsidRPr="00D7751C">
        <w:rPr>
          <w:i/>
          <w:lang w:val="es-ES_tradnl"/>
        </w:rPr>
        <w:t>estudiar y aprobar las revisiones propuestas en la Norma ST. 26 de la OMPI que figuran en los párrafos 5 y 6 anteriores y se reproducen en los Anexos del presente documento.</w:t>
      </w:r>
    </w:p>
    <w:p w:rsidR="00152CEA" w:rsidRPr="00D7751C" w:rsidRDefault="00E95C06" w:rsidP="00D7751C">
      <w:pPr>
        <w:pStyle w:val="Endofdocument-Annex"/>
        <w:rPr>
          <w:lang w:val="es-ES_tradnl"/>
        </w:rPr>
      </w:pPr>
      <w:r w:rsidRPr="00D7751C">
        <w:rPr>
          <w:lang w:val="es-ES_tradnl"/>
        </w:rPr>
        <w:t>[Siguen los Anexos (la propuesta de revisión de la Norma ST.26 de la OMPI)]</w:t>
      </w:r>
    </w:p>
    <w:sectPr w:rsidR="00152CEA" w:rsidRPr="00D7751C" w:rsidSect="000F513D">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100" w:rsidRDefault="00210100">
      <w:r>
        <w:separator/>
      </w:r>
    </w:p>
  </w:endnote>
  <w:endnote w:type="continuationSeparator" w:id="0">
    <w:p w:rsidR="00210100" w:rsidRPr="009D30E6" w:rsidRDefault="00210100" w:rsidP="007E663E">
      <w:pPr>
        <w:rPr>
          <w:sz w:val="17"/>
          <w:szCs w:val="17"/>
        </w:rPr>
      </w:pPr>
      <w:r w:rsidRPr="009D30E6">
        <w:rPr>
          <w:sz w:val="17"/>
          <w:szCs w:val="17"/>
        </w:rPr>
        <w:separator/>
      </w:r>
    </w:p>
    <w:p w:rsidR="00210100" w:rsidRPr="007E663E" w:rsidRDefault="00210100" w:rsidP="007E663E">
      <w:pPr>
        <w:spacing w:after="60"/>
        <w:rPr>
          <w:sz w:val="17"/>
          <w:szCs w:val="17"/>
        </w:rPr>
      </w:pPr>
      <w:r>
        <w:rPr>
          <w:sz w:val="17"/>
        </w:rPr>
        <w:t>[Continuación de la nota de la página anterior]</w:t>
      </w:r>
    </w:p>
  </w:endnote>
  <w:endnote w:type="continuationNotice" w:id="1">
    <w:p w:rsidR="00210100" w:rsidRPr="007E663E" w:rsidRDefault="0021010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1A" w:rsidRDefault="00657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1A" w:rsidRDefault="00657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1A" w:rsidRDefault="0065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100" w:rsidRDefault="00210100">
      <w:r>
        <w:separator/>
      </w:r>
    </w:p>
  </w:footnote>
  <w:footnote w:type="continuationSeparator" w:id="0">
    <w:p w:rsidR="00210100" w:rsidRPr="009D30E6" w:rsidRDefault="00210100" w:rsidP="007E663E">
      <w:pPr>
        <w:rPr>
          <w:sz w:val="17"/>
          <w:szCs w:val="17"/>
        </w:rPr>
      </w:pPr>
      <w:r w:rsidRPr="009D30E6">
        <w:rPr>
          <w:sz w:val="17"/>
          <w:szCs w:val="17"/>
        </w:rPr>
        <w:separator/>
      </w:r>
    </w:p>
    <w:p w:rsidR="00210100" w:rsidRPr="007E663E" w:rsidRDefault="00210100" w:rsidP="007E663E">
      <w:pPr>
        <w:spacing w:after="60"/>
        <w:rPr>
          <w:sz w:val="17"/>
          <w:szCs w:val="17"/>
        </w:rPr>
      </w:pPr>
      <w:r>
        <w:rPr>
          <w:sz w:val="17"/>
        </w:rPr>
        <w:t>[Continuación de la nota de la página anterior]</w:t>
      </w:r>
    </w:p>
  </w:footnote>
  <w:footnote w:type="continuationNotice" w:id="1">
    <w:p w:rsidR="00210100" w:rsidRPr="007E663E" w:rsidRDefault="0021010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1A" w:rsidRDefault="00657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65771A" w:rsidRDefault="000F513D" w:rsidP="00477D6B">
    <w:pPr>
      <w:jc w:val="right"/>
    </w:pPr>
    <w:bookmarkStart w:id="4" w:name="Code2"/>
    <w:bookmarkEnd w:id="4"/>
    <w:r w:rsidRPr="0065771A">
      <w:t>CWS/9/</w:t>
    </w:r>
    <w:r w:rsidR="00BD6DB6" w:rsidRPr="0065771A">
      <w:t>12</w:t>
    </w:r>
    <w:r w:rsidR="0065771A" w:rsidRPr="0065771A">
      <w:t xml:space="preserve"> Re</w:t>
    </w:r>
    <w:bookmarkStart w:id="5" w:name="_GoBack"/>
    <w:bookmarkEnd w:id="5"/>
    <w:r w:rsidR="0065771A" w:rsidRPr="0065771A">
      <w:t>v</w:t>
    </w:r>
    <w:r w:rsidR="009675E5" w:rsidRPr="0065771A">
      <w:t>.</w:t>
    </w:r>
  </w:p>
  <w:p w:rsidR="00AE7F20" w:rsidRDefault="00AE7F20" w:rsidP="00477D6B">
    <w:pPr>
      <w:jc w:val="right"/>
    </w:pPr>
    <w:r>
      <w:t xml:space="preserve">página </w:t>
    </w:r>
    <w:r>
      <w:fldChar w:fldCharType="begin"/>
    </w:r>
    <w:r>
      <w:instrText xml:space="preserve"> PAGE  \* MERGEFORMAT </w:instrText>
    </w:r>
    <w:r>
      <w:fldChar w:fldCharType="separate"/>
    </w:r>
    <w:r w:rsidR="0065771A">
      <w:rPr>
        <w:noProof/>
      </w:rPr>
      <w:t>2</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1A" w:rsidRDefault="00657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E1A2B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385F70"/>
    <w:multiLevelType w:val="hybridMultilevel"/>
    <w:tmpl w:val="E1A2B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D43730"/>
    <w:multiLevelType w:val="hybridMultilevel"/>
    <w:tmpl w:val="BD469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84356"/>
    <w:multiLevelType w:val="hybridMultilevel"/>
    <w:tmpl w:val="0A2A5510"/>
    <w:lvl w:ilvl="0" w:tplc="04090017">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4"/>
  </w:num>
  <w:num w:numId="8">
    <w:abstractNumId w:val="10"/>
  </w:num>
  <w:num w:numId="9">
    <w:abstractNumId w:val="9"/>
  </w:num>
  <w:num w:numId="10">
    <w:abstractNumId w:val="3"/>
  </w:num>
  <w:num w:numId="11">
    <w:abstractNumId w:val="1"/>
  </w:num>
  <w:num w:numId="12">
    <w:abstractNumId w:val="1"/>
  </w:num>
  <w:num w:numId="13">
    <w:abstractNumId w:val="1"/>
  </w:num>
  <w:num w:numId="14">
    <w:abstractNumId w:val="1"/>
  </w:num>
  <w:num w:numId="15">
    <w:abstractNumId w:val="6"/>
  </w:num>
  <w:num w:numId="16">
    <w:abstractNumId w:val="1"/>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0F513D"/>
    <w:rsid w:val="00010686"/>
    <w:rsid w:val="00020030"/>
    <w:rsid w:val="00022450"/>
    <w:rsid w:val="00052915"/>
    <w:rsid w:val="00094BEE"/>
    <w:rsid w:val="000E3BB3"/>
    <w:rsid w:val="000F513D"/>
    <w:rsid w:val="000F5E56"/>
    <w:rsid w:val="001362EE"/>
    <w:rsid w:val="00144CFE"/>
    <w:rsid w:val="00152CEA"/>
    <w:rsid w:val="00157A71"/>
    <w:rsid w:val="00167338"/>
    <w:rsid w:val="001832A6"/>
    <w:rsid w:val="001E16B3"/>
    <w:rsid w:val="00202F8B"/>
    <w:rsid w:val="00210100"/>
    <w:rsid w:val="002634C4"/>
    <w:rsid w:val="002A5421"/>
    <w:rsid w:val="002C2E2F"/>
    <w:rsid w:val="002D23B5"/>
    <w:rsid w:val="002E0F47"/>
    <w:rsid w:val="002F4E68"/>
    <w:rsid w:val="00310826"/>
    <w:rsid w:val="00345D42"/>
    <w:rsid w:val="00354647"/>
    <w:rsid w:val="00373415"/>
    <w:rsid w:val="00377273"/>
    <w:rsid w:val="003845C1"/>
    <w:rsid w:val="00387287"/>
    <w:rsid w:val="00396759"/>
    <w:rsid w:val="003C7DA7"/>
    <w:rsid w:val="003E48F1"/>
    <w:rsid w:val="003F347A"/>
    <w:rsid w:val="00413566"/>
    <w:rsid w:val="00423E3E"/>
    <w:rsid w:val="00427AF4"/>
    <w:rsid w:val="0043250D"/>
    <w:rsid w:val="0045231F"/>
    <w:rsid w:val="004647DA"/>
    <w:rsid w:val="0046793F"/>
    <w:rsid w:val="00472A6E"/>
    <w:rsid w:val="00477808"/>
    <w:rsid w:val="00477D6B"/>
    <w:rsid w:val="004A6C37"/>
    <w:rsid w:val="004D399C"/>
    <w:rsid w:val="004E297D"/>
    <w:rsid w:val="00531B02"/>
    <w:rsid w:val="005332F0"/>
    <w:rsid w:val="0055013B"/>
    <w:rsid w:val="00571B99"/>
    <w:rsid w:val="005B2EAE"/>
    <w:rsid w:val="005E4BE7"/>
    <w:rsid w:val="00605827"/>
    <w:rsid w:val="006173A5"/>
    <w:rsid w:val="00634A7B"/>
    <w:rsid w:val="0065771A"/>
    <w:rsid w:val="006611D7"/>
    <w:rsid w:val="0067184B"/>
    <w:rsid w:val="00675021"/>
    <w:rsid w:val="006A06C6"/>
    <w:rsid w:val="007147B9"/>
    <w:rsid w:val="007224C8"/>
    <w:rsid w:val="00752053"/>
    <w:rsid w:val="007873F3"/>
    <w:rsid w:val="00794BE2"/>
    <w:rsid w:val="007A5581"/>
    <w:rsid w:val="007B2EA4"/>
    <w:rsid w:val="007B71FE"/>
    <w:rsid w:val="007D781E"/>
    <w:rsid w:val="007E663E"/>
    <w:rsid w:val="00803AD9"/>
    <w:rsid w:val="00815082"/>
    <w:rsid w:val="00817FCD"/>
    <w:rsid w:val="00832500"/>
    <w:rsid w:val="008326FC"/>
    <w:rsid w:val="0088395E"/>
    <w:rsid w:val="008B2CC1"/>
    <w:rsid w:val="008E6BD6"/>
    <w:rsid w:val="0090731E"/>
    <w:rsid w:val="009508CA"/>
    <w:rsid w:val="00954F6A"/>
    <w:rsid w:val="00966A22"/>
    <w:rsid w:val="009675E5"/>
    <w:rsid w:val="00972F03"/>
    <w:rsid w:val="0098367F"/>
    <w:rsid w:val="009A0C8B"/>
    <w:rsid w:val="009A20CD"/>
    <w:rsid w:val="009B6241"/>
    <w:rsid w:val="009F725B"/>
    <w:rsid w:val="00A16FC0"/>
    <w:rsid w:val="00A22E15"/>
    <w:rsid w:val="00A32C9E"/>
    <w:rsid w:val="00AB613D"/>
    <w:rsid w:val="00AE7F20"/>
    <w:rsid w:val="00B534D5"/>
    <w:rsid w:val="00B65A0A"/>
    <w:rsid w:val="00B67CDC"/>
    <w:rsid w:val="00B72D36"/>
    <w:rsid w:val="00BC4164"/>
    <w:rsid w:val="00BC67C3"/>
    <w:rsid w:val="00BD2DCC"/>
    <w:rsid w:val="00BD6DB6"/>
    <w:rsid w:val="00BE59A4"/>
    <w:rsid w:val="00BF5A8E"/>
    <w:rsid w:val="00C343A0"/>
    <w:rsid w:val="00C5375F"/>
    <w:rsid w:val="00C90559"/>
    <w:rsid w:val="00CA0500"/>
    <w:rsid w:val="00CA2251"/>
    <w:rsid w:val="00CB0E46"/>
    <w:rsid w:val="00D56C7C"/>
    <w:rsid w:val="00D71B4D"/>
    <w:rsid w:val="00D7751C"/>
    <w:rsid w:val="00D90289"/>
    <w:rsid w:val="00D93D55"/>
    <w:rsid w:val="00DB116F"/>
    <w:rsid w:val="00DC4C60"/>
    <w:rsid w:val="00DD6CF4"/>
    <w:rsid w:val="00E006F2"/>
    <w:rsid w:val="00E0079A"/>
    <w:rsid w:val="00E1007F"/>
    <w:rsid w:val="00E26FE4"/>
    <w:rsid w:val="00E444DA"/>
    <w:rsid w:val="00E45C84"/>
    <w:rsid w:val="00E504E5"/>
    <w:rsid w:val="00E60D82"/>
    <w:rsid w:val="00E71616"/>
    <w:rsid w:val="00E71FF0"/>
    <w:rsid w:val="00E7477F"/>
    <w:rsid w:val="00E809B6"/>
    <w:rsid w:val="00E95C06"/>
    <w:rsid w:val="00EB0D93"/>
    <w:rsid w:val="00EB4463"/>
    <w:rsid w:val="00EB7A3E"/>
    <w:rsid w:val="00EC1AA7"/>
    <w:rsid w:val="00EC401A"/>
    <w:rsid w:val="00EF530A"/>
    <w:rsid w:val="00EF6622"/>
    <w:rsid w:val="00EF78A9"/>
    <w:rsid w:val="00F11200"/>
    <w:rsid w:val="00F44DEF"/>
    <w:rsid w:val="00F55408"/>
    <w:rsid w:val="00F66152"/>
    <w:rsid w:val="00F80845"/>
    <w:rsid w:val="00F84474"/>
    <w:rsid w:val="00F854CB"/>
    <w:rsid w:val="00FA0F0D"/>
    <w:rsid w:val="00FD2B3E"/>
    <w:rsid w:val="00FD59D1"/>
    <w:rsid w:val="00FE01E0"/>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35E59"/>
  <w15:docId w15:val="{13A7E7C7-91DA-427C-B92A-EED78F22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F513D"/>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0F513D"/>
    <w:rPr>
      <w:rFonts w:ascii="Arial" w:eastAsia="SimSun" w:hAnsi="Arial" w:cs="Arial"/>
      <w:sz w:val="22"/>
      <w:lang w:val="es-ES" w:eastAsia="zh-CN"/>
    </w:rPr>
  </w:style>
  <w:style w:type="paragraph" w:styleId="ListParagraph">
    <w:name w:val="List Paragraph"/>
    <w:basedOn w:val="Normal"/>
    <w:uiPriority w:val="1"/>
    <w:qFormat/>
    <w:rsid w:val="000F513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35AAC-7415-421C-9555-09F2E372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CWS/9/12</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CWS/9/12 Rev.</dc:title>
  <dc:creator>WIPO</dc:creator>
  <cp:keywords>FOR OFFICIAL USE ONLY</cp:keywords>
  <cp:lastModifiedBy>CHAVAS Louison</cp:lastModifiedBy>
  <cp:revision>2</cp:revision>
  <dcterms:created xsi:type="dcterms:W3CDTF">2021-10-29T09:22:00Z</dcterms:created>
  <dcterms:modified xsi:type="dcterms:W3CDTF">2021-10-29T09:22:00Z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