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AB81" w14:textId="77777777" w:rsidR="008B2CC1" w:rsidRPr="0028763B" w:rsidRDefault="00472A6E" w:rsidP="00472A6E">
      <w:pPr>
        <w:spacing w:after="120"/>
        <w:ind w:right="-57"/>
        <w:jc w:val="right"/>
        <w:rPr>
          <w:lang w:val="es-419"/>
        </w:rPr>
      </w:pPr>
      <w:r w:rsidRPr="0028763B">
        <w:rPr>
          <w:noProof/>
          <w:lang w:val="en-US" w:eastAsia="en-US"/>
        </w:rPr>
        <w:drawing>
          <wp:inline distT="0" distB="0" distL="0" distR="0" wp14:anchorId="4BFB177F" wp14:editId="7AC148A9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6288" w14:textId="77777777" w:rsidR="00472A6E" w:rsidRPr="0028763B" w:rsidRDefault="008E0D33" w:rsidP="000D6004">
      <w:pPr>
        <w:pBdr>
          <w:top w:val="single" w:sz="4" w:space="8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28763B">
        <w:rPr>
          <w:rFonts w:ascii="Arial Black" w:hAnsi="Arial Black"/>
          <w:caps/>
          <w:sz w:val="15"/>
          <w:lang w:val="es-419"/>
        </w:rPr>
        <w:t>CWS/8/</w:t>
      </w:r>
      <w:bookmarkStart w:id="0" w:name="Code"/>
      <w:r w:rsidR="004B56A4" w:rsidRPr="0028763B">
        <w:rPr>
          <w:rFonts w:ascii="Arial Black" w:hAnsi="Arial Black"/>
          <w:caps/>
          <w:sz w:val="15"/>
          <w:lang w:val="es-419"/>
        </w:rPr>
        <w:t>7</w:t>
      </w:r>
    </w:p>
    <w:bookmarkEnd w:id="0"/>
    <w:p w14:paraId="3F1DE01C" w14:textId="77777777" w:rsidR="008B2CC1" w:rsidRPr="0028763B" w:rsidRDefault="00472A6E" w:rsidP="00472A6E">
      <w:pPr>
        <w:jc w:val="right"/>
        <w:rPr>
          <w:lang w:val="es-419"/>
        </w:rPr>
      </w:pPr>
      <w:r w:rsidRPr="0028763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4B56A4" w:rsidRPr="0028763B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782B70CE" w14:textId="77777777" w:rsidR="008B2CC1" w:rsidRPr="0028763B" w:rsidRDefault="00472A6E" w:rsidP="00472A6E">
      <w:pPr>
        <w:spacing w:after="1200"/>
        <w:jc w:val="right"/>
        <w:rPr>
          <w:lang w:val="es-419"/>
        </w:rPr>
      </w:pPr>
      <w:r w:rsidRPr="0028763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B56A4" w:rsidRPr="0028763B">
        <w:rPr>
          <w:rFonts w:ascii="Arial Black" w:hAnsi="Arial Black"/>
          <w:caps/>
          <w:sz w:val="15"/>
          <w:lang w:val="es-419"/>
        </w:rPr>
        <w:t>23 DE OCTUBRE DE 2020</w:t>
      </w:r>
    </w:p>
    <w:bookmarkEnd w:id="2"/>
    <w:p w14:paraId="3593787C" w14:textId="77777777" w:rsidR="00B67CDC" w:rsidRPr="0028763B" w:rsidRDefault="008E0D33" w:rsidP="00472A6E">
      <w:pPr>
        <w:pStyle w:val="Heading1"/>
        <w:spacing w:before="0" w:after="480"/>
        <w:rPr>
          <w:caps w:val="0"/>
          <w:sz w:val="28"/>
          <w:lang w:val="es-419"/>
        </w:rPr>
      </w:pPr>
      <w:r w:rsidRPr="0028763B">
        <w:rPr>
          <w:caps w:val="0"/>
          <w:sz w:val="28"/>
          <w:szCs w:val="28"/>
          <w:lang w:val="es-419"/>
        </w:rPr>
        <w:t>Comité de Normas Técnicas de la OMPI (CWS)</w:t>
      </w:r>
    </w:p>
    <w:p w14:paraId="75820B61" w14:textId="77777777" w:rsidR="008E0D33" w:rsidRPr="0028763B" w:rsidRDefault="008E0D33" w:rsidP="008E0D33">
      <w:pPr>
        <w:outlineLvl w:val="1"/>
        <w:rPr>
          <w:b/>
          <w:sz w:val="24"/>
          <w:szCs w:val="24"/>
          <w:lang w:val="es-419"/>
        </w:rPr>
      </w:pPr>
      <w:r w:rsidRPr="0028763B">
        <w:rPr>
          <w:b/>
          <w:sz w:val="24"/>
          <w:szCs w:val="24"/>
          <w:lang w:val="es-419"/>
        </w:rPr>
        <w:t>Octava sesión</w:t>
      </w:r>
    </w:p>
    <w:p w14:paraId="18FB7C61" w14:textId="0026065F" w:rsidR="00B67CDC" w:rsidRPr="0028763B" w:rsidRDefault="008E0D33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28763B">
        <w:rPr>
          <w:b/>
          <w:sz w:val="24"/>
          <w:szCs w:val="24"/>
          <w:lang w:val="es-419"/>
        </w:rPr>
        <w:t xml:space="preserve">Ginebra, </w:t>
      </w:r>
      <w:r w:rsidR="00FD77E8" w:rsidRPr="0028763B">
        <w:rPr>
          <w:b/>
          <w:sz w:val="24"/>
          <w:szCs w:val="24"/>
          <w:lang w:val="es-419"/>
        </w:rPr>
        <w:t>30 de noviembre a 4 de diciembre</w:t>
      </w:r>
      <w:r w:rsidRPr="0028763B">
        <w:rPr>
          <w:b/>
          <w:sz w:val="24"/>
          <w:szCs w:val="24"/>
          <w:lang w:val="es-419"/>
        </w:rPr>
        <w:t xml:space="preserve"> de 2020</w:t>
      </w:r>
    </w:p>
    <w:p w14:paraId="02DF5DB3" w14:textId="048A822E" w:rsidR="0098368E" w:rsidRPr="0028763B" w:rsidRDefault="00FD05E8" w:rsidP="0098368E">
      <w:pPr>
        <w:spacing w:before="240"/>
        <w:rPr>
          <w:caps/>
          <w:sz w:val="24"/>
          <w:lang w:val="es-419"/>
        </w:rPr>
      </w:pPr>
      <w:bookmarkStart w:id="3" w:name="Prepared"/>
      <w:bookmarkEnd w:id="3"/>
      <w:r w:rsidRPr="0028763B">
        <w:rPr>
          <w:caps/>
          <w:sz w:val="24"/>
          <w:lang w:val="es-419"/>
        </w:rPr>
        <w:t xml:space="preserve">Propuesta de revisión de la Norma ST.27 de la OMPI </w:t>
      </w:r>
    </w:p>
    <w:p w14:paraId="4E1A41F1" w14:textId="2A92A857" w:rsidR="0098368E" w:rsidRPr="0028763B" w:rsidRDefault="002E5C99" w:rsidP="002E5C99">
      <w:pPr>
        <w:spacing w:before="240"/>
        <w:rPr>
          <w:i/>
          <w:lang w:val="es-419"/>
        </w:rPr>
      </w:pPr>
      <w:r w:rsidRPr="0028763B">
        <w:rPr>
          <w:i/>
          <w:lang w:val="es-419"/>
        </w:rPr>
        <w:t xml:space="preserve">Documento preparado por el responsable del Equipo Técnico de la Situación Jurídica </w:t>
      </w:r>
    </w:p>
    <w:p w14:paraId="606090F2" w14:textId="7EBE998B" w:rsidR="0098368E" w:rsidRPr="0028763B" w:rsidRDefault="00B0618F" w:rsidP="0098368E">
      <w:pPr>
        <w:pStyle w:val="Heading2"/>
        <w:spacing w:before="1080"/>
        <w:rPr>
          <w:rFonts w:eastAsia="Malgun Gothic"/>
          <w:caps w:val="0"/>
          <w:szCs w:val="22"/>
          <w:lang w:val="es-419"/>
        </w:rPr>
      </w:pPr>
      <w:r w:rsidRPr="0028763B">
        <w:rPr>
          <w:rFonts w:eastAsia="Malgun Gothic"/>
          <w:caps w:val="0"/>
          <w:szCs w:val="22"/>
          <w:lang w:val="es-419"/>
        </w:rPr>
        <w:t>ANTECEDENTES</w:t>
      </w:r>
    </w:p>
    <w:p w14:paraId="73A56EF3" w14:textId="636BBC54" w:rsidR="0098368E" w:rsidRPr="0028763B" w:rsidRDefault="0098368E" w:rsidP="0098368E">
      <w:pPr>
        <w:pStyle w:val="ONUMFS"/>
        <w:numPr>
          <w:ilvl w:val="0"/>
          <w:numId w:val="0"/>
        </w:numPr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D154C2" w:rsidRPr="0028763B">
        <w:rPr>
          <w:lang w:val="es-419"/>
        </w:rPr>
        <w:t>En su quinta sesión, celebrada en 2017, el Comité de Normas Técnicas de la OMPI (CWS) solicitó al Equipo Técnico de la Situación Jurídica que consultara con el Equipo Técnico XML4IP a fin de desarrollar componentes del esquema del lenguaje extensible de marcado (XML) para el intercambio de datos sobre la situación jurídica de las patentes conforme a la Norma ST.27 de la OMPI</w:t>
      </w:r>
      <w:r w:rsidRPr="0028763B">
        <w:rPr>
          <w:lang w:val="es-419"/>
        </w:rPr>
        <w:t xml:space="preserve">. </w:t>
      </w:r>
      <w:r w:rsidR="002E5761" w:rsidRPr="0028763B">
        <w:rPr>
          <w:lang w:val="es-419"/>
        </w:rPr>
        <w:t>La Oficina Internacional es responsable del Equipo Técnico (véanse los párrafos 50 y 53 del documento CWS/5/22).</w:t>
      </w:r>
    </w:p>
    <w:p w14:paraId="2C9E54B8" w14:textId="35755F46" w:rsidR="0098368E" w:rsidRPr="0028763B" w:rsidRDefault="0098368E" w:rsidP="002116CB">
      <w:pPr>
        <w:pStyle w:val="ONUMFS"/>
        <w:numPr>
          <w:ilvl w:val="0"/>
          <w:numId w:val="0"/>
        </w:numPr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2116CB" w:rsidRPr="0028763B">
        <w:rPr>
          <w:lang w:val="es-419"/>
        </w:rPr>
        <w:t>La presente propuesta se enmarca en la Tarea N.º 47, cuya descripción es la siguiente:</w:t>
      </w:r>
      <w:r w:rsidRPr="0028763B">
        <w:rPr>
          <w:lang w:val="es-419"/>
        </w:rPr>
        <w:t xml:space="preserve"> </w:t>
      </w:r>
      <w:r w:rsidR="002116CB" w:rsidRPr="0028763B">
        <w:rPr>
          <w:lang w:val="es-419"/>
        </w:rPr>
        <w:t>“preparar propuestas de revisión de las Normas ST.27 y ST.87 de la OMPI, según sea necesario; preparar una propuesta de documento de orientación sobre datos relativos a la situación jurídica de los dibujos y modelos industriales;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jurídica”</w:t>
      </w:r>
      <w:r w:rsidRPr="0028763B">
        <w:rPr>
          <w:lang w:val="es-419"/>
        </w:rPr>
        <w:t xml:space="preserve"> (</w:t>
      </w:r>
      <w:r w:rsidR="00091000">
        <w:rPr>
          <w:lang w:val="es-419"/>
        </w:rPr>
        <w:t>véase el párrafo </w:t>
      </w:r>
      <w:r w:rsidR="002116CB" w:rsidRPr="0028763B">
        <w:rPr>
          <w:lang w:val="es-419"/>
        </w:rPr>
        <w:t>114 del documento CWS/7/29</w:t>
      </w:r>
      <w:r w:rsidRPr="0028763B">
        <w:rPr>
          <w:lang w:val="es-419"/>
        </w:rPr>
        <w:t>).</w:t>
      </w:r>
    </w:p>
    <w:p w14:paraId="5124D4CF" w14:textId="4CCC2990" w:rsidR="0098368E" w:rsidRPr="0028763B" w:rsidRDefault="00033D5C" w:rsidP="0098368E">
      <w:pPr>
        <w:pStyle w:val="Heading2"/>
        <w:spacing w:before="0"/>
        <w:rPr>
          <w:lang w:val="es-419"/>
        </w:rPr>
      </w:pPr>
      <w:r w:rsidRPr="0028763B">
        <w:rPr>
          <w:lang w:val="es-419"/>
        </w:rPr>
        <w:t xml:space="preserve">PROPUESTA </w:t>
      </w:r>
      <w:r w:rsidR="00DC46C5" w:rsidRPr="0028763B">
        <w:rPr>
          <w:lang w:val="es-419"/>
        </w:rPr>
        <w:t xml:space="preserve">de revisión </w:t>
      </w:r>
      <w:r w:rsidRPr="0028763B">
        <w:rPr>
          <w:lang w:val="es-419"/>
        </w:rPr>
        <w:t>DE LA NORMA ST.27 DE LA OMPI</w:t>
      </w:r>
    </w:p>
    <w:p w14:paraId="0D04EB5C" w14:textId="45549548" w:rsidR="0098368E" w:rsidRPr="0028763B" w:rsidRDefault="0098368E" w:rsidP="0098368E">
      <w:pPr>
        <w:pStyle w:val="ONUMFS"/>
        <w:numPr>
          <w:ilvl w:val="0"/>
          <w:numId w:val="0"/>
        </w:numPr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C13797" w:rsidRPr="0028763B">
        <w:rPr>
          <w:lang w:val="es-419"/>
        </w:rPr>
        <w:t>El Equipo Técnico XML4IP, en el curso de sus actividades relativas a los componentes del esquema XML para datos sobre la situación jurídica de las patentes, observó que era necesario añadir información en los campos de datos complementarios de la Norma ST.27</w:t>
      </w:r>
      <w:r w:rsidRPr="0028763B">
        <w:rPr>
          <w:lang w:val="es-419"/>
        </w:rPr>
        <w:t>.</w:t>
      </w:r>
      <w:r w:rsidR="003B38F2" w:rsidRPr="0028763B">
        <w:rPr>
          <w:lang w:val="es-419"/>
        </w:rPr>
        <w:t xml:space="preserve"> </w:t>
      </w:r>
      <w:r w:rsidR="009B75DA" w:rsidRPr="0028763B">
        <w:rPr>
          <w:lang w:val="es-419"/>
        </w:rPr>
        <w:t>Tras debatir al respecto, el Equipo Técnico de la Situación Jurídica recom</w:t>
      </w:r>
      <w:r w:rsidR="008E18FE" w:rsidRPr="0028763B">
        <w:rPr>
          <w:lang w:val="es-419"/>
        </w:rPr>
        <w:t>ienda</w:t>
      </w:r>
      <w:r w:rsidR="009B75DA" w:rsidRPr="0028763B">
        <w:rPr>
          <w:lang w:val="es-419"/>
        </w:rPr>
        <w:t xml:space="preserve"> que se revis</w:t>
      </w:r>
      <w:r w:rsidR="008E18FE" w:rsidRPr="0028763B">
        <w:rPr>
          <w:lang w:val="es-419"/>
        </w:rPr>
        <w:t>e</w:t>
      </w:r>
      <w:r w:rsidR="009B75DA" w:rsidRPr="0028763B">
        <w:rPr>
          <w:lang w:val="es-419"/>
        </w:rPr>
        <w:t xml:space="preserve"> el Anexo II de la Norma ST.27 </w:t>
      </w:r>
      <w:r w:rsidR="00F631AB" w:rsidRPr="0028763B">
        <w:rPr>
          <w:lang w:val="es-419"/>
        </w:rPr>
        <w:t>a fin de</w:t>
      </w:r>
      <w:r w:rsidR="009B75DA" w:rsidRPr="0028763B">
        <w:rPr>
          <w:lang w:val="es-419"/>
        </w:rPr>
        <w:t xml:space="preserve"> que incluya la información nueva y esté en consonancia con los componentes XML pertinentes de la nueva versión 4.0 de la Norma ST.96</w:t>
      </w:r>
      <w:r w:rsidRPr="0028763B">
        <w:rPr>
          <w:lang w:val="es-419"/>
        </w:rPr>
        <w:t xml:space="preserve">. </w:t>
      </w:r>
      <w:r w:rsidR="003B38F2" w:rsidRPr="0028763B">
        <w:rPr>
          <w:lang w:val="es-419"/>
        </w:rPr>
        <w:t>Las modificaciones propuestas para el Anexo II de la Norma ST.27 se describen en el Anexo del presente documento</w:t>
      </w:r>
      <w:r w:rsidRPr="0028763B">
        <w:rPr>
          <w:lang w:val="es-419"/>
        </w:rPr>
        <w:t>.</w:t>
      </w:r>
    </w:p>
    <w:p w14:paraId="10C5D9F4" w14:textId="140F03DB" w:rsidR="0098368E" w:rsidRPr="0028763B" w:rsidRDefault="0098368E" w:rsidP="0098368E">
      <w:pPr>
        <w:pStyle w:val="ONUMFS"/>
        <w:numPr>
          <w:ilvl w:val="0"/>
          <w:numId w:val="0"/>
        </w:numPr>
        <w:spacing w:after="120"/>
        <w:rPr>
          <w:lang w:val="es-419"/>
        </w:rPr>
      </w:pPr>
      <w:r w:rsidRPr="0028763B">
        <w:rPr>
          <w:lang w:val="es-419"/>
        </w:rPr>
        <w:lastRenderedPageBreak/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6C4E4B" w:rsidRPr="0028763B">
        <w:rPr>
          <w:lang w:val="es-419"/>
        </w:rPr>
        <w:t xml:space="preserve">A continuación se </w:t>
      </w:r>
      <w:r w:rsidR="00073840" w:rsidRPr="0028763B">
        <w:rPr>
          <w:lang w:val="es-419"/>
        </w:rPr>
        <w:t>indican</w:t>
      </w:r>
      <w:r w:rsidR="006C4E4B" w:rsidRPr="0028763B">
        <w:rPr>
          <w:lang w:val="es-419"/>
        </w:rPr>
        <w:t xml:space="preserve"> los datos complementarios propuestos para su inclusión en el Anexo II de la </w:t>
      </w:r>
      <w:r w:rsidR="00602CC9" w:rsidRPr="0028763B">
        <w:rPr>
          <w:lang w:val="es-419"/>
        </w:rPr>
        <w:t>N</w:t>
      </w:r>
      <w:r w:rsidR="006C4E4B" w:rsidRPr="0028763B">
        <w:rPr>
          <w:lang w:val="es-419"/>
        </w:rPr>
        <w:t>orma ST.27</w:t>
      </w:r>
      <w:r w:rsidRPr="0028763B">
        <w:rPr>
          <w:lang w:val="es-419"/>
        </w:rPr>
        <w:t xml:space="preserve">. </w:t>
      </w:r>
      <w:r w:rsidR="006C4E4B" w:rsidRPr="0028763B">
        <w:rPr>
          <w:lang w:val="es-419"/>
        </w:rPr>
        <w:t xml:space="preserve">Al igual que los campos de datos complementarios </w:t>
      </w:r>
      <w:r w:rsidR="0042650D" w:rsidRPr="0028763B">
        <w:rPr>
          <w:lang w:val="es-419"/>
        </w:rPr>
        <w:t>anteriores</w:t>
      </w:r>
      <w:r w:rsidR="006C4E4B" w:rsidRPr="0028763B">
        <w:rPr>
          <w:lang w:val="es-419"/>
        </w:rPr>
        <w:t>, son todos opcionales. Cada oficina de propiedad intelectual puede proporcionar los datos complementarios que desee, si es que dispone de alguno</w:t>
      </w:r>
      <w:r w:rsidRPr="0028763B">
        <w:rPr>
          <w:lang w:val="es-419"/>
        </w:rPr>
        <w:t xml:space="preserve">. </w:t>
      </w:r>
      <w:r w:rsidR="006C4E4B" w:rsidRPr="0028763B">
        <w:rPr>
          <w:lang w:val="es-419"/>
        </w:rPr>
        <w:t>Los datos complementarios nuevos son</w:t>
      </w:r>
      <w:r w:rsidRPr="0028763B">
        <w:rPr>
          <w:lang w:val="es-419"/>
        </w:rPr>
        <w:t>:</w:t>
      </w:r>
    </w:p>
    <w:p w14:paraId="11471B98" w14:textId="042EA928" w:rsidR="0098368E" w:rsidRPr="0028763B" w:rsidRDefault="00CA2962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Fecha de una incidencia anterior relacionada con la incidencia que se está registrando</w:t>
      </w:r>
      <w:r w:rsidR="0098368E" w:rsidRPr="0028763B">
        <w:rPr>
          <w:szCs w:val="22"/>
          <w:lang w:val="es-419"/>
        </w:rPr>
        <w:t>;</w:t>
      </w:r>
    </w:p>
    <w:p w14:paraId="6FFA414D" w14:textId="686C5208" w:rsidR="0098368E" w:rsidRPr="0028763B" w:rsidRDefault="00F268E7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 xml:space="preserve">Cita de una norma, </w:t>
      </w:r>
      <w:r w:rsidR="007F76EA" w:rsidRPr="0028763B">
        <w:rPr>
          <w:szCs w:val="22"/>
          <w:lang w:val="es-419"/>
        </w:rPr>
        <w:t xml:space="preserve">un </w:t>
      </w:r>
      <w:r w:rsidRPr="0028763B">
        <w:rPr>
          <w:szCs w:val="22"/>
          <w:lang w:val="es-419"/>
        </w:rPr>
        <w:t xml:space="preserve">reglamento, </w:t>
      </w:r>
      <w:r w:rsidR="007F76EA" w:rsidRPr="0028763B">
        <w:rPr>
          <w:szCs w:val="22"/>
          <w:lang w:val="es-419"/>
        </w:rPr>
        <w:t xml:space="preserve">un </w:t>
      </w:r>
      <w:r w:rsidRPr="0028763B">
        <w:rPr>
          <w:szCs w:val="22"/>
          <w:lang w:val="es-419"/>
        </w:rPr>
        <w:t xml:space="preserve">estatuto, </w:t>
      </w:r>
      <w:r w:rsidR="007F76EA" w:rsidRPr="0028763B">
        <w:rPr>
          <w:szCs w:val="22"/>
          <w:lang w:val="es-419"/>
        </w:rPr>
        <w:t xml:space="preserve">una </w:t>
      </w:r>
      <w:r w:rsidRPr="0028763B">
        <w:rPr>
          <w:szCs w:val="22"/>
          <w:lang w:val="es-419"/>
        </w:rPr>
        <w:t>disposición legal o cualquier documento pertinente que fundamente una decisión</w:t>
      </w:r>
      <w:r w:rsidR="0098368E" w:rsidRPr="0028763B">
        <w:rPr>
          <w:szCs w:val="22"/>
          <w:lang w:val="es-419"/>
        </w:rPr>
        <w:t xml:space="preserve">;  </w:t>
      </w:r>
    </w:p>
    <w:p w14:paraId="6EA811D1" w14:textId="56749F05" w:rsidR="0098368E" w:rsidRPr="0028763B" w:rsidRDefault="00680DCF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Motivo por el cual la solicitud o el derecho de PI no está vigente (por ejemplo, retirada, abandono o caducidad)</w:t>
      </w:r>
      <w:r w:rsidR="0098368E" w:rsidRPr="0028763B">
        <w:rPr>
          <w:szCs w:val="22"/>
          <w:lang w:val="es-419"/>
        </w:rPr>
        <w:t xml:space="preserve">;  </w:t>
      </w:r>
    </w:p>
    <w:p w14:paraId="40C08007" w14:textId="2605B1DA" w:rsidR="0098368E" w:rsidRPr="0028763B" w:rsidRDefault="0020385F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Indicador de que los derechos fundados en una utilización anterior se adjuntan o pueden adjuntarse a la solicitud o el derecho de PI, si se dispone de esa información en la Oficina de PI</w:t>
      </w:r>
      <w:r w:rsidR="0098368E" w:rsidRPr="0028763B">
        <w:rPr>
          <w:szCs w:val="22"/>
          <w:lang w:val="es-419"/>
        </w:rPr>
        <w:t xml:space="preserve">;  </w:t>
      </w:r>
    </w:p>
    <w:p w14:paraId="33FC652F" w14:textId="120426C3" w:rsidR="0098368E" w:rsidRPr="0028763B" w:rsidRDefault="00326E92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sobre publicaciones, documentos de prioridad u otros documentos conexos</w:t>
      </w:r>
      <w:r w:rsidR="0098368E" w:rsidRPr="0028763B">
        <w:rPr>
          <w:szCs w:val="22"/>
          <w:lang w:val="es-419"/>
        </w:rPr>
        <w:t xml:space="preserve">;  </w:t>
      </w:r>
    </w:p>
    <w:p w14:paraId="74C29157" w14:textId="37EA272F" w:rsidR="0098368E" w:rsidRPr="0028763B" w:rsidRDefault="0055779B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del procedimiento de revisión llevado a cabo (por ejemplo, fecha de la oposición, idioma, número de referencia)</w:t>
      </w:r>
      <w:r w:rsidR="0098368E" w:rsidRPr="0028763B">
        <w:rPr>
          <w:szCs w:val="22"/>
          <w:lang w:val="es-419"/>
        </w:rPr>
        <w:t xml:space="preserve">;  </w:t>
      </w:r>
    </w:p>
    <w:p w14:paraId="674EAB91" w14:textId="60C27918" w:rsidR="0098368E" w:rsidRPr="0028763B" w:rsidRDefault="0055779B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relativos a la solicitud: título de la invención, datos de prioridad, datos de la clasificación</w:t>
      </w:r>
      <w:r w:rsidR="0098368E" w:rsidRPr="0028763B">
        <w:rPr>
          <w:szCs w:val="22"/>
          <w:lang w:val="es-419"/>
        </w:rPr>
        <w:t xml:space="preserve">;  </w:t>
      </w:r>
    </w:p>
    <w:p w14:paraId="5018C858" w14:textId="0FA4CF79" w:rsidR="0098368E" w:rsidRPr="0028763B" w:rsidRDefault="0055779B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sobre el inventor (por ejemplo, nombre, ubicación, empleador)</w:t>
      </w:r>
      <w:r w:rsidR="0098368E" w:rsidRPr="0028763B">
        <w:rPr>
          <w:szCs w:val="22"/>
          <w:lang w:val="es-419"/>
        </w:rPr>
        <w:t xml:space="preserve">;  </w:t>
      </w:r>
    </w:p>
    <w:p w14:paraId="61CABCAC" w14:textId="5F05DD59" w:rsidR="0098368E" w:rsidRPr="0028763B" w:rsidRDefault="0004355E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sobre la transferencia de titularidad, como el número del documento de asignación</w:t>
      </w:r>
      <w:r w:rsidR="0098368E" w:rsidRPr="0028763B">
        <w:rPr>
          <w:szCs w:val="22"/>
          <w:lang w:val="es-419"/>
        </w:rPr>
        <w:t xml:space="preserve">;  </w:t>
      </w:r>
    </w:p>
    <w:p w14:paraId="39B4F11F" w14:textId="057BA8D3" w:rsidR="0098368E" w:rsidRPr="0028763B" w:rsidRDefault="00605EE6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Datos de la licencia ampliada, incluidas las fechas inicial y final; y</w:t>
      </w:r>
    </w:p>
    <w:p w14:paraId="6D92F58B" w14:textId="0668FEB8" w:rsidR="0098368E" w:rsidRPr="0028763B" w:rsidRDefault="004839D6" w:rsidP="0098368E">
      <w:pPr>
        <w:pStyle w:val="ListParagraph"/>
        <w:numPr>
          <w:ilvl w:val="0"/>
          <w:numId w:val="7"/>
        </w:numPr>
        <w:spacing w:after="220"/>
        <w:contextualSpacing/>
        <w:rPr>
          <w:lang w:val="es-419"/>
        </w:rPr>
      </w:pPr>
      <w:r w:rsidRPr="0028763B">
        <w:rPr>
          <w:szCs w:val="22"/>
          <w:lang w:val="es-419"/>
        </w:rPr>
        <w:t>Datos del pago de tasas, como el año del pago y el estado del pago (por ejemplo, completado, en proceso, no iniciado)</w:t>
      </w:r>
      <w:r w:rsidR="0098368E" w:rsidRPr="0028763B">
        <w:rPr>
          <w:lang w:val="es-419"/>
        </w:rPr>
        <w:t>.</w:t>
      </w:r>
    </w:p>
    <w:p w14:paraId="39E2DA0C" w14:textId="5E197862" w:rsidR="0098368E" w:rsidRPr="0028763B" w:rsidRDefault="0098368E" w:rsidP="0098368E">
      <w:pPr>
        <w:pStyle w:val="ONUMFS"/>
        <w:numPr>
          <w:ilvl w:val="0"/>
          <w:numId w:val="0"/>
        </w:numPr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5172B8" w:rsidRPr="0028763B">
        <w:rPr>
          <w:lang w:val="es-419"/>
        </w:rPr>
        <w:t>En la Norma ST.27 solo se indica</w:t>
      </w:r>
      <w:r w:rsidR="00825720" w:rsidRPr="0028763B">
        <w:rPr>
          <w:lang w:val="es-419"/>
        </w:rPr>
        <w:t>n</w:t>
      </w:r>
      <w:r w:rsidR="005172B8" w:rsidRPr="0028763B">
        <w:rPr>
          <w:lang w:val="es-419"/>
        </w:rPr>
        <w:t xml:space="preserve"> de manera general l</w:t>
      </w:r>
      <w:r w:rsidR="0086397B" w:rsidRPr="0028763B">
        <w:rPr>
          <w:lang w:val="es-419"/>
        </w:rPr>
        <w:t>os</w:t>
      </w:r>
      <w:r w:rsidR="005172B8" w:rsidRPr="0028763B">
        <w:rPr>
          <w:lang w:val="es-419"/>
        </w:rPr>
        <w:t xml:space="preserve"> tipo</w:t>
      </w:r>
      <w:r w:rsidR="0086397B" w:rsidRPr="0028763B">
        <w:rPr>
          <w:lang w:val="es-419"/>
        </w:rPr>
        <w:t>s</w:t>
      </w:r>
      <w:r w:rsidR="005172B8" w:rsidRPr="0028763B">
        <w:rPr>
          <w:lang w:val="es-419"/>
        </w:rPr>
        <w:t xml:space="preserve"> de </w:t>
      </w:r>
      <w:r w:rsidR="00D932DE" w:rsidRPr="0028763B">
        <w:rPr>
          <w:lang w:val="es-419"/>
        </w:rPr>
        <w:t>datos</w:t>
      </w:r>
      <w:r w:rsidR="005172B8" w:rsidRPr="0028763B">
        <w:rPr>
          <w:lang w:val="es-419"/>
        </w:rPr>
        <w:t xml:space="preserve"> </w:t>
      </w:r>
      <w:r w:rsidR="00245BA1" w:rsidRPr="0028763B">
        <w:rPr>
          <w:lang w:val="es-419"/>
        </w:rPr>
        <w:t>almacenad</w:t>
      </w:r>
      <w:r w:rsidR="00D932DE" w:rsidRPr="0028763B">
        <w:rPr>
          <w:lang w:val="es-419"/>
        </w:rPr>
        <w:t xml:space="preserve">os </w:t>
      </w:r>
      <w:r w:rsidR="005172B8" w:rsidRPr="0028763B">
        <w:rPr>
          <w:lang w:val="es-419"/>
        </w:rPr>
        <w:t xml:space="preserve">como datos complementarios. </w:t>
      </w:r>
      <w:r w:rsidR="00245BA1" w:rsidRPr="0028763B">
        <w:rPr>
          <w:lang w:val="es-419"/>
        </w:rPr>
        <w:t>Toda la</w:t>
      </w:r>
      <w:r w:rsidR="005172B8" w:rsidRPr="0028763B">
        <w:rPr>
          <w:lang w:val="es-419"/>
        </w:rPr>
        <w:t xml:space="preserve"> información que se</w:t>
      </w:r>
      <w:r w:rsidR="006156F6" w:rsidRPr="0028763B">
        <w:rPr>
          <w:lang w:val="es-419"/>
        </w:rPr>
        <w:t>rá</w:t>
      </w:r>
      <w:r w:rsidR="005172B8" w:rsidRPr="0028763B">
        <w:rPr>
          <w:lang w:val="es-419"/>
        </w:rPr>
        <w:t xml:space="preserve"> guarda</w:t>
      </w:r>
      <w:r w:rsidR="006156F6" w:rsidRPr="0028763B">
        <w:rPr>
          <w:lang w:val="es-419"/>
        </w:rPr>
        <w:t>da</w:t>
      </w:r>
      <w:r w:rsidR="005172B8" w:rsidRPr="0028763B">
        <w:rPr>
          <w:lang w:val="es-419"/>
        </w:rPr>
        <w:t xml:space="preserve"> puede consultarse en la versión 4.0 de la Norma ST.96 de componentes del esquema XML publicada en el sitio web de la OMPI</w:t>
      </w:r>
      <w:r w:rsidRPr="0028763B">
        <w:rPr>
          <w:lang w:val="es-419"/>
        </w:rPr>
        <w:t>.</w:t>
      </w:r>
    </w:p>
    <w:p w14:paraId="4ED3BE46" w14:textId="224706B2" w:rsidR="0098368E" w:rsidRPr="0028763B" w:rsidRDefault="0098368E" w:rsidP="0098368E">
      <w:pPr>
        <w:pStyle w:val="ONUMFS"/>
        <w:numPr>
          <w:ilvl w:val="0"/>
          <w:numId w:val="0"/>
        </w:numPr>
        <w:spacing w:after="120"/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602CC9" w:rsidRPr="0028763B">
        <w:rPr>
          <w:lang w:val="es-419"/>
        </w:rPr>
        <w:t xml:space="preserve">Asimismo, se introdujeron varias mejoras en los elementos de datos complementarios </w:t>
      </w:r>
      <w:r w:rsidR="00073840" w:rsidRPr="0028763B">
        <w:rPr>
          <w:lang w:val="es-419"/>
        </w:rPr>
        <w:t xml:space="preserve">que ya estaban incluidos en </w:t>
      </w:r>
      <w:r w:rsidR="00602CC9" w:rsidRPr="0028763B">
        <w:rPr>
          <w:lang w:val="es-419"/>
        </w:rPr>
        <w:t>el Anexo II de la Norma ST.27</w:t>
      </w:r>
      <w:r w:rsidRPr="0028763B">
        <w:rPr>
          <w:lang w:val="es-419"/>
        </w:rPr>
        <w:t>:</w:t>
      </w:r>
    </w:p>
    <w:p w14:paraId="2C375AF3" w14:textId="710B5A6E" w:rsidR="0098368E" w:rsidRPr="0028763B" w:rsidRDefault="00937711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Los elementos de datos comunes que pueden utilizarse en cualquier categoría se enumeran por separado en la primera fila del cuadro, en lugar de repetirse para cada categoría</w:t>
      </w:r>
      <w:r w:rsidR="0098368E" w:rsidRPr="0028763B">
        <w:rPr>
          <w:szCs w:val="22"/>
          <w:lang w:val="es-419"/>
        </w:rPr>
        <w:t>;</w:t>
      </w:r>
    </w:p>
    <w:p w14:paraId="62A8D5BF" w14:textId="16EF173F" w:rsidR="0098368E" w:rsidRPr="0028763B" w:rsidRDefault="00B31063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>Se generalizó y combinó la información sobre nombres y/o la información de contacto.  Por ejemplo, 'Nombre de los solicitantes' se cambió por 'Datos del solicitante', o 'Nombre del licenciatario' y 'Código de país del licenciatario' se sustituyeron por 'Datos de los licenciatarios'</w:t>
      </w:r>
      <w:r w:rsidR="0098368E" w:rsidRPr="0028763B">
        <w:rPr>
          <w:szCs w:val="22"/>
          <w:lang w:val="es-419"/>
        </w:rPr>
        <w:t>;</w:t>
      </w:r>
    </w:p>
    <w:p w14:paraId="021CE671" w14:textId="08760C34" w:rsidR="0098368E" w:rsidRPr="0028763B" w:rsidRDefault="00BD236E" w:rsidP="0098368E">
      <w:pPr>
        <w:pStyle w:val="ListParagraph"/>
        <w:numPr>
          <w:ilvl w:val="0"/>
          <w:numId w:val="7"/>
        </w:numPr>
        <w:contextualSpacing/>
        <w:rPr>
          <w:szCs w:val="22"/>
          <w:lang w:val="es-419"/>
        </w:rPr>
      </w:pPr>
      <w:r w:rsidRPr="0028763B">
        <w:rPr>
          <w:szCs w:val="22"/>
          <w:lang w:val="es-419"/>
        </w:rPr>
        <w:t xml:space="preserve">En lugar de las expresiones </w:t>
      </w:r>
      <w:r w:rsidRPr="0028763B">
        <w:rPr>
          <w:i/>
          <w:iCs/>
          <w:szCs w:val="22"/>
          <w:lang w:val="es-419"/>
        </w:rPr>
        <w:t>ex tunc</w:t>
      </w:r>
      <w:r w:rsidRPr="0028763B">
        <w:rPr>
          <w:szCs w:val="22"/>
          <w:lang w:val="es-419"/>
        </w:rPr>
        <w:t xml:space="preserve"> o </w:t>
      </w:r>
      <w:r w:rsidRPr="0028763B">
        <w:rPr>
          <w:i/>
          <w:iCs/>
          <w:szCs w:val="22"/>
          <w:lang w:val="es-419"/>
        </w:rPr>
        <w:t>ex nunc</w:t>
      </w:r>
      <w:r w:rsidRPr="0028763B">
        <w:rPr>
          <w:szCs w:val="22"/>
          <w:lang w:val="es-419"/>
        </w:rPr>
        <w:t xml:space="preserve"> pasó a utilizarse 'Fecha de inicio del efecto jurídico'; y</w:t>
      </w:r>
    </w:p>
    <w:p w14:paraId="29C13FAA" w14:textId="4201A0F6" w:rsidR="0098368E" w:rsidRPr="0028763B" w:rsidRDefault="006573B3" w:rsidP="0098368E">
      <w:pPr>
        <w:pStyle w:val="ListParagraph"/>
        <w:numPr>
          <w:ilvl w:val="0"/>
          <w:numId w:val="7"/>
        </w:numPr>
        <w:contextualSpacing/>
        <w:rPr>
          <w:lang w:val="es-419"/>
        </w:rPr>
      </w:pPr>
      <w:r w:rsidRPr="0028763B">
        <w:rPr>
          <w:szCs w:val="22"/>
          <w:lang w:val="es-419"/>
        </w:rPr>
        <w:t>Se combinaron las columnas de 'título' y 'descripción', de modo que el cuadro resultante se lee más fácilmente y ocupa un 33 % menos de páginas que antes</w:t>
      </w:r>
      <w:r w:rsidR="0098368E" w:rsidRPr="0028763B">
        <w:rPr>
          <w:lang w:val="es-419"/>
        </w:rPr>
        <w:t>.</w:t>
      </w:r>
    </w:p>
    <w:p w14:paraId="5388E451" w14:textId="77777777" w:rsidR="006573B3" w:rsidRPr="0028763B" w:rsidRDefault="006573B3" w:rsidP="006573B3">
      <w:pPr>
        <w:pStyle w:val="ListParagraph"/>
        <w:ind w:left="720"/>
        <w:contextualSpacing/>
        <w:rPr>
          <w:lang w:val="es-419"/>
        </w:rPr>
      </w:pPr>
    </w:p>
    <w:p w14:paraId="75B42297" w14:textId="12D47E4D" w:rsidR="0098368E" w:rsidRPr="0028763B" w:rsidRDefault="0098368E" w:rsidP="0098368E">
      <w:pPr>
        <w:pStyle w:val="ONUMFS"/>
        <w:numPr>
          <w:ilvl w:val="0"/>
          <w:numId w:val="0"/>
        </w:numPr>
        <w:spacing w:after="120"/>
        <w:rPr>
          <w:szCs w:val="22"/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DD1988" w:rsidRPr="0028763B">
        <w:rPr>
          <w:lang w:val="es-419"/>
        </w:rPr>
        <w:t>Con objeto</w:t>
      </w:r>
      <w:r w:rsidR="00C5342A" w:rsidRPr="0028763B">
        <w:rPr>
          <w:lang w:val="es-419"/>
        </w:rPr>
        <w:t xml:space="preserve"> de señalar esos cambios, se añadirá al cuerpo principal de la Norma ST.27 el siguiente párrafo</w:t>
      </w:r>
      <w:r w:rsidRPr="0028763B">
        <w:rPr>
          <w:szCs w:val="22"/>
          <w:lang w:val="es-419"/>
        </w:rPr>
        <w:t>:</w:t>
      </w:r>
    </w:p>
    <w:p w14:paraId="1A9FF6CA" w14:textId="4B65E459" w:rsidR="0098368E" w:rsidRPr="0028763B" w:rsidRDefault="0098368E" w:rsidP="0098368E">
      <w:pPr>
        <w:pStyle w:val="ONUMFS"/>
        <w:numPr>
          <w:ilvl w:val="0"/>
          <w:numId w:val="0"/>
        </w:numPr>
        <w:ind w:left="562"/>
        <w:rPr>
          <w:szCs w:val="22"/>
          <w:lang w:val="es-419"/>
        </w:rPr>
      </w:pPr>
      <w:r w:rsidRPr="0028763B">
        <w:rPr>
          <w:szCs w:val="22"/>
          <w:lang w:val="es-419"/>
        </w:rPr>
        <w:t>“49.</w:t>
      </w:r>
      <w:r w:rsidRPr="0028763B">
        <w:rPr>
          <w:szCs w:val="22"/>
          <w:lang w:val="es-419"/>
        </w:rPr>
        <w:tab/>
      </w:r>
      <w:r w:rsidR="00E401F6" w:rsidRPr="0028763B">
        <w:rPr>
          <w:szCs w:val="22"/>
          <w:lang w:val="es-419"/>
        </w:rPr>
        <w:t>En el Anexo II se enumeran los datos complementarios mínimos de la incidencia relacionados con una categoría. Existen dos grupos de datos: los datos de la primera fila de</w:t>
      </w:r>
      <w:r w:rsidR="00C5342A" w:rsidRPr="0028763B">
        <w:rPr>
          <w:szCs w:val="22"/>
          <w:lang w:val="es-419"/>
        </w:rPr>
        <w:t>l</w:t>
      </w:r>
      <w:r w:rsidR="00E401F6" w:rsidRPr="0028763B">
        <w:rPr>
          <w:szCs w:val="22"/>
          <w:lang w:val="es-419"/>
        </w:rPr>
        <w:t xml:space="preserve"> </w:t>
      </w:r>
      <w:r w:rsidR="00C5342A" w:rsidRPr="0028763B">
        <w:rPr>
          <w:szCs w:val="22"/>
          <w:lang w:val="es-419"/>
        </w:rPr>
        <w:t>cuadro</w:t>
      </w:r>
      <w:r w:rsidR="00E401F6" w:rsidRPr="0028763B">
        <w:rPr>
          <w:szCs w:val="22"/>
          <w:lang w:val="es-419"/>
        </w:rPr>
        <w:t xml:space="preserve"> constituyen datos complementarios de incidencia comunes que una O</w:t>
      </w:r>
      <w:r w:rsidR="00C5342A" w:rsidRPr="0028763B">
        <w:rPr>
          <w:szCs w:val="22"/>
          <w:lang w:val="es-419"/>
        </w:rPr>
        <w:t xml:space="preserve">ficina de </w:t>
      </w:r>
      <w:r w:rsidR="00E401F6" w:rsidRPr="0028763B">
        <w:rPr>
          <w:szCs w:val="22"/>
          <w:lang w:val="es-419"/>
        </w:rPr>
        <w:t xml:space="preserve">PI puede proporcionar para cualquier incidencia nacional, regional o internacional con independencia de la categoría </w:t>
      </w:r>
      <w:r w:rsidR="00C5342A" w:rsidRPr="0028763B">
        <w:rPr>
          <w:szCs w:val="22"/>
          <w:lang w:val="es-419"/>
        </w:rPr>
        <w:t>de la incidencia</w:t>
      </w:r>
      <w:r w:rsidR="00E401F6" w:rsidRPr="0028763B">
        <w:rPr>
          <w:szCs w:val="22"/>
          <w:lang w:val="es-419"/>
        </w:rPr>
        <w:t>; y los datos en la fila de una categoría son específicos de la categoría en cuestión</w:t>
      </w:r>
      <w:r w:rsidRPr="0028763B">
        <w:rPr>
          <w:szCs w:val="22"/>
          <w:lang w:val="es-419"/>
        </w:rPr>
        <w:t>.”</w:t>
      </w:r>
    </w:p>
    <w:p w14:paraId="2D4E73E9" w14:textId="77777777" w:rsidR="009A4CDA" w:rsidRPr="0028763B" w:rsidRDefault="009A4CDA" w:rsidP="009A4CDA">
      <w:pPr>
        <w:pStyle w:val="Heading2"/>
        <w:rPr>
          <w:szCs w:val="22"/>
          <w:lang w:val="es-419"/>
        </w:rPr>
      </w:pPr>
      <w:r w:rsidRPr="0028763B">
        <w:rPr>
          <w:szCs w:val="22"/>
          <w:lang w:val="es-419"/>
        </w:rPr>
        <w:lastRenderedPageBreak/>
        <w:t>plan de trabajo</w:t>
      </w:r>
    </w:p>
    <w:p w14:paraId="6753EA9F" w14:textId="538D436C" w:rsidR="0098368E" w:rsidRPr="0028763B" w:rsidRDefault="0098368E" w:rsidP="0098368E">
      <w:pPr>
        <w:spacing w:after="120"/>
        <w:ind w:right="284"/>
        <w:contextualSpacing/>
        <w:rPr>
          <w:lang w:val="es-419"/>
        </w:rPr>
      </w:pPr>
      <w:r w:rsidRPr="0028763B">
        <w:rPr>
          <w:lang w:val="es-419"/>
        </w:rPr>
        <w:fldChar w:fldCharType="begin"/>
      </w:r>
      <w:r w:rsidRPr="0028763B">
        <w:rPr>
          <w:lang w:val="es-419"/>
        </w:rPr>
        <w:instrText xml:space="preserve"> AUTONUM  </w:instrText>
      </w:r>
      <w:r w:rsidRPr="0028763B">
        <w:rPr>
          <w:lang w:val="es-419"/>
        </w:rPr>
        <w:fldChar w:fldCharType="end"/>
      </w:r>
      <w:r w:rsidRPr="0028763B">
        <w:rPr>
          <w:lang w:val="es-419"/>
        </w:rPr>
        <w:tab/>
      </w:r>
      <w:r w:rsidR="009A4CDA" w:rsidRPr="0028763B">
        <w:rPr>
          <w:lang w:val="es-419"/>
        </w:rPr>
        <w:t xml:space="preserve">El Equipo Técnico </w:t>
      </w:r>
      <w:r w:rsidR="001A2C8C" w:rsidRPr="0028763B">
        <w:rPr>
          <w:lang w:val="es-419"/>
        </w:rPr>
        <w:t>sugiere</w:t>
      </w:r>
      <w:r w:rsidR="009A4CDA" w:rsidRPr="0028763B">
        <w:rPr>
          <w:lang w:val="es-419"/>
        </w:rPr>
        <w:t xml:space="preserve"> que, si el CWS aprueba las modificaciones propuestas al Anexo II de la Norma ST.27 de la OMPI, se revisen el Anexo II de la Norma ST.87 y el Anexo II de la nueva norma sobre la situación jurídica de las marcas </w:t>
      </w:r>
      <w:r w:rsidR="00AF5647" w:rsidRPr="0028763B">
        <w:rPr>
          <w:lang w:val="es-419"/>
        </w:rPr>
        <w:t xml:space="preserve">para realizar modificaciones similares </w:t>
      </w:r>
      <w:r w:rsidR="009A4CDA" w:rsidRPr="0028763B">
        <w:rPr>
          <w:lang w:val="es-419"/>
        </w:rPr>
        <w:t>(véase el documento CWS/8/8) en colaboración con el Equipo Técnico XML4IP</w:t>
      </w:r>
      <w:r w:rsidRPr="0028763B">
        <w:rPr>
          <w:lang w:val="es-419"/>
        </w:rPr>
        <w:t>.</w:t>
      </w:r>
    </w:p>
    <w:p w14:paraId="195CD31F" w14:textId="023D8F07" w:rsidR="0098368E" w:rsidRPr="0028763B" w:rsidRDefault="0098368E" w:rsidP="0098368E">
      <w:pPr>
        <w:pStyle w:val="Decisionpara"/>
        <w:ind w:left="5533"/>
        <w:rPr>
          <w:i/>
          <w:lang w:val="es-419" w:eastAsia="en-US"/>
        </w:rPr>
      </w:pPr>
      <w:r w:rsidRPr="0028763B">
        <w:rPr>
          <w:i/>
          <w:lang w:val="es-419" w:eastAsia="en-US"/>
        </w:rPr>
        <w:fldChar w:fldCharType="begin"/>
      </w:r>
      <w:r w:rsidRPr="0028763B">
        <w:rPr>
          <w:i/>
          <w:lang w:val="es-419" w:eastAsia="en-US"/>
        </w:rPr>
        <w:instrText xml:space="preserve"> AUTONUM  </w:instrText>
      </w:r>
      <w:r w:rsidRPr="0028763B">
        <w:rPr>
          <w:i/>
          <w:lang w:val="es-419" w:eastAsia="en-US"/>
        </w:rPr>
        <w:fldChar w:fldCharType="end"/>
      </w:r>
      <w:r w:rsidRPr="0028763B">
        <w:rPr>
          <w:i/>
          <w:lang w:val="es-419" w:eastAsia="en-US"/>
        </w:rPr>
        <w:tab/>
      </w:r>
      <w:r w:rsidR="001A2C8C" w:rsidRPr="0028763B">
        <w:rPr>
          <w:i/>
          <w:lang w:val="es-419" w:eastAsia="en-US"/>
        </w:rPr>
        <w:t>Se invita al CWS a</w:t>
      </w:r>
      <w:r w:rsidRPr="0028763B">
        <w:rPr>
          <w:i/>
          <w:lang w:val="es-419" w:eastAsia="en-US"/>
        </w:rPr>
        <w:t xml:space="preserve">: </w:t>
      </w:r>
    </w:p>
    <w:p w14:paraId="191BFB52" w14:textId="3365B8E8" w:rsidR="0098368E" w:rsidRPr="0028763B" w:rsidRDefault="0098368E" w:rsidP="0098368E">
      <w:pPr>
        <w:pStyle w:val="Decisionpara"/>
        <w:ind w:left="5533"/>
        <w:rPr>
          <w:i/>
          <w:lang w:val="es-419" w:eastAsia="en-US"/>
        </w:rPr>
      </w:pPr>
      <w:r w:rsidRPr="0028763B">
        <w:rPr>
          <w:i/>
          <w:lang w:val="es-419" w:eastAsia="en-US"/>
        </w:rPr>
        <w:t>a)</w:t>
      </w:r>
      <w:r w:rsidRPr="0028763B">
        <w:rPr>
          <w:i/>
          <w:lang w:val="es-419" w:eastAsia="en-US"/>
        </w:rPr>
        <w:tab/>
      </w:r>
      <w:r w:rsidR="001A2C8C" w:rsidRPr="0028763B">
        <w:rPr>
          <w:i/>
          <w:lang w:val="es-419" w:eastAsia="en-US"/>
        </w:rPr>
        <w:t>tomar nota del contenido del presente documento</w:t>
      </w:r>
      <w:r w:rsidRPr="0028763B">
        <w:rPr>
          <w:i/>
          <w:lang w:val="es-419" w:eastAsia="en-US"/>
        </w:rPr>
        <w:t xml:space="preserve">; </w:t>
      </w:r>
    </w:p>
    <w:p w14:paraId="61852EF6" w14:textId="2EE09E9F" w:rsidR="0098368E" w:rsidRPr="0028763B" w:rsidRDefault="0098368E" w:rsidP="0098368E">
      <w:pPr>
        <w:pStyle w:val="Decisionpara"/>
        <w:ind w:left="5533"/>
        <w:rPr>
          <w:i/>
          <w:lang w:val="es-419" w:eastAsia="en-US"/>
        </w:rPr>
      </w:pPr>
      <w:r w:rsidRPr="0028763B">
        <w:rPr>
          <w:i/>
          <w:lang w:val="es-419" w:eastAsia="en-US"/>
        </w:rPr>
        <w:t>b)</w:t>
      </w:r>
      <w:r w:rsidRPr="0028763B">
        <w:rPr>
          <w:i/>
          <w:lang w:val="es-419" w:eastAsia="en-US"/>
        </w:rPr>
        <w:tab/>
      </w:r>
      <w:r w:rsidR="001A2C8C" w:rsidRPr="0028763B">
        <w:rPr>
          <w:i/>
          <w:lang w:val="es-419" w:eastAsia="en-US"/>
        </w:rPr>
        <w:t>examinar y aprobar la propue</w:t>
      </w:r>
      <w:r w:rsidR="00091000">
        <w:rPr>
          <w:i/>
          <w:lang w:val="es-419" w:eastAsia="en-US"/>
        </w:rPr>
        <w:t>sta de revisión de la Norma </w:t>
      </w:r>
      <w:r w:rsidR="00214762" w:rsidRPr="0028763B">
        <w:rPr>
          <w:i/>
          <w:lang w:val="es-419" w:eastAsia="en-US"/>
        </w:rPr>
        <w:t>ST. </w:t>
      </w:r>
      <w:r w:rsidR="001A2C8C" w:rsidRPr="0028763B">
        <w:rPr>
          <w:i/>
          <w:lang w:val="es-419" w:eastAsia="en-US"/>
        </w:rPr>
        <w:t>27 de la OMPI relativa al intercambio de datos sobre la situación jurídica de las patentes, según se describe en los párrafos 3 a 7 y que se reproduce en el Anexo del presente documento; y</w:t>
      </w:r>
    </w:p>
    <w:p w14:paraId="4D6779B8" w14:textId="743835D9" w:rsidR="0098368E" w:rsidRPr="0028763B" w:rsidRDefault="0098368E" w:rsidP="00091000">
      <w:pPr>
        <w:pStyle w:val="Decisionpara"/>
        <w:spacing w:after="600"/>
        <w:ind w:left="5534"/>
        <w:rPr>
          <w:i/>
          <w:lang w:val="es-419" w:eastAsia="en-US"/>
        </w:rPr>
      </w:pPr>
      <w:r w:rsidRPr="0028763B">
        <w:rPr>
          <w:i/>
          <w:lang w:val="es-419" w:eastAsia="en-US"/>
        </w:rPr>
        <w:t xml:space="preserve">c) </w:t>
      </w:r>
      <w:r w:rsidR="001A2C8C" w:rsidRPr="0028763B">
        <w:rPr>
          <w:i/>
          <w:lang w:val="es-419" w:eastAsia="en-US"/>
        </w:rPr>
        <w:t>examinar y aprobar la propuesta del Equipo Técnico de la Situación Jurídica formulada en el párrafo 8</w:t>
      </w:r>
      <w:r w:rsidRPr="0028763B">
        <w:rPr>
          <w:i/>
          <w:lang w:val="es-419" w:eastAsia="en-US"/>
        </w:rPr>
        <w:t>.</w:t>
      </w:r>
      <w:bookmarkStart w:id="4" w:name="_GoBack"/>
      <w:bookmarkEnd w:id="4"/>
    </w:p>
    <w:p w14:paraId="6B23803A" w14:textId="34F99897" w:rsidR="0098368E" w:rsidRPr="0028763B" w:rsidRDefault="0098368E" w:rsidP="0028763B">
      <w:pPr>
        <w:pStyle w:val="Endofdocument-Annex"/>
        <w:spacing w:before="240"/>
        <w:rPr>
          <w:lang w:val="es-419"/>
        </w:rPr>
      </w:pPr>
      <w:r w:rsidRPr="0028763B">
        <w:rPr>
          <w:lang w:val="es-419"/>
        </w:rPr>
        <w:t>[</w:t>
      </w:r>
      <w:r w:rsidR="001A2C8C" w:rsidRPr="0028763B">
        <w:rPr>
          <w:lang w:val="es-419"/>
        </w:rPr>
        <w:t>Sigue el Anexo</w:t>
      </w:r>
      <w:r w:rsidRPr="0028763B">
        <w:rPr>
          <w:lang w:val="es-419"/>
        </w:rPr>
        <w:t>]</w:t>
      </w:r>
    </w:p>
    <w:sectPr w:rsidR="0098368E" w:rsidRPr="0028763B" w:rsidSect="00605827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2509" w14:textId="77777777" w:rsidR="00FE2A3E" w:rsidRDefault="00FE2A3E">
      <w:r>
        <w:separator/>
      </w:r>
    </w:p>
  </w:endnote>
  <w:endnote w:type="continuationSeparator" w:id="0">
    <w:p w14:paraId="2C192B08" w14:textId="77777777" w:rsidR="00FE2A3E" w:rsidRPr="009D30E6" w:rsidRDefault="00FE2A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94AB98" w14:textId="77777777" w:rsidR="00FE2A3E" w:rsidRPr="007E663E" w:rsidRDefault="00FE2A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B4F950F" w14:textId="77777777" w:rsidR="00FE2A3E" w:rsidRPr="007E663E" w:rsidRDefault="00FE2A3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1720E" w14:textId="77777777" w:rsidR="00FE2A3E" w:rsidRDefault="00FE2A3E">
      <w:r>
        <w:separator/>
      </w:r>
    </w:p>
  </w:footnote>
  <w:footnote w:type="continuationSeparator" w:id="0">
    <w:p w14:paraId="4C249A57" w14:textId="77777777" w:rsidR="00FE2A3E" w:rsidRPr="009D30E6" w:rsidRDefault="00FE2A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41E4BB" w14:textId="77777777" w:rsidR="00FE2A3E" w:rsidRPr="007E663E" w:rsidRDefault="00FE2A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944AF15" w14:textId="77777777" w:rsidR="00FE2A3E" w:rsidRPr="007E663E" w:rsidRDefault="00FE2A3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ECBF7" w14:textId="77777777" w:rsidR="00AE7F20" w:rsidRPr="00EB0D93" w:rsidRDefault="0098368E" w:rsidP="00477D6B">
    <w:pPr>
      <w:jc w:val="right"/>
      <w:rPr>
        <w:caps/>
      </w:rPr>
    </w:pPr>
    <w:bookmarkStart w:id="5" w:name="Code2"/>
    <w:bookmarkEnd w:id="5"/>
    <w:r>
      <w:rPr>
        <w:caps/>
      </w:rPr>
      <w:t>cws/8/7</w:t>
    </w:r>
  </w:p>
  <w:p w14:paraId="0963A138" w14:textId="6369C0A4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514BF">
      <w:rPr>
        <w:noProof/>
      </w:rPr>
      <w:t>3</w:t>
    </w:r>
    <w:r>
      <w:fldChar w:fldCharType="end"/>
    </w:r>
  </w:p>
  <w:p w14:paraId="4E2C96B1" w14:textId="77777777" w:rsidR="00AE7F20" w:rsidRDefault="00AE7F20" w:rsidP="00477D6B">
    <w:pPr>
      <w:jc w:val="right"/>
    </w:pPr>
  </w:p>
  <w:p w14:paraId="1F9DEABB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A4"/>
    <w:rsid w:val="00010686"/>
    <w:rsid w:val="000162E0"/>
    <w:rsid w:val="000164D6"/>
    <w:rsid w:val="00033D5C"/>
    <w:rsid w:val="0004355E"/>
    <w:rsid w:val="00052915"/>
    <w:rsid w:val="00073840"/>
    <w:rsid w:val="00091000"/>
    <w:rsid w:val="000B3401"/>
    <w:rsid w:val="000D6004"/>
    <w:rsid w:val="000E3BB3"/>
    <w:rsid w:val="000F5E56"/>
    <w:rsid w:val="00127C32"/>
    <w:rsid w:val="001362EE"/>
    <w:rsid w:val="00152CEA"/>
    <w:rsid w:val="001832A6"/>
    <w:rsid w:val="001A2C8C"/>
    <w:rsid w:val="0020385F"/>
    <w:rsid w:val="002116CB"/>
    <w:rsid w:val="00214762"/>
    <w:rsid w:val="00245BA1"/>
    <w:rsid w:val="002634C4"/>
    <w:rsid w:val="00282B74"/>
    <w:rsid w:val="0028763B"/>
    <w:rsid w:val="002C2E2F"/>
    <w:rsid w:val="002D23B5"/>
    <w:rsid w:val="002E0F47"/>
    <w:rsid w:val="002E5761"/>
    <w:rsid w:val="002E5C99"/>
    <w:rsid w:val="002F4E68"/>
    <w:rsid w:val="00310826"/>
    <w:rsid w:val="00326E92"/>
    <w:rsid w:val="00354647"/>
    <w:rsid w:val="00361CC1"/>
    <w:rsid w:val="00377273"/>
    <w:rsid w:val="003845C1"/>
    <w:rsid w:val="00387287"/>
    <w:rsid w:val="003A5EC8"/>
    <w:rsid w:val="003B38F2"/>
    <w:rsid w:val="003E48F1"/>
    <w:rsid w:val="003F347A"/>
    <w:rsid w:val="00423E3E"/>
    <w:rsid w:val="0042650D"/>
    <w:rsid w:val="00427AF4"/>
    <w:rsid w:val="004306AE"/>
    <w:rsid w:val="0045231F"/>
    <w:rsid w:val="004647DA"/>
    <w:rsid w:val="0046793F"/>
    <w:rsid w:val="00472A6E"/>
    <w:rsid w:val="00477808"/>
    <w:rsid w:val="00477D6B"/>
    <w:rsid w:val="004839D6"/>
    <w:rsid w:val="004A6C37"/>
    <w:rsid w:val="004B56A4"/>
    <w:rsid w:val="004E297D"/>
    <w:rsid w:val="004F19FF"/>
    <w:rsid w:val="005172B8"/>
    <w:rsid w:val="00531B02"/>
    <w:rsid w:val="005332F0"/>
    <w:rsid w:val="0055013B"/>
    <w:rsid w:val="0055779B"/>
    <w:rsid w:val="00571B99"/>
    <w:rsid w:val="005A3F55"/>
    <w:rsid w:val="00602CC9"/>
    <w:rsid w:val="00605827"/>
    <w:rsid w:val="00605EE6"/>
    <w:rsid w:val="006156F6"/>
    <w:rsid w:val="00620FB2"/>
    <w:rsid w:val="0064782E"/>
    <w:rsid w:val="00656D7C"/>
    <w:rsid w:val="006573B3"/>
    <w:rsid w:val="00675021"/>
    <w:rsid w:val="00680DCF"/>
    <w:rsid w:val="00684C64"/>
    <w:rsid w:val="006A06C6"/>
    <w:rsid w:val="006C4E4B"/>
    <w:rsid w:val="006C645F"/>
    <w:rsid w:val="007224C8"/>
    <w:rsid w:val="00730241"/>
    <w:rsid w:val="00794BE2"/>
    <w:rsid w:val="007A5581"/>
    <w:rsid w:val="007B71FE"/>
    <w:rsid w:val="007D781E"/>
    <w:rsid w:val="007E663E"/>
    <w:rsid w:val="007F76EA"/>
    <w:rsid w:val="00815082"/>
    <w:rsid w:val="00825720"/>
    <w:rsid w:val="0086397B"/>
    <w:rsid w:val="0088395E"/>
    <w:rsid w:val="008A1717"/>
    <w:rsid w:val="008B00FF"/>
    <w:rsid w:val="008B2CC1"/>
    <w:rsid w:val="008E0D33"/>
    <w:rsid w:val="008E18FE"/>
    <w:rsid w:val="008E6BD6"/>
    <w:rsid w:val="0090731E"/>
    <w:rsid w:val="00937711"/>
    <w:rsid w:val="00966A22"/>
    <w:rsid w:val="00972F03"/>
    <w:rsid w:val="00981F89"/>
    <w:rsid w:val="0098367F"/>
    <w:rsid w:val="0098368E"/>
    <w:rsid w:val="009A0C8B"/>
    <w:rsid w:val="009A20CD"/>
    <w:rsid w:val="009A4CDA"/>
    <w:rsid w:val="009B6241"/>
    <w:rsid w:val="009B7030"/>
    <w:rsid w:val="009B75DA"/>
    <w:rsid w:val="00A16FC0"/>
    <w:rsid w:val="00A32C9E"/>
    <w:rsid w:val="00A433E4"/>
    <w:rsid w:val="00AB613D"/>
    <w:rsid w:val="00AE7F20"/>
    <w:rsid w:val="00AF01C3"/>
    <w:rsid w:val="00AF5647"/>
    <w:rsid w:val="00B02BA3"/>
    <w:rsid w:val="00B0618F"/>
    <w:rsid w:val="00B31063"/>
    <w:rsid w:val="00B534D5"/>
    <w:rsid w:val="00B65A0A"/>
    <w:rsid w:val="00B67CDC"/>
    <w:rsid w:val="00B72D36"/>
    <w:rsid w:val="00BA41BA"/>
    <w:rsid w:val="00BC4164"/>
    <w:rsid w:val="00BD236E"/>
    <w:rsid w:val="00BD2DCC"/>
    <w:rsid w:val="00BF5A8E"/>
    <w:rsid w:val="00C13797"/>
    <w:rsid w:val="00C5342A"/>
    <w:rsid w:val="00C61C16"/>
    <w:rsid w:val="00C90559"/>
    <w:rsid w:val="00CA0500"/>
    <w:rsid w:val="00CA2251"/>
    <w:rsid w:val="00CA2962"/>
    <w:rsid w:val="00D154C2"/>
    <w:rsid w:val="00D514BF"/>
    <w:rsid w:val="00D56C7C"/>
    <w:rsid w:val="00D71B4D"/>
    <w:rsid w:val="00D90289"/>
    <w:rsid w:val="00D932DE"/>
    <w:rsid w:val="00D93D55"/>
    <w:rsid w:val="00DC46C5"/>
    <w:rsid w:val="00DC4C60"/>
    <w:rsid w:val="00DD1988"/>
    <w:rsid w:val="00DD6CF4"/>
    <w:rsid w:val="00DE3803"/>
    <w:rsid w:val="00E0079A"/>
    <w:rsid w:val="00E401F6"/>
    <w:rsid w:val="00E444DA"/>
    <w:rsid w:val="00E45C84"/>
    <w:rsid w:val="00E504E5"/>
    <w:rsid w:val="00E617D8"/>
    <w:rsid w:val="00EB0D93"/>
    <w:rsid w:val="00EB7A3E"/>
    <w:rsid w:val="00EC1AA7"/>
    <w:rsid w:val="00EC401A"/>
    <w:rsid w:val="00EF530A"/>
    <w:rsid w:val="00EF6622"/>
    <w:rsid w:val="00EF78A9"/>
    <w:rsid w:val="00F07150"/>
    <w:rsid w:val="00F268E7"/>
    <w:rsid w:val="00F55408"/>
    <w:rsid w:val="00F631AB"/>
    <w:rsid w:val="00F66152"/>
    <w:rsid w:val="00F80845"/>
    <w:rsid w:val="00F84474"/>
    <w:rsid w:val="00FA0F0D"/>
    <w:rsid w:val="00FB7886"/>
    <w:rsid w:val="00FD05E8"/>
    <w:rsid w:val="00FD59D1"/>
    <w:rsid w:val="00FD77E8"/>
    <w:rsid w:val="00FE2A3E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A47C15"/>
  <w15:docId w15:val="{1BE84D45-0F58-42AF-AD58-DDD90512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98368E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98368E"/>
    <w:pPr>
      <w:ind w:left="567"/>
    </w:pPr>
    <w:rPr>
      <w:lang w:val="en-US"/>
    </w:rPr>
  </w:style>
  <w:style w:type="paragraph" w:customStyle="1" w:styleId="Decisionpara">
    <w:name w:val="Decision para"/>
    <w:basedOn w:val="Normal"/>
    <w:qFormat/>
    <w:rsid w:val="0098368E"/>
    <w:pPr>
      <w:tabs>
        <w:tab w:val="left" w:pos="576"/>
        <w:tab w:val="left" w:pos="1296"/>
      </w:tabs>
      <w:spacing w:after="220"/>
      <w:ind w:left="720"/>
    </w:pPr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61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1CC1"/>
    <w:rPr>
      <w:rFonts w:ascii="Segoe UI" w:eastAsia="SimSun" w:hAnsi="Segoe UI" w:cs="Segoe UI"/>
      <w:sz w:val="18"/>
      <w:szCs w:val="18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361C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CC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CC1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61CC1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(S).dotm</Template>
  <TotalTime>0</TotalTime>
  <Pages>3</Pages>
  <Words>1047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CWS/8/7</vt:lpstr>
      <vt:lpstr>CWS/8/7</vt:lpstr>
    </vt:vector>
  </TitlesOfParts>
  <Company>WIPO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CWS/8/7</dc:title>
  <dc:creator>CEVALLOS DUQUE Nilo</dc:creator>
  <cp:keywords>FOR OFFICIAL USE ONLY</cp:keywords>
  <cp:lastModifiedBy>BOU LLORET Amparo</cp:lastModifiedBy>
  <cp:revision>2</cp:revision>
  <dcterms:created xsi:type="dcterms:W3CDTF">2020-11-02T08:53:00Z</dcterms:created>
  <dcterms:modified xsi:type="dcterms:W3CDTF">2020-11-02T08:53:00Z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