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0392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0392D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0392D" w:rsidRDefault="001F7FFB" w:rsidP="00AB613D">
            <w:r w:rsidRPr="00F0392D">
              <w:rPr>
                <w:noProof/>
                <w:lang w:val="en-US" w:eastAsia="en-US"/>
              </w:rPr>
              <w:drawing>
                <wp:inline distT="0" distB="0" distL="0" distR="0" wp14:anchorId="5502799F" wp14:editId="5B00BA34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0392D" w:rsidRDefault="00E504E5" w:rsidP="00AB613D">
            <w:pPr>
              <w:jc w:val="right"/>
            </w:pPr>
            <w:r w:rsidRPr="00F0392D">
              <w:rPr>
                <w:b/>
                <w:sz w:val="40"/>
                <w:szCs w:val="40"/>
              </w:rPr>
              <w:t>S</w:t>
            </w:r>
          </w:p>
        </w:tc>
        <w:bookmarkStart w:id="0" w:name="_GoBack"/>
        <w:bookmarkEnd w:id="0"/>
      </w:tr>
      <w:tr w:rsidR="008B2CC1" w:rsidRPr="00F0392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0392D" w:rsidRDefault="002A37A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7 Rev.1</w:t>
            </w:r>
          </w:p>
        </w:tc>
      </w:tr>
      <w:tr w:rsidR="008B2CC1" w:rsidRPr="00F0392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0392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92D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F0392D">
              <w:rPr>
                <w:rFonts w:ascii="Arial Black" w:hAnsi="Arial Black"/>
                <w:caps/>
                <w:sz w:val="15"/>
              </w:rPr>
              <w:t xml:space="preserve">  </w:t>
            </w:r>
            <w:r w:rsidR="009732C2" w:rsidRPr="00F0392D">
              <w:rPr>
                <w:rFonts w:ascii="Arial Black" w:hAnsi="Arial Black"/>
                <w:caps/>
                <w:sz w:val="15"/>
              </w:rPr>
              <w:t>INGLÉS</w:t>
            </w:r>
            <w:r w:rsidRPr="00F0392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F0392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0392D" w:rsidRDefault="00675021" w:rsidP="000A15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0392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0392D">
              <w:rPr>
                <w:rFonts w:ascii="Arial Black" w:hAnsi="Arial Black"/>
                <w:caps/>
                <w:sz w:val="15"/>
              </w:rPr>
              <w:t>:</w:t>
            </w:r>
            <w:r w:rsidR="009A20CD" w:rsidRPr="00F0392D">
              <w:rPr>
                <w:rFonts w:ascii="Arial Black" w:hAnsi="Arial Black"/>
                <w:caps/>
                <w:sz w:val="15"/>
              </w:rPr>
              <w:t xml:space="preserve">  </w:t>
            </w:r>
            <w:r w:rsidR="000A1508">
              <w:rPr>
                <w:rFonts w:ascii="Arial Black" w:hAnsi="Arial Black"/>
                <w:caps/>
                <w:sz w:val="15"/>
              </w:rPr>
              <w:t>19</w:t>
            </w:r>
            <w:r w:rsidR="009732C2" w:rsidRPr="00F0392D">
              <w:rPr>
                <w:rFonts w:ascii="Arial Black" w:hAnsi="Arial Black"/>
                <w:caps/>
                <w:sz w:val="15"/>
              </w:rPr>
              <w:t xml:space="preserve"> DE ABRIL DE 2017</w:t>
            </w:r>
            <w:r w:rsidR="008B2CC1" w:rsidRPr="00F0392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F0392D" w:rsidRDefault="008B2CC1" w:rsidP="008B2CC1"/>
    <w:p w:rsidR="008B2CC1" w:rsidRPr="00F0392D" w:rsidRDefault="008B2CC1" w:rsidP="008B2CC1"/>
    <w:p w:rsidR="008B2CC1" w:rsidRPr="00F0392D" w:rsidRDefault="008B2CC1" w:rsidP="008B2CC1"/>
    <w:p w:rsidR="008B2CC1" w:rsidRPr="00F0392D" w:rsidRDefault="008B2CC1" w:rsidP="008B2CC1"/>
    <w:p w:rsidR="008B2CC1" w:rsidRPr="00F0392D" w:rsidRDefault="008B2CC1" w:rsidP="008B2CC1"/>
    <w:p w:rsidR="00B67CDC" w:rsidRPr="00F0392D" w:rsidRDefault="001F7FFB" w:rsidP="00B67CDC">
      <w:pPr>
        <w:rPr>
          <w:b/>
          <w:sz w:val="28"/>
          <w:szCs w:val="28"/>
        </w:rPr>
      </w:pPr>
      <w:r w:rsidRPr="00F0392D">
        <w:rPr>
          <w:b/>
          <w:sz w:val="28"/>
          <w:szCs w:val="28"/>
        </w:rPr>
        <w:t>Comité de Normas Técnicas de la OMPI (CWS)</w:t>
      </w:r>
    </w:p>
    <w:p w:rsidR="003845C1" w:rsidRPr="00F0392D" w:rsidRDefault="003845C1" w:rsidP="003845C1"/>
    <w:p w:rsidR="003845C1" w:rsidRPr="00F0392D" w:rsidRDefault="003845C1" w:rsidP="003845C1"/>
    <w:p w:rsidR="001F7FFB" w:rsidRPr="00F0392D" w:rsidRDefault="001F7FFB" w:rsidP="001F7FFB">
      <w:pPr>
        <w:rPr>
          <w:b/>
          <w:sz w:val="24"/>
          <w:szCs w:val="24"/>
        </w:rPr>
      </w:pPr>
      <w:r w:rsidRPr="00F0392D">
        <w:rPr>
          <w:b/>
          <w:sz w:val="24"/>
          <w:szCs w:val="24"/>
        </w:rPr>
        <w:t xml:space="preserve">Quinta </w:t>
      </w:r>
      <w:r w:rsidR="001C43BF">
        <w:rPr>
          <w:b/>
          <w:sz w:val="24"/>
          <w:szCs w:val="24"/>
        </w:rPr>
        <w:t>S</w:t>
      </w:r>
      <w:r w:rsidRPr="00F0392D">
        <w:rPr>
          <w:b/>
          <w:sz w:val="24"/>
          <w:szCs w:val="24"/>
        </w:rPr>
        <w:t>esión</w:t>
      </w:r>
    </w:p>
    <w:p w:rsidR="00B67CDC" w:rsidRPr="00F0392D" w:rsidRDefault="00716DB4" w:rsidP="001F7FFB">
      <w:pPr>
        <w:rPr>
          <w:b/>
          <w:sz w:val="24"/>
          <w:szCs w:val="24"/>
        </w:rPr>
      </w:pPr>
      <w:r w:rsidRPr="00F0392D">
        <w:rPr>
          <w:b/>
          <w:sz w:val="24"/>
          <w:szCs w:val="24"/>
        </w:rPr>
        <w:t>Ginebra, 29 de mayo a 2 de junio de 2017</w:t>
      </w:r>
    </w:p>
    <w:p w:rsidR="008B2CC1" w:rsidRPr="00F0392D" w:rsidRDefault="008B2CC1" w:rsidP="008B2CC1"/>
    <w:p w:rsidR="008B2CC1" w:rsidRPr="00F0392D" w:rsidRDefault="008B2CC1" w:rsidP="008B2CC1"/>
    <w:p w:rsidR="008B2CC1" w:rsidRPr="00F0392D" w:rsidRDefault="008B2CC1" w:rsidP="008B2CC1"/>
    <w:p w:rsidR="00B16713" w:rsidRPr="00F0392D" w:rsidRDefault="00B16713" w:rsidP="009732C2">
      <w:pPr>
        <w:rPr>
          <w:sz w:val="24"/>
        </w:rPr>
      </w:pPr>
      <w:r w:rsidRPr="00F0392D">
        <w:rPr>
          <w:sz w:val="24"/>
        </w:rPr>
        <w:t xml:space="preserve">RECOMENDACIONES </w:t>
      </w:r>
      <w:r w:rsidR="00B232E8" w:rsidRPr="00F0392D">
        <w:rPr>
          <w:sz w:val="24"/>
        </w:rPr>
        <w:t>PARA</w:t>
      </w:r>
      <w:r w:rsidRPr="00F0392D">
        <w:rPr>
          <w:sz w:val="24"/>
        </w:rPr>
        <w:t xml:space="preserve"> LAS DISPOSICIONES RELATIVAS A LA </w:t>
      </w:r>
      <w:r w:rsidR="00B232E8" w:rsidRPr="00F0392D">
        <w:rPr>
          <w:sz w:val="24"/>
        </w:rPr>
        <w:t xml:space="preserve">TRANSICIÓN DE LA </w:t>
      </w:r>
      <w:r w:rsidRPr="00F0392D">
        <w:rPr>
          <w:sz w:val="24"/>
        </w:rPr>
        <w:t>NORMA ST.25 A LA NORMA ST.26 DE LA OMPI</w:t>
      </w:r>
    </w:p>
    <w:p w:rsidR="00B16713" w:rsidRPr="001C43BF" w:rsidRDefault="00B16713" w:rsidP="009732C2"/>
    <w:p w:rsidR="009732C2" w:rsidRPr="00F0392D" w:rsidRDefault="009732C2" w:rsidP="009732C2"/>
    <w:p w:rsidR="009732C2" w:rsidRPr="00F0392D" w:rsidRDefault="00B16713" w:rsidP="009732C2">
      <w:pPr>
        <w:rPr>
          <w:i/>
        </w:rPr>
      </w:pPr>
      <w:r w:rsidRPr="00F0392D">
        <w:rPr>
          <w:i/>
        </w:rPr>
        <w:t>Documento preparado por la Secretaría</w:t>
      </w:r>
    </w:p>
    <w:p w:rsidR="009732C2" w:rsidRPr="00F0392D" w:rsidRDefault="009732C2" w:rsidP="009732C2"/>
    <w:p w:rsidR="009732C2" w:rsidRPr="00F0392D" w:rsidRDefault="009732C2" w:rsidP="009732C2"/>
    <w:p w:rsidR="009732C2" w:rsidRPr="00F0392D" w:rsidRDefault="009732C2" w:rsidP="009732C2"/>
    <w:p w:rsidR="009732C2" w:rsidRDefault="009732C2" w:rsidP="009732C2"/>
    <w:p w:rsidR="001C43BF" w:rsidRPr="00F0392D" w:rsidRDefault="001C43BF" w:rsidP="009732C2"/>
    <w:p w:rsidR="00B16713" w:rsidRPr="00F0392D" w:rsidRDefault="00B16713" w:rsidP="001C43BF">
      <w:pPr>
        <w:pStyle w:val="ONUME"/>
        <w:spacing w:after="120"/>
      </w:pPr>
      <w:r w:rsidRPr="00F0392D">
        <w:t xml:space="preserve">Al reanudarse </w:t>
      </w:r>
      <w:r w:rsidR="00B232E8" w:rsidRPr="00F0392D">
        <w:t>su</w:t>
      </w:r>
      <w:r w:rsidRPr="00F0392D">
        <w:t xml:space="preserve"> cuarta sesión, celebrada en marzo de 2016, el Comité de Normas Técnicas de la OMPI (CWS)</w:t>
      </w:r>
      <w:r w:rsidR="007B5458" w:rsidRPr="00F0392D">
        <w:t xml:space="preserve"> </w:t>
      </w:r>
      <w:r w:rsidR="0044199E">
        <w:t>aprobó</w:t>
      </w:r>
      <w:r w:rsidR="007B5458" w:rsidRPr="00F0392D">
        <w:t xml:space="preserve"> la descripción modificada de la Tarea Nº 44</w:t>
      </w:r>
      <w:proofErr w:type="gramStart"/>
      <w:r w:rsidR="007B5458" w:rsidRPr="00F0392D">
        <w:t>:  “</w:t>
      </w:r>
      <w:proofErr w:type="gramEnd"/>
      <w:r w:rsidR="007B5458" w:rsidRPr="00F0392D">
        <w:t xml:space="preserve">Preparar recomendaciones para las disposiciones relativas a la transición de la Norma ST.25 a la Norma ST.26 de la OMPI; y una propuesta para la revisión de la Norma ST.26 de la OMPI, de ser necesario”.  Asimismo, El CWS solicitó al Equipo Técnico </w:t>
      </w:r>
      <w:r w:rsidR="0044199E">
        <w:t>de Listas de Secuencias (</w:t>
      </w:r>
      <w:r w:rsidR="007B5458" w:rsidRPr="00F0392D">
        <w:t>SEQL</w:t>
      </w:r>
      <w:r w:rsidR="0044199E">
        <w:t>)</w:t>
      </w:r>
      <w:r w:rsidR="006D0B31">
        <w:t xml:space="preserve"> que presentara</w:t>
      </w:r>
      <w:r w:rsidR="007B5458" w:rsidRPr="00F0392D">
        <w:t xml:space="preserve"> en su próxima sesión una propuesta </w:t>
      </w:r>
      <w:r w:rsidR="006D0B31">
        <w:t>de</w:t>
      </w:r>
      <w:r w:rsidR="007B5458" w:rsidRPr="00F0392D">
        <w:t xml:space="preserve"> disposiciones relativas a la transición de la Norma ST.25 a la Norma ST.26 de la OMPI, para su aprobación y examen (véans</w:t>
      </w:r>
      <w:r w:rsidR="00500A7B">
        <w:t>e los párrafos </w:t>
      </w:r>
      <w:r w:rsidR="007B5458" w:rsidRPr="00F0392D">
        <w:t>82 a 84 del documento CWS/4BIS/16).</w:t>
      </w:r>
    </w:p>
    <w:p w:rsidR="00434296" w:rsidRPr="00F0392D" w:rsidRDefault="00191084" w:rsidP="001C43BF">
      <w:pPr>
        <w:pStyle w:val="ONUME"/>
        <w:spacing w:after="120"/>
      </w:pPr>
      <w:r w:rsidRPr="00F0392D">
        <w:t xml:space="preserve">A fin de dar seguimiento a la decisión del CWS, el Equipo Técnico SEQL </w:t>
      </w:r>
      <w:r w:rsidR="00144576">
        <w:t>llevó a cabo</w:t>
      </w:r>
      <w:r w:rsidRPr="00F0392D">
        <w:t xml:space="preserve"> debates sobre las </w:t>
      </w:r>
      <w:r w:rsidRPr="00D36DE2">
        <w:t>posibles disposiciones relativas a la transición (</w:t>
      </w:r>
      <w:r w:rsidR="006D0B31">
        <w:t xml:space="preserve">de la </w:t>
      </w:r>
      <w:r w:rsidRPr="00D36DE2">
        <w:t xml:space="preserve">Norma ST.25 a la Norma ST.26), teniendo en cuenta </w:t>
      </w:r>
      <w:r w:rsidR="00075B01">
        <w:t>el modo en que podrían</w:t>
      </w:r>
      <w:r w:rsidRPr="00D36DE2">
        <w:t xml:space="preserve"> </w:t>
      </w:r>
      <w:r w:rsidR="00075B01">
        <w:t>incidir en</w:t>
      </w:r>
      <w:r w:rsidR="00D36DE2" w:rsidRPr="00D36DE2">
        <w:t xml:space="preserve"> los procesos</w:t>
      </w:r>
      <w:r w:rsidR="004A489A" w:rsidRPr="00D36DE2">
        <w:t xml:space="preserve"> y los sistemas </w:t>
      </w:r>
      <w:r w:rsidR="004B7D0F" w:rsidRPr="00D36DE2">
        <w:t>de tecnologías de la información</w:t>
      </w:r>
      <w:r w:rsidR="00D36DE2" w:rsidRPr="00D36DE2">
        <w:t xml:space="preserve"> de las oficinas de propiedad industrial y los solicitantes </w:t>
      </w:r>
      <w:r w:rsidR="00BE1415">
        <w:t>a nivel nacional, regional e internacional.</w:t>
      </w:r>
    </w:p>
    <w:p w:rsidR="004A489A" w:rsidRPr="00F0392D" w:rsidRDefault="0008168E" w:rsidP="009732C2">
      <w:pPr>
        <w:pStyle w:val="ONUME"/>
      </w:pPr>
      <w:r w:rsidRPr="00F0392D">
        <w:t xml:space="preserve">Habida cuenta de la importancia </w:t>
      </w:r>
      <w:r w:rsidR="00882945" w:rsidRPr="00F0392D">
        <w:t xml:space="preserve">que </w:t>
      </w:r>
      <w:r w:rsidR="00D36DE2" w:rsidRPr="00F0392D">
        <w:t>reviste para el Tratado de Cooperación en materia de Patentes (PCT)</w:t>
      </w:r>
      <w:r w:rsidR="00D36DE2">
        <w:t xml:space="preserve"> </w:t>
      </w:r>
      <w:r w:rsidR="00D36DE2" w:rsidRPr="00F0392D">
        <w:t xml:space="preserve"> </w:t>
      </w:r>
      <w:r w:rsidRPr="00F0392D">
        <w:t>la transici</w:t>
      </w:r>
      <w:r w:rsidR="002100FE">
        <w:t>ón de la Norma ST.25 a la N</w:t>
      </w:r>
      <w:r w:rsidRPr="00F0392D">
        <w:t>orma ST.26 de la OMPI</w:t>
      </w:r>
      <w:r w:rsidR="00D36DE2">
        <w:t>,</w:t>
      </w:r>
      <w:r w:rsidRPr="00F0392D">
        <w:t xml:space="preserve"> el Equipo Técnico solicitó a la Oficina Internacional que consultara a los miembros del PCT y a los miembros del CWS </w:t>
      </w:r>
      <w:r w:rsidR="00D36DE2">
        <w:t>a fin de</w:t>
      </w:r>
      <w:r w:rsidR="00882945" w:rsidRPr="00F0392D">
        <w:t xml:space="preserve"> que </w:t>
      </w:r>
      <w:r w:rsidR="006D0B31">
        <w:t>formulara</w:t>
      </w:r>
      <w:r w:rsidR="00D36DE2">
        <w:t>n comentarios</w:t>
      </w:r>
      <w:r w:rsidRPr="00F0392D">
        <w:t xml:space="preserve"> </w:t>
      </w:r>
      <w:r w:rsidR="006D0B31">
        <w:t>que contribuyera</w:t>
      </w:r>
      <w:r w:rsidR="00D36DE2">
        <w:t>n a su</w:t>
      </w:r>
      <w:r w:rsidRPr="00F0392D">
        <w:t xml:space="preserve"> labor de </w:t>
      </w:r>
      <w:r w:rsidR="006D0B31">
        <w:t>preparación de</w:t>
      </w:r>
      <w:r w:rsidR="00D36DE2">
        <w:t xml:space="preserve"> </w:t>
      </w:r>
      <w:r w:rsidRPr="00F0392D">
        <w:t>una propuesta para la transición entre las dos normas.</w:t>
      </w:r>
      <w:r w:rsidR="00F8747D">
        <w:t xml:space="preserve"> </w:t>
      </w:r>
      <w:r w:rsidRPr="00F0392D">
        <w:t xml:space="preserve"> Para dar seguimiento a esa solicitud del Equipo Técnico, la Oficina Internacional </w:t>
      </w:r>
      <w:r w:rsidR="00190699" w:rsidRPr="00F0392D">
        <w:t>envió</w:t>
      </w:r>
      <w:r w:rsidRPr="00F0392D">
        <w:t xml:space="preserve"> </w:t>
      </w:r>
      <w:r w:rsidRPr="00D36DE2">
        <w:t>la Circular C. PCT 1485</w:t>
      </w:r>
      <w:r w:rsidRPr="00F0392D">
        <w:t xml:space="preserve">/C. </w:t>
      </w:r>
      <w:r w:rsidR="00190699" w:rsidRPr="00F0392D">
        <w:t xml:space="preserve">CWS 75, de fecha 18 de noviembre de 2016, a las </w:t>
      </w:r>
      <w:r w:rsidR="00882945" w:rsidRPr="00F0392D">
        <w:t>O</w:t>
      </w:r>
      <w:r w:rsidR="00190699" w:rsidRPr="00F0392D">
        <w:t xml:space="preserve">ficinas de P.I. </w:t>
      </w:r>
      <w:r w:rsidR="00F8747D">
        <w:t xml:space="preserve"> </w:t>
      </w:r>
      <w:r w:rsidR="00190699" w:rsidRPr="00F0392D">
        <w:t>en</w:t>
      </w:r>
      <w:r w:rsidR="00882945" w:rsidRPr="00F0392D">
        <w:t xml:space="preserve"> su</w:t>
      </w:r>
      <w:r w:rsidR="00190699" w:rsidRPr="00F0392D">
        <w:t xml:space="preserve"> calidad de miembro</w:t>
      </w:r>
      <w:r w:rsidR="006D0B31">
        <w:t>s</w:t>
      </w:r>
      <w:r w:rsidR="00190699" w:rsidRPr="00F0392D">
        <w:t xml:space="preserve"> del CWS y en sus </w:t>
      </w:r>
      <w:r w:rsidR="003D61E8">
        <w:t>diversas</w:t>
      </w:r>
      <w:r w:rsidR="00190699" w:rsidRPr="00F0392D">
        <w:t xml:space="preserve"> funciones en virtud del PCT, y a </w:t>
      </w:r>
      <w:r w:rsidR="00190699" w:rsidRPr="00D36DE2">
        <w:t>determinadas organizaciones no gubernamentales</w:t>
      </w:r>
      <w:r w:rsidR="00D36DE2" w:rsidRPr="00D36DE2">
        <w:t xml:space="preserve"> </w:t>
      </w:r>
      <w:r w:rsidR="00190699" w:rsidRPr="00D36DE2">
        <w:t xml:space="preserve">que representan a los usuarios del </w:t>
      </w:r>
      <w:r w:rsidR="006D0B31">
        <w:t>S</w:t>
      </w:r>
      <w:r w:rsidR="00190699" w:rsidRPr="00D36DE2">
        <w:t xml:space="preserve">istema </w:t>
      </w:r>
      <w:r w:rsidR="006D0B31">
        <w:t xml:space="preserve">del </w:t>
      </w:r>
      <w:r w:rsidR="00190699" w:rsidRPr="00D36DE2">
        <w:t>PCT.</w:t>
      </w:r>
      <w:r w:rsidR="00AF325A" w:rsidRPr="00D36DE2">
        <w:t xml:space="preserve">  Se puede</w:t>
      </w:r>
      <w:r w:rsidR="00AF325A" w:rsidRPr="00F0392D">
        <w:t xml:space="preserve"> encontrar la Circular en el siguiente enlace </w:t>
      </w:r>
      <w:r w:rsidR="009465DB" w:rsidRPr="00F0392D">
        <w:t>d</w:t>
      </w:r>
      <w:r w:rsidR="00AF325A" w:rsidRPr="00F0392D">
        <w:t xml:space="preserve">el sitio web de la OMPI: </w:t>
      </w:r>
      <w:r w:rsidR="00F8747D">
        <w:t xml:space="preserve"> </w:t>
      </w:r>
      <w:hyperlink r:id="rId9" w:history="1">
        <w:r w:rsidR="006D0B31" w:rsidRPr="002C3CBC">
          <w:rPr>
            <w:rStyle w:val="Hyperlink"/>
          </w:rPr>
          <w:t>http://www.wipo.int/export/sites/www/cws/es/circulars/2016/cws-075.pdf</w:t>
        </w:r>
      </w:hyperlink>
      <w:r w:rsidR="00AF325A" w:rsidRPr="00F0392D">
        <w:t>.</w:t>
      </w:r>
    </w:p>
    <w:p w:rsidR="005A58AC" w:rsidRPr="00F0392D" w:rsidRDefault="005A58AC" w:rsidP="009732C2">
      <w:pPr>
        <w:pStyle w:val="ONUME"/>
      </w:pPr>
      <w:r w:rsidRPr="00F0392D">
        <w:lastRenderedPageBreak/>
        <w:t xml:space="preserve">Veintinueve oficinas de P.I. </w:t>
      </w:r>
      <w:r w:rsidR="00F8747D">
        <w:t xml:space="preserve"> </w:t>
      </w:r>
      <w:r w:rsidRPr="00F0392D">
        <w:t>y dos grupos de usuarios</w:t>
      </w:r>
      <w:r w:rsidR="00D712A8" w:rsidRPr="00F0392D">
        <w:t xml:space="preserve"> respondieron a la Circular.</w:t>
      </w:r>
      <w:r w:rsidR="009A38AC">
        <w:t xml:space="preserve"> </w:t>
      </w:r>
      <w:r w:rsidR="00D712A8" w:rsidRPr="00F0392D">
        <w:t xml:space="preserve"> La Oficina Internacional </w:t>
      </w:r>
      <w:r w:rsidR="003D61E8">
        <w:t>envió</w:t>
      </w:r>
      <w:r w:rsidR="009465DB" w:rsidRPr="00F0392D">
        <w:t xml:space="preserve"> a</w:t>
      </w:r>
      <w:r w:rsidR="00D712A8" w:rsidRPr="00F0392D">
        <w:t xml:space="preserve">l Equipo Técnico </w:t>
      </w:r>
      <w:r w:rsidR="009465DB" w:rsidRPr="00F0392D">
        <w:t>las</w:t>
      </w:r>
      <w:r w:rsidR="00D712A8" w:rsidRPr="00F0392D">
        <w:t xml:space="preserve"> respuestas recibidas, y se presentó un análisis de las respuestas a la Oficina Internacional durante la vigesimocuarta reunión de las Administraciones Internacionales del PCT (PCT/MIA)</w:t>
      </w:r>
      <w:r w:rsidR="009A38AC">
        <w:t>,</w:t>
      </w:r>
      <w:r w:rsidR="000E59C6">
        <w:t xml:space="preserve"> celebrada en febrero de </w:t>
      </w:r>
      <w:r w:rsidR="00D712A8" w:rsidRPr="00F0392D">
        <w:t>2017 (véase el documento PCT/MIA/24/14).</w:t>
      </w:r>
    </w:p>
    <w:p w:rsidR="00BA0BCD" w:rsidRPr="00F0392D" w:rsidRDefault="00BA0BCD" w:rsidP="001C43BF">
      <w:pPr>
        <w:pStyle w:val="ONUME"/>
        <w:spacing w:after="0"/>
      </w:pPr>
      <w:r w:rsidRPr="00F0392D">
        <w:t>Los miembros</w:t>
      </w:r>
      <w:r w:rsidR="009C1F33" w:rsidRPr="00F0392D">
        <w:t xml:space="preserve"> del Equipo Técnico debatieron los resultados de la Circular C. PCT 1485/C. CWS 75</w:t>
      </w:r>
      <w:r w:rsidR="006923FB" w:rsidRPr="00F0392D">
        <w:t xml:space="preserve"> y las cuestiones relativas a la transición a través de diversas reuniones por WebEx y </w:t>
      </w:r>
      <w:r w:rsidR="007C3AE0">
        <w:t>en</w:t>
      </w:r>
      <w:r w:rsidR="006923FB" w:rsidRPr="00F0392D">
        <w:t xml:space="preserve"> su foro electrónico. </w:t>
      </w:r>
      <w:r w:rsidR="009A38AC">
        <w:t xml:space="preserve"> </w:t>
      </w:r>
      <w:r w:rsidR="006923FB" w:rsidRPr="00F0392D">
        <w:t>Como consecuencia de los debates, en calidad de director del Equipo Técnico SEQL, la Oficina Europea de Patentes (OEP) presentó una propuesta titulada “Recomendaciones sobre las disposiciones relativas a la transición de la Norma ST.25 a la N</w:t>
      </w:r>
      <w:r w:rsidR="004F0019" w:rsidRPr="00F0392D">
        <w:t>orma ST.26 de la OMPI” para que</w:t>
      </w:r>
      <w:r w:rsidR="007C3AE0">
        <w:t xml:space="preserve">, </w:t>
      </w:r>
      <w:r w:rsidR="007C3AE0" w:rsidRPr="00F0392D">
        <w:t>en su quinta reunión</w:t>
      </w:r>
      <w:r w:rsidR="007C3AE0">
        <w:t xml:space="preserve">, </w:t>
      </w:r>
      <w:r w:rsidR="006D0B31">
        <w:t>el CWS la examinara y adoptara</w:t>
      </w:r>
      <w:r w:rsidR="006923FB" w:rsidRPr="00F0392D">
        <w:t xml:space="preserve"> una decisión sobre las disposiciones relativas a la transición </w:t>
      </w:r>
      <w:r w:rsidR="003D46F4" w:rsidRPr="00F0392D">
        <w:t>(véase el Anexo del presente documento)</w:t>
      </w:r>
      <w:r w:rsidR="007C3AE0">
        <w:t>.</w:t>
      </w:r>
    </w:p>
    <w:p w:rsidR="009732C2" w:rsidRPr="00F0392D" w:rsidRDefault="003D46F4" w:rsidP="009732C2">
      <w:pPr>
        <w:pStyle w:val="ONUME"/>
        <w:ind w:left="5534"/>
        <w:rPr>
          <w:i/>
        </w:rPr>
      </w:pPr>
      <w:r w:rsidRPr="00F0392D">
        <w:rPr>
          <w:i/>
        </w:rPr>
        <w:t>Se invita al CWS a</w:t>
      </w:r>
      <w:r w:rsidR="009732C2" w:rsidRPr="00F0392D">
        <w:rPr>
          <w:i/>
        </w:rPr>
        <w:t>:</w:t>
      </w:r>
    </w:p>
    <w:p w:rsidR="009732C2" w:rsidRPr="00F0392D" w:rsidRDefault="003D46F4" w:rsidP="001C43BF">
      <w:pPr>
        <w:pStyle w:val="BodyText"/>
        <w:numPr>
          <w:ilvl w:val="0"/>
          <w:numId w:val="7"/>
        </w:numPr>
        <w:tabs>
          <w:tab w:val="left" w:pos="6096"/>
        </w:tabs>
        <w:ind w:left="5529" w:firstLine="567"/>
        <w:rPr>
          <w:i/>
        </w:rPr>
      </w:pPr>
      <w:r w:rsidRPr="00F0392D">
        <w:rPr>
          <w:i/>
        </w:rPr>
        <w:t>tomar nota del contenido del presente documento</w:t>
      </w:r>
      <w:r w:rsidR="009732C2" w:rsidRPr="00F0392D">
        <w:rPr>
          <w:i/>
        </w:rPr>
        <w:t>;</w:t>
      </w:r>
    </w:p>
    <w:p w:rsidR="003D46F4" w:rsidRPr="00F0392D" w:rsidRDefault="003D46F4" w:rsidP="001C43BF">
      <w:pPr>
        <w:pStyle w:val="BodyText"/>
        <w:numPr>
          <w:ilvl w:val="0"/>
          <w:numId w:val="7"/>
        </w:numPr>
        <w:tabs>
          <w:tab w:val="left" w:pos="6096"/>
        </w:tabs>
        <w:ind w:left="5529" w:firstLine="567"/>
        <w:rPr>
          <w:i/>
        </w:rPr>
      </w:pPr>
      <w:r w:rsidRPr="00F0392D">
        <w:rPr>
          <w:i/>
        </w:rPr>
        <w:t xml:space="preserve">examinar y decidir sobre las </w:t>
      </w:r>
      <w:r w:rsidR="004F0019" w:rsidRPr="00F0392D">
        <w:rPr>
          <w:i/>
        </w:rPr>
        <w:t>hipótesis</w:t>
      </w:r>
      <w:r w:rsidRPr="00F0392D">
        <w:rPr>
          <w:i/>
        </w:rPr>
        <w:t xml:space="preserve"> de transición mencionadas en el párrafo 4 del Anexo del presente documento;</w:t>
      </w:r>
    </w:p>
    <w:p w:rsidR="003D46F4" w:rsidRPr="00F0392D" w:rsidRDefault="000958E3" w:rsidP="001C43BF">
      <w:pPr>
        <w:pStyle w:val="BodyText"/>
        <w:numPr>
          <w:ilvl w:val="0"/>
          <w:numId w:val="7"/>
        </w:numPr>
        <w:tabs>
          <w:tab w:val="left" w:pos="6096"/>
        </w:tabs>
        <w:ind w:left="5529" w:firstLine="567"/>
        <w:rPr>
          <w:i/>
        </w:rPr>
      </w:pPr>
      <w:r w:rsidRPr="00F0392D">
        <w:rPr>
          <w:i/>
        </w:rPr>
        <w:t xml:space="preserve">examinar y decidir si debe determinarse la fecha de transición con referencia a la fecha de presentación </w:t>
      </w:r>
      <w:r w:rsidR="000A1508">
        <w:rPr>
          <w:i/>
        </w:rPr>
        <w:t xml:space="preserve">internacional </w:t>
      </w:r>
      <w:r w:rsidRPr="00F0392D">
        <w:rPr>
          <w:i/>
        </w:rPr>
        <w:t>de las solicitudes internacionales</w:t>
      </w:r>
      <w:r w:rsidR="000A1508">
        <w:rPr>
          <w:i/>
        </w:rPr>
        <w:t>, o la fecha de prioridad,</w:t>
      </w:r>
      <w:r w:rsidR="004F0019" w:rsidRPr="00F0392D">
        <w:rPr>
          <w:i/>
        </w:rPr>
        <w:t xml:space="preserve"> o si debería ser decisión del solicitante, como se menciona</w:t>
      </w:r>
      <w:r w:rsidR="00261E6A" w:rsidRPr="00F0392D">
        <w:rPr>
          <w:i/>
        </w:rPr>
        <w:t xml:space="preserve"> en los párrafos 5 a 7 del Anexo del presente documento;</w:t>
      </w:r>
    </w:p>
    <w:p w:rsidR="00BA4D35" w:rsidRPr="00F0392D" w:rsidRDefault="00BA4D35" w:rsidP="001C43BF">
      <w:pPr>
        <w:pStyle w:val="BodyText"/>
        <w:numPr>
          <w:ilvl w:val="0"/>
          <w:numId w:val="7"/>
        </w:numPr>
        <w:tabs>
          <w:tab w:val="left" w:pos="6096"/>
        </w:tabs>
        <w:ind w:left="5529" w:firstLine="567"/>
        <w:rPr>
          <w:i/>
        </w:rPr>
      </w:pPr>
      <w:r w:rsidRPr="00F0392D">
        <w:rPr>
          <w:i/>
        </w:rPr>
        <w:t>examinar y decidir si la transición tendrá lugar en “enero de 2022”</w:t>
      </w:r>
      <w:r w:rsidR="00E5194D" w:rsidRPr="00F0392D">
        <w:rPr>
          <w:i/>
        </w:rPr>
        <w:t xml:space="preserve">, como se menciona en el párrafo 8 del Anexo del presente documento; </w:t>
      </w:r>
      <w:r w:rsidR="00F8747D">
        <w:rPr>
          <w:i/>
        </w:rPr>
        <w:t xml:space="preserve"> </w:t>
      </w:r>
      <w:r w:rsidR="00E5194D" w:rsidRPr="00F0392D">
        <w:rPr>
          <w:i/>
        </w:rPr>
        <w:t>y</w:t>
      </w:r>
    </w:p>
    <w:p w:rsidR="00E5194D" w:rsidRPr="00F0392D" w:rsidRDefault="00E5194D" w:rsidP="001C43BF">
      <w:pPr>
        <w:pStyle w:val="BodyText"/>
        <w:numPr>
          <w:ilvl w:val="0"/>
          <w:numId w:val="7"/>
        </w:numPr>
        <w:tabs>
          <w:tab w:val="left" w:pos="6096"/>
        </w:tabs>
        <w:spacing w:after="0"/>
        <w:ind w:left="5529" w:firstLine="567"/>
        <w:rPr>
          <w:i/>
        </w:rPr>
      </w:pPr>
      <w:r w:rsidRPr="00F0392D">
        <w:rPr>
          <w:i/>
        </w:rPr>
        <w:t xml:space="preserve">tomar nota de las tareas que ha de </w:t>
      </w:r>
      <w:r w:rsidR="006D0B31">
        <w:rPr>
          <w:i/>
        </w:rPr>
        <w:t>ejecutar</w:t>
      </w:r>
      <w:r w:rsidR="00ED18DB">
        <w:rPr>
          <w:i/>
        </w:rPr>
        <w:t xml:space="preserve"> el </w:t>
      </w:r>
      <w:r w:rsidRPr="00F0392D">
        <w:rPr>
          <w:i/>
        </w:rPr>
        <w:t>Equipo</w:t>
      </w:r>
      <w:r w:rsidR="00ED18DB">
        <w:rPr>
          <w:i/>
        </w:rPr>
        <w:t xml:space="preserve"> </w:t>
      </w:r>
      <w:r w:rsidRPr="00F0392D">
        <w:rPr>
          <w:i/>
        </w:rPr>
        <w:t>Técnico</w:t>
      </w:r>
      <w:r w:rsidR="00ED18DB">
        <w:rPr>
          <w:i/>
        </w:rPr>
        <w:t xml:space="preserve"> </w:t>
      </w:r>
      <w:r w:rsidRPr="00F0392D">
        <w:rPr>
          <w:i/>
        </w:rPr>
        <w:t>SEQL, como se menciona en el párrafo 9 del Anexo del presente documento.</w:t>
      </w:r>
    </w:p>
    <w:p w:rsidR="009732C2" w:rsidRPr="000E59C6" w:rsidRDefault="009732C2" w:rsidP="001C43BF">
      <w:pPr>
        <w:ind w:left="5529"/>
      </w:pPr>
    </w:p>
    <w:p w:rsidR="009732C2" w:rsidRPr="000E59C6" w:rsidRDefault="009732C2" w:rsidP="001C43BF">
      <w:pPr>
        <w:ind w:left="5529"/>
      </w:pPr>
    </w:p>
    <w:p w:rsidR="00152CEA" w:rsidRPr="000E59C6" w:rsidRDefault="009732C2" w:rsidP="001C43BF">
      <w:pPr>
        <w:pStyle w:val="Endofdocument-Annex"/>
        <w:ind w:left="5529"/>
        <w:rPr>
          <w:lang w:val="es-ES"/>
        </w:rPr>
      </w:pPr>
      <w:r w:rsidRPr="00F0392D">
        <w:rPr>
          <w:lang w:val="es-ES"/>
        </w:rPr>
        <w:t>[</w:t>
      </w:r>
      <w:r w:rsidR="00E5194D" w:rsidRPr="00F0392D">
        <w:rPr>
          <w:lang w:val="es-ES"/>
        </w:rPr>
        <w:t>Sigue el Anexo</w:t>
      </w:r>
      <w:r w:rsidRPr="00F0392D">
        <w:rPr>
          <w:lang w:val="es-ES"/>
        </w:rPr>
        <w:t>]</w:t>
      </w:r>
    </w:p>
    <w:sectPr w:rsidR="00152CEA" w:rsidRPr="000E59C6" w:rsidSect="001C43BF">
      <w:headerReference w:type="default" r:id="rId10"/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C2" w:rsidRDefault="009732C2">
      <w:r>
        <w:separator/>
      </w:r>
    </w:p>
  </w:endnote>
  <w:endnote w:type="continuationSeparator" w:id="0">
    <w:p w:rsidR="009732C2" w:rsidRPr="009D30E6" w:rsidRDefault="009732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32C2" w:rsidRPr="007E663E" w:rsidRDefault="009732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732C2" w:rsidRPr="007E663E" w:rsidRDefault="009732C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C2" w:rsidRDefault="009732C2">
      <w:r>
        <w:separator/>
      </w:r>
    </w:p>
  </w:footnote>
  <w:footnote w:type="continuationSeparator" w:id="0">
    <w:p w:rsidR="009732C2" w:rsidRPr="009D30E6" w:rsidRDefault="009732C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32C2" w:rsidRPr="007E663E" w:rsidRDefault="009732C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732C2" w:rsidRPr="007E663E" w:rsidRDefault="009732C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BF" w:rsidRDefault="001C43BF" w:rsidP="001C43BF">
    <w:pPr>
      <w:jc w:val="right"/>
    </w:pPr>
    <w:r>
      <w:t>CWS/5/7 Rev.1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37A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1C43BF" w:rsidRDefault="001C43B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77A2C19"/>
    <w:multiLevelType w:val="hybridMultilevel"/>
    <w:tmpl w:val="82D83D74"/>
    <w:lvl w:ilvl="0" w:tplc="97D2BDEC">
      <w:start w:val="1"/>
      <w:numFmt w:val="lowerLetter"/>
      <w:lvlText w:val="%1)"/>
      <w:lvlJc w:val="left"/>
      <w:pPr>
        <w:ind w:left="667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3" w:hanging="360"/>
      </w:pPr>
    </w:lvl>
    <w:lvl w:ilvl="2" w:tplc="0409001B" w:tentative="1">
      <w:start w:val="1"/>
      <w:numFmt w:val="lowerRoman"/>
      <w:lvlText w:val="%3."/>
      <w:lvlJc w:val="right"/>
      <w:pPr>
        <w:ind w:left="7903" w:hanging="180"/>
      </w:pPr>
    </w:lvl>
    <w:lvl w:ilvl="3" w:tplc="0409000F" w:tentative="1">
      <w:start w:val="1"/>
      <w:numFmt w:val="decimal"/>
      <w:lvlText w:val="%4."/>
      <w:lvlJc w:val="left"/>
      <w:pPr>
        <w:ind w:left="8623" w:hanging="360"/>
      </w:pPr>
    </w:lvl>
    <w:lvl w:ilvl="4" w:tplc="04090019" w:tentative="1">
      <w:start w:val="1"/>
      <w:numFmt w:val="lowerLetter"/>
      <w:lvlText w:val="%5."/>
      <w:lvlJc w:val="left"/>
      <w:pPr>
        <w:ind w:left="9343" w:hanging="360"/>
      </w:pPr>
    </w:lvl>
    <w:lvl w:ilvl="5" w:tplc="0409001B" w:tentative="1">
      <w:start w:val="1"/>
      <w:numFmt w:val="lowerRoman"/>
      <w:lvlText w:val="%6."/>
      <w:lvlJc w:val="right"/>
      <w:pPr>
        <w:ind w:left="10063" w:hanging="180"/>
      </w:pPr>
    </w:lvl>
    <w:lvl w:ilvl="6" w:tplc="0409000F" w:tentative="1">
      <w:start w:val="1"/>
      <w:numFmt w:val="decimal"/>
      <w:lvlText w:val="%7."/>
      <w:lvlJc w:val="left"/>
      <w:pPr>
        <w:ind w:left="10783" w:hanging="360"/>
      </w:pPr>
    </w:lvl>
    <w:lvl w:ilvl="7" w:tplc="04090019" w:tentative="1">
      <w:start w:val="1"/>
      <w:numFmt w:val="lowerLetter"/>
      <w:lvlText w:val="%8."/>
      <w:lvlJc w:val="left"/>
      <w:pPr>
        <w:ind w:left="11503" w:hanging="360"/>
      </w:pPr>
    </w:lvl>
    <w:lvl w:ilvl="8" w:tplc="0409001B" w:tentative="1">
      <w:start w:val="1"/>
      <w:numFmt w:val="lowerRoman"/>
      <w:lvlText w:val="%9."/>
      <w:lvlJc w:val="right"/>
      <w:pPr>
        <w:ind w:left="12223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A6F8D"/>
    <w:multiLevelType w:val="hybridMultilevel"/>
    <w:tmpl w:val="282C9334"/>
    <w:lvl w:ilvl="0" w:tplc="9BBE40F2">
      <w:start w:val="1"/>
      <w:numFmt w:val="lowerLetter"/>
      <w:lvlText w:val="(%1)"/>
      <w:lvlJc w:val="left"/>
      <w:pPr>
        <w:ind w:left="6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38" w:hanging="360"/>
      </w:pPr>
    </w:lvl>
    <w:lvl w:ilvl="2" w:tplc="0409001B" w:tentative="1">
      <w:start w:val="1"/>
      <w:numFmt w:val="lowerRoman"/>
      <w:lvlText w:val="%3."/>
      <w:lvlJc w:val="right"/>
      <w:pPr>
        <w:ind w:left="8258" w:hanging="180"/>
      </w:pPr>
    </w:lvl>
    <w:lvl w:ilvl="3" w:tplc="0409000F" w:tentative="1">
      <w:start w:val="1"/>
      <w:numFmt w:val="decimal"/>
      <w:lvlText w:val="%4."/>
      <w:lvlJc w:val="left"/>
      <w:pPr>
        <w:ind w:left="8978" w:hanging="360"/>
      </w:pPr>
    </w:lvl>
    <w:lvl w:ilvl="4" w:tplc="04090019" w:tentative="1">
      <w:start w:val="1"/>
      <w:numFmt w:val="lowerLetter"/>
      <w:lvlText w:val="%5."/>
      <w:lvlJc w:val="left"/>
      <w:pPr>
        <w:ind w:left="9698" w:hanging="360"/>
      </w:pPr>
    </w:lvl>
    <w:lvl w:ilvl="5" w:tplc="0409001B" w:tentative="1">
      <w:start w:val="1"/>
      <w:numFmt w:val="lowerRoman"/>
      <w:lvlText w:val="%6."/>
      <w:lvlJc w:val="right"/>
      <w:pPr>
        <w:ind w:left="10418" w:hanging="180"/>
      </w:pPr>
    </w:lvl>
    <w:lvl w:ilvl="6" w:tplc="0409000F" w:tentative="1">
      <w:start w:val="1"/>
      <w:numFmt w:val="decimal"/>
      <w:lvlText w:val="%7."/>
      <w:lvlJc w:val="left"/>
      <w:pPr>
        <w:ind w:left="11138" w:hanging="360"/>
      </w:pPr>
    </w:lvl>
    <w:lvl w:ilvl="7" w:tplc="04090019" w:tentative="1">
      <w:start w:val="1"/>
      <w:numFmt w:val="lowerLetter"/>
      <w:lvlText w:val="%8."/>
      <w:lvlJc w:val="left"/>
      <w:pPr>
        <w:ind w:left="11858" w:hanging="360"/>
      </w:pPr>
    </w:lvl>
    <w:lvl w:ilvl="8" w:tplc="0409001B" w:tentative="1">
      <w:start w:val="1"/>
      <w:numFmt w:val="lowerRoman"/>
      <w:lvlText w:val="%9."/>
      <w:lvlJc w:val="right"/>
      <w:pPr>
        <w:ind w:left="125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C2"/>
    <w:rsid w:val="00010686"/>
    <w:rsid w:val="00036268"/>
    <w:rsid w:val="00052915"/>
    <w:rsid w:val="0007112C"/>
    <w:rsid w:val="00075B01"/>
    <w:rsid w:val="0008168E"/>
    <w:rsid w:val="000958E3"/>
    <w:rsid w:val="000A1508"/>
    <w:rsid w:val="000E3BB3"/>
    <w:rsid w:val="000E59C6"/>
    <w:rsid w:val="000F5E56"/>
    <w:rsid w:val="001362EE"/>
    <w:rsid w:val="00142499"/>
    <w:rsid w:val="00144576"/>
    <w:rsid w:val="00152CEA"/>
    <w:rsid w:val="001832A6"/>
    <w:rsid w:val="00190699"/>
    <w:rsid w:val="00191084"/>
    <w:rsid w:val="00197C7A"/>
    <w:rsid w:val="001C43BF"/>
    <w:rsid w:val="001F7FFB"/>
    <w:rsid w:val="002100FE"/>
    <w:rsid w:val="00261E6A"/>
    <w:rsid w:val="002634C4"/>
    <w:rsid w:val="002A37AC"/>
    <w:rsid w:val="002E0F47"/>
    <w:rsid w:val="002F4E68"/>
    <w:rsid w:val="002F6AB1"/>
    <w:rsid w:val="00354647"/>
    <w:rsid w:val="003721DC"/>
    <w:rsid w:val="00377273"/>
    <w:rsid w:val="003845C1"/>
    <w:rsid w:val="00387287"/>
    <w:rsid w:val="003B2F77"/>
    <w:rsid w:val="003D46F4"/>
    <w:rsid w:val="003D61E8"/>
    <w:rsid w:val="003E48F1"/>
    <w:rsid w:val="003F347A"/>
    <w:rsid w:val="00423E3E"/>
    <w:rsid w:val="00427AF4"/>
    <w:rsid w:val="00434296"/>
    <w:rsid w:val="0044199E"/>
    <w:rsid w:val="0045231F"/>
    <w:rsid w:val="004647DA"/>
    <w:rsid w:val="0046793F"/>
    <w:rsid w:val="00477808"/>
    <w:rsid w:val="00477D6B"/>
    <w:rsid w:val="004A489A"/>
    <w:rsid w:val="004A6C37"/>
    <w:rsid w:val="004B53C8"/>
    <w:rsid w:val="004B7D0F"/>
    <w:rsid w:val="004E297D"/>
    <w:rsid w:val="004F0019"/>
    <w:rsid w:val="00500A7B"/>
    <w:rsid w:val="00531B02"/>
    <w:rsid w:val="005332F0"/>
    <w:rsid w:val="0055013B"/>
    <w:rsid w:val="00571B99"/>
    <w:rsid w:val="005759FE"/>
    <w:rsid w:val="005A58AC"/>
    <w:rsid w:val="005D13E4"/>
    <w:rsid w:val="00605827"/>
    <w:rsid w:val="00675021"/>
    <w:rsid w:val="006923FB"/>
    <w:rsid w:val="006942BC"/>
    <w:rsid w:val="006A06C6"/>
    <w:rsid w:val="006B7EB6"/>
    <w:rsid w:val="006D0B31"/>
    <w:rsid w:val="006E5475"/>
    <w:rsid w:val="00716DB4"/>
    <w:rsid w:val="007224C8"/>
    <w:rsid w:val="007304C3"/>
    <w:rsid w:val="00794BE2"/>
    <w:rsid w:val="007A5581"/>
    <w:rsid w:val="007B5458"/>
    <w:rsid w:val="007B71FE"/>
    <w:rsid w:val="007C3AE0"/>
    <w:rsid w:val="007D781E"/>
    <w:rsid w:val="007E663E"/>
    <w:rsid w:val="00815082"/>
    <w:rsid w:val="00882945"/>
    <w:rsid w:val="0088395E"/>
    <w:rsid w:val="008B2CC1"/>
    <w:rsid w:val="008E6BD6"/>
    <w:rsid w:val="0090731E"/>
    <w:rsid w:val="009465DB"/>
    <w:rsid w:val="00966A22"/>
    <w:rsid w:val="00972F03"/>
    <w:rsid w:val="009732C2"/>
    <w:rsid w:val="009A0C8B"/>
    <w:rsid w:val="009A20CD"/>
    <w:rsid w:val="009A38AC"/>
    <w:rsid w:val="009B6241"/>
    <w:rsid w:val="009C1F33"/>
    <w:rsid w:val="00A16FC0"/>
    <w:rsid w:val="00A32C9E"/>
    <w:rsid w:val="00A60B58"/>
    <w:rsid w:val="00AB613D"/>
    <w:rsid w:val="00AC6739"/>
    <w:rsid w:val="00AE7F20"/>
    <w:rsid w:val="00AF325A"/>
    <w:rsid w:val="00B16713"/>
    <w:rsid w:val="00B232E8"/>
    <w:rsid w:val="00B2356C"/>
    <w:rsid w:val="00B534D5"/>
    <w:rsid w:val="00B65A0A"/>
    <w:rsid w:val="00B67CDC"/>
    <w:rsid w:val="00B72D36"/>
    <w:rsid w:val="00BA0BCD"/>
    <w:rsid w:val="00BA4D35"/>
    <w:rsid w:val="00BC4164"/>
    <w:rsid w:val="00BC51CC"/>
    <w:rsid w:val="00BD2DCC"/>
    <w:rsid w:val="00BE1415"/>
    <w:rsid w:val="00C90559"/>
    <w:rsid w:val="00CA2251"/>
    <w:rsid w:val="00D36DE2"/>
    <w:rsid w:val="00D56C7C"/>
    <w:rsid w:val="00D712A8"/>
    <w:rsid w:val="00D71B4D"/>
    <w:rsid w:val="00D90289"/>
    <w:rsid w:val="00D93D55"/>
    <w:rsid w:val="00DC4C60"/>
    <w:rsid w:val="00E0079A"/>
    <w:rsid w:val="00E444DA"/>
    <w:rsid w:val="00E45C84"/>
    <w:rsid w:val="00E504E5"/>
    <w:rsid w:val="00E5194D"/>
    <w:rsid w:val="00EB7A3E"/>
    <w:rsid w:val="00EC401A"/>
    <w:rsid w:val="00ED18DB"/>
    <w:rsid w:val="00EF530A"/>
    <w:rsid w:val="00EF6622"/>
    <w:rsid w:val="00EF78A9"/>
    <w:rsid w:val="00F0392D"/>
    <w:rsid w:val="00F5120E"/>
    <w:rsid w:val="00F55408"/>
    <w:rsid w:val="00F66152"/>
    <w:rsid w:val="00F80845"/>
    <w:rsid w:val="00F84474"/>
    <w:rsid w:val="00F8747D"/>
    <w:rsid w:val="00FA0F0D"/>
    <w:rsid w:val="00FA54A0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uiPriority w:val="99"/>
    <w:unhideWhenUsed/>
    <w:rsid w:val="009732C2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9732C2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link w:val="BodyText"/>
    <w:rsid w:val="009732C2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rsid w:val="006D0B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uiPriority w:val="99"/>
    <w:unhideWhenUsed/>
    <w:rsid w:val="009732C2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9732C2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link w:val="BodyText"/>
    <w:rsid w:val="009732C2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rsid w:val="006D0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cws/es/circulars/2016/cws-07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(S)</Template>
  <TotalTime>10</TotalTime>
  <Pages>2</Pages>
  <Words>693</Words>
  <Characters>3540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Rev.1 (in Spanish)</vt:lpstr>
    </vt:vector>
  </TitlesOfParts>
  <Company>WIPO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(in Spanish)</dc:title>
  <dc:subject>Recommendations for the Transition Provision from WIPO Standard ST.25 to ST.26</dc:subject>
  <dc:creator>WIPO</dc:creator>
  <cp:keywords>CWS</cp:keywords>
  <cp:lastModifiedBy>ZAGO Bétina</cp:lastModifiedBy>
  <cp:revision>5</cp:revision>
  <cp:lastPrinted>2017-04-13T13:14:00Z</cp:lastPrinted>
  <dcterms:created xsi:type="dcterms:W3CDTF">2017-05-08T11:00:00Z</dcterms:created>
  <dcterms:modified xsi:type="dcterms:W3CDTF">2017-05-08T13:09:00Z</dcterms:modified>
</cp:coreProperties>
</file>