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6A" w:rsidRPr="00B44AD8" w:rsidRDefault="00F94E6A" w:rsidP="00AD7B9F">
      <w:pPr>
        <w:spacing w:after="220" w:line="240" w:lineRule="auto"/>
        <w:rPr>
          <w:b/>
          <w:color w:val="auto"/>
          <w:lang w:val="es-ES"/>
        </w:rPr>
      </w:pPr>
      <w:bookmarkStart w:id="0" w:name="proposal_xml_sch_orph_works"/>
      <w:r w:rsidRPr="00B44AD8">
        <w:rPr>
          <w:b/>
          <w:color w:val="auto"/>
          <w:lang w:val="es-ES"/>
        </w:rPr>
        <w:t xml:space="preserve">PROPUESTA DE AMPLIACIÓN DE LA NORMA ST.96 DE LA OMPI CON EL FIN DE </w:t>
      </w:r>
      <w:r w:rsidRPr="00B44AD8">
        <w:rPr>
          <w:b/>
          <w:caps/>
          <w:color w:val="auto"/>
          <w:lang w:val="es-ES"/>
        </w:rPr>
        <w:t>incorporar el esquema de lenguaje extensible de marcado (XML) para obras huérfanas</w:t>
      </w:r>
      <w:bookmarkEnd w:id="0"/>
    </w:p>
    <w:p w:rsidR="00F94E6A" w:rsidRPr="002A6B44" w:rsidRDefault="005D7924" w:rsidP="00AD7B9F">
      <w:pPr>
        <w:spacing w:after="220" w:line="240" w:lineRule="auto"/>
        <w:rPr>
          <w:i/>
          <w:color w:val="auto"/>
          <w:lang w:val="es-ES"/>
        </w:rPr>
      </w:pPr>
      <w:r w:rsidRPr="002A6B44">
        <w:rPr>
          <w:i/>
          <w:color w:val="auto"/>
          <w:lang w:val="es-ES"/>
        </w:rPr>
        <w:t>Documento</w:t>
      </w:r>
      <w:r w:rsidR="00F94E6A" w:rsidRPr="002A6B44">
        <w:rPr>
          <w:i/>
          <w:color w:val="auto"/>
          <w:lang w:val="es-ES"/>
        </w:rPr>
        <w:t xml:space="preserve"> </w:t>
      </w:r>
      <w:r w:rsidRPr="002A6B44">
        <w:rPr>
          <w:i/>
          <w:color w:val="auto"/>
          <w:lang w:val="es-ES"/>
        </w:rPr>
        <w:t>preparado</w:t>
      </w:r>
      <w:r w:rsidR="00F94E6A" w:rsidRPr="002A6B44">
        <w:rPr>
          <w:i/>
          <w:color w:val="auto"/>
          <w:lang w:val="es-ES"/>
        </w:rPr>
        <w:t xml:space="preserve"> por la Oficina de Propiedad Intelectual del Reino Unido (</w:t>
      </w:r>
      <w:r w:rsidR="007629D6" w:rsidRPr="002A6B44">
        <w:rPr>
          <w:i/>
          <w:color w:val="auto"/>
          <w:lang w:val="es-ES"/>
        </w:rPr>
        <w:t>UK IPO</w:t>
      </w:r>
      <w:r w:rsidR="00F94E6A" w:rsidRPr="002A6B44">
        <w:rPr>
          <w:i/>
          <w:color w:val="auto"/>
          <w:lang w:val="es-ES"/>
        </w:rPr>
        <w:t>)</w:t>
      </w:r>
    </w:p>
    <w:p w:rsidR="00F94E6A" w:rsidRPr="002A6B44" w:rsidRDefault="00F94E6A" w:rsidP="00AD7B9F">
      <w:pPr>
        <w:spacing w:after="220" w:line="240" w:lineRule="auto"/>
        <w:rPr>
          <w:color w:val="auto"/>
          <w:lang w:val="es-ES"/>
        </w:rPr>
      </w:pPr>
      <w:r w:rsidRPr="002A6B44">
        <w:rPr>
          <w:color w:val="auto"/>
          <w:lang w:val="es-ES"/>
        </w:rPr>
        <w:t xml:space="preserve">En mayo de 2014, la </w:t>
      </w:r>
      <w:r w:rsidR="007629D6" w:rsidRPr="002A6B44">
        <w:rPr>
          <w:color w:val="auto"/>
          <w:lang w:val="es-ES"/>
        </w:rPr>
        <w:t>UK IPO</w:t>
      </w:r>
      <w:r w:rsidRPr="002A6B44">
        <w:rPr>
          <w:color w:val="auto"/>
          <w:lang w:val="es-ES"/>
        </w:rPr>
        <w:t xml:space="preserve"> propuso al Comité de Normas Técnicas </w:t>
      </w:r>
      <w:r w:rsidR="005D7924" w:rsidRPr="002A6B44">
        <w:rPr>
          <w:color w:val="auto"/>
          <w:lang w:val="es-ES"/>
        </w:rPr>
        <w:t xml:space="preserve">(CWS) </w:t>
      </w:r>
      <w:r w:rsidRPr="002A6B44">
        <w:rPr>
          <w:color w:val="auto"/>
          <w:lang w:val="es-ES"/>
        </w:rPr>
        <w:t>de la OMPI (</w:t>
      </w:r>
      <w:r w:rsidR="005D7924" w:rsidRPr="002A6B44">
        <w:rPr>
          <w:color w:val="auto"/>
          <w:lang w:val="es-ES"/>
        </w:rPr>
        <w:t xml:space="preserve">documento </w:t>
      </w:r>
      <w:r w:rsidRPr="002A6B44">
        <w:rPr>
          <w:color w:val="auto"/>
          <w:lang w:val="es-ES"/>
        </w:rPr>
        <w:t xml:space="preserve">CWS/4/3) que la norma para el </w:t>
      </w:r>
      <w:r w:rsidR="005D7924" w:rsidRPr="002A6B44">
        <w:rPr>
          <w:color w:val="auto"/>
          <w:lang w:val="es-ES"/>
        </w:rPr>
        <w:t>intercambio</w:t>
      </w:r>
      <w:r w:rsidRPr="002A6B44">
        <w:rPr>
          <w:color w:val="auto"/>
          <w:lang w:val="es-ES"/>
        </w:rPr>
        <w:t xml:space="preserve"> de datos denominada Norma ST.96 de la OMPI se amplíe para incluir en su ámbito las obras huérfanas, además de los otros derechos de P.I.</w:t>
      </w:r>
      <w:r w:rsidR="00433222" w:rsidRPr="002A6B44">
        <w:rPr>
          <w:color w:val="auto"/>
          <w:lang w:val="es-ES"/>
        </w:rPr>
        <w:t xml:space="preserve"> </w:t>
      </w:r>
      <w:r w:rsidR="00B44AD8">
        <w:rPr>
          <w:color w:val="auto"/>
          <w:lang w:val="es-ES"/>
        </w:rPr>
        <w:t xml:space="preserve"> </w:t>
      </w:r>
      <w:proofErr w:type="gramStart"/>
      <w:r w:rsidR="00433222" w:rsidRPr="002A6B44">
        <w:rPr>
          <w:color w:val="auto"/>
          <w:lang w:val="es-ES"/>
        </w:rPr>
        <w:t>a</w:t>
      </w:r>
      <w:proofErr w:type="gramEnd"/>
      <w:r w:rsidR="00433222" w:rsidRPr="002A6B44">
        <w:rPr>
          <w:color w:val="auto"/>
          <w:lang w:val="es-ES"/>
        </w:rPr>
        <w:t xml:space="preserve"> los que se aplica</w:t>
      </w:r>
      <w:r w:rsidRPr="002A6B44">
        <w:rPr>
          <w:color w:val="auto"/>
          <w:lang w:val="es-ES"/>
        </w:rPr>
        <w:t>, a saber, patentes, marcas y diseños.</w:t>
      </w:r>
    </w:p>
    <w:p w:rsidR="00F94E6A" w:rsidRPr="002A6B44" w:rsidRDefault="00F94E6A" w:rsidP="00AD7B9F">
      <w:pPr>
        <w:spacing w:after="220" w:line="240" w:lineRule="auto"/>
        <w:ind w:left="0" w:firstLine="0"/>
        <w:rPr>
          <w:color w:val="auto"/>
          <w:lang w:val="es-ES"/>
        </w:rPr>
      </w:pPr>
      <w:r w:rsidRPr="002A6B44">
        <w:rPr>
          <w:color w:val="auto"/>
          <w:lang w:val="es-ES"/>
        </w:rPr>
        <w:t xml:space="preserve">Lo que motiva la ampliación de la Norma ST.96 es el </w:t>
      </w:r>
      <w:r w:rsidR="007629D6" w:rsidRPr="002A6B44">
        <w:rPr>
          <w:color w:val="auto"/>
          <w:lang w:val="es-ES"/>
        </w:rPr>
        <w:t>régimen</w:t>
      </w:r>
      <w:r w:rsidRPr="002A6B44">
        <w:rPr>
          <w:color w:val="auto"/>
          <w:lang w:val="es-ES"/>
        </w:rPr>
        <w:t xml:space="preserve"> de licencias de la </w:t>
      </w:r>
      <w:r w:rsidR="007629D6" w:rsidRPr="002A6B44">
        <w:rPr>
          <w:color w:val="auto"/>
          <w:lang w:val="es-ES"/>
        </w:rPr>
        <w:t>UK IPO</w:t>
      </w:r>
      <w:r w:rsidRPr="002A6B44">
        <w:rPr>
          <w:color w:val="auto"/>
          <w:lang w:val="es-ES"/>
        </w:rPr>
        <w:t xml:space="preserve"> respecto de las obras huérfanas (para las cuales no pueden localizarse los titulares de los derechos)</w:t>
      </w:r>
      <w:r w:rsidR="00433222" w:rsidRPr="002A6B44">
        <w:rPr>
          <w:color w:val="auto"/>
          <w:lang w:val="es-ES"/>
        </w:rPr>
        <w:t>,</w:t>
      </w:r>
      <w:r w:rsidRPr="002A6B44">
        <w:rPr>
          <w:color w:val="auto"/>
          <w:lang w:val="es-ES"/>
        </w:rPr>
        <w:t xml:space="preserve"> </w:t>
      </w:r>
      <w:r w:rsidR="007629D6" w:rsidRPr="002A6B44">
        <w:rPr>
          <w:color w:val="auto"/>
          <w:lang w:val="es-ES"/>
        </w:rPr>
        <w:t>que permite</w:t>
      </w:r>
      <w:r w:rsidRPr="002A6B44">
        <w:rPr>
          <w:color w:val="auto"/>
          <w:lang w:val="es-ES"/>
        </w:rPr>
        <w:t xml:space="preserve"> la reproducción de </w:t>
      </w:r>
      <w:r w:rsidR="00433222" w:rsidRPr="002A6B44">
        <w:rPr>
          <w:color w:val="auto"/>
          <w:lang w:val="es-ES"/>
        </w:rPr>
        <w:t>dichas</w:t>
      </w:r>
      <w:r w:rsidRPr="002A6B44">
        <w:rPr>
          <w:color w:val="auto"/>
          <w:lang w:val="es-ES"/>
        </w:rPr>
        <w:t xml:space="preserve"> obras para su uso en el Reino Unido únicamente.  </w:t>
      </w:r>
      <w:r w:rsidR="007629D6" w:rsidRPr="002A6B44">
        <w:rPr>
          <w:color w:val="auto"/>
          <w:lang w:val="es-ES"/>
        </w:rPr>
        <w:t>Con ese fin</w:t>
      </w:r>
      <w:r w:rsidRPr="002A6B44">
        <w:rPr>
          <w:color w:val="auto"/>
          <w:lang w:val="es-ES"/>
        </w:rPr>
        <w:t xml:space="preserve">, la </w:t>
      </w:r>
      <w:r w:rsidR="007629D6" w:rsidRPr="002A6B44">
        <w:rPr>
          <w:color w:val="auto"/>
          <w:lang w:val="es-ES"/>
        </w:rPr>
        <w:t>UK IPO</w:t>
      </w:r>
      <w:r w:rsidRPr="002A6B44">
        <w:rPr>
          <w:color w:val="auto"/>
          <w:lang w:val="es-ES"/>
        </w:rPr>
        <w:t xml:space="preserve"> ha elaborado un proceso de solicitud en línea y una base de datos pública de </w:t>
      </w:r>
      <w:r w:rsidR="007629D6" w:rsidRPr="002A6B44">
        <w:rPr>
          <w:color w:val="auto"/>
          <w:lang w:val="es-ES"/>
        </w:rPr>
        <w:t xml:space="preserve">las </w:t>
      </w:r>
      <w:r w:rsidRPr="002A6B44">
        <w:rPr>
          <w:color w:val="auto"/>
          <w:lang w:val="es-ES"/>
        </w:rPr>
        <w:t xml:space="preserve">obras huérfanas reconocidas </w:t>
      </w:r>
      <w:r w:rsidR="007629D6" w:rsidRPr="002A6B44">
        <w:rPr>
          <w:color w:val="auto"/>
          <w:lang w:val="es-ES"/>
        </w:rPr>
        <w:t>sometidas</w:t>
      </w:r>
      <w:r w:rsidRPr="002A6B44">
        <w:rPr>
          <w:color w:val="auto"/>
          <w:lang w:val="es-ES"/>
        </w:rPr>
        <w:t xml:space="preserve"> al proceso de verificación de la </w:t>
      </w:r>
      <w:r w:rsidR="007629D6" w:rsidRPr="002A6B44">
        <w:rPr>
          <w:color w:val="auto"/>
          <w:lang w:val="es-ES"/>
        </w:rPr>
        <w:t>UK IPO</w:t>
      </w:r>
      <w:r w:rsidRPr="002A6B44">
        <w:rPr>
          <w:color w:val="auto"/>
          <w:lang w:val="es-ES"/>
        </w:rPr>
        <w:t xml:space="preserve"> y </w:t>
      </w:r>
      <w:r w:rsidR="007629D6" w:rsidRPr="002A6B44">
        <w:rPr>
          <w:color w:val="auto"/>
          <w:lang w:val="es-ES"/>
        </w:rPr>
        <w:t xml:space="preserve">de las </w:t>
      </w:r>
      <w:r w:rsidRPr="002A6B44">
        <w:rPr>
          <w:color w:val="auto"/>
          <w:lang w:val="es-ES"/>
        </w:rPr>
        <w:t xml:space="preserve">que ya </w:t>
      </w:r>
      <w:r w:rsidR="007629D6" w:rsidRPr="002A6B44">
        <w:rPr>
          <w:color w:val="auto"/>
          <w:lang w:val="es-ES"/>
        </w:rPr>
        <w:t>ha dado su acuerdo para que se concedan en licencia</w:t>
      </w:r>
      <w:r w:rsidRPr="002A6B44">
        <w:rPr>
          <w:color w:val="auto"/>
          <w:lang w:val="es-ES"/>
        </w:rPr>
        <w:t>.</w:t>
      </w:r>
    </w:p>
    <w:p w:rsidR="00F94E6A" w:rsidRPr="002A6B44" w:rsidRDefault="007629D6" w:rsidP="00AD7B9F">
      <w:pPr>
        <w:spacing w:after="220" w:line="240" w:lineRule="auto"/>
        <w:ind w:left="0" w:firstLine="0"/>
        <w:rPr>
          <w:b/>
          <w:color w:val="auto"/>
          <w:lang w:val="es-ES"/>
        </w:rPr>
      </w:pPr>
      <w:r w:rsidRPr="002A6B44">
        <w:rPr>
          <w:color w:val="auto"/>
          <w:lang w:val="es-ES"/>
        </w:rPr>
        <w:t xml:space="preserve">La EUIPO administra el sistema de </w:t>
      </w:r>
      <w:r w:rsidR="00F94E6A" w:rsidRPr="002A6B44">
        <w:rPr>
          <w:color w:val="auto"/>
          <w:lang w:val="es-ES"/>
        </w:rPr>
        <w:t xml:space="preserve">obras huérfanas </w:t>
      </w:r>
      <w:r w:rsidRPr="002A6B44">
        <w:rPr>
          <w:color w:val="auto"/>
          <w:lang w:val="es-ES"/>
        </w:rPr>
        <w:t xml:space="preserve">de la Unión Europea (UE), que también mantiene registros de las </w:t>
      </w:r>
      <w:r w:rsidR="00F94E6A" w:rsidRPr="002A6B44">
        <w:rPr>
          <w:color w:val="auto"/>
          <w:lang w:val="es-ES"/>
        </w:rPr>
        <w:t>obras huérfanas</w:t>
      </w:r>
      <w:r w:rsidR="00757553" w:rsidRPr="002A6B44">
        <w:rPr>
          <w:color w:val="auto"/>
          <w:lang w:val="es-ES"/>
        </w:rPr>
        <w:t xml:space="preserve"> reconocidas dentro de la UE</w:t>
      </w:r>
      <w:r w:rsidR="00F94E6A" w:rsidRPr="002A6B44">
        <w:rPr>
          <w:color w:val="auto"/>
          <w:lang w:val="es-ES"/>
        </w:rPr>
        <w:t xml:space="preserve"> </w:t>
      </w:r>
      <w:r w:rsidR="00757553" w:rsidRPr="002A6B44">
        <w:rPr>
          <w:color w:val="auto"/>
          <w:lang w:val="es-ES"/>
        </w:rPr>
        <w:t>que están siendo utilizadas en virtud de la Directiva de la UE sobre obras huérfanas</w:t>
      </w:r>
      <w:r w:rsidR="00F94E6A" w:rsidRPr="002A6B44">
        <w:rPr>
          <w:color w:val="auto"/>
          <w:lang w:val="es-ES"/>
        </w:rPr>
        <w:t xml:space="preserve">.  </w:t>
      </w:r>
      <w:r w:rsidR="00981A09" w:rsidRPr="002A6B44">
        <w:rPr>
          <w:color w:val="auto"/>
          <w:lang w:val="es-ES"/>
        </w:rPr>
        <w:t xml:space="preserve">Si bien el </w:t>
      </w:r>
      <w:r w:rsidR="005D7924" w:rsidRPr="002A6B44">
        <w:rPr>
          <w:color w:val="auto"/>
          <w:lang w:val="es-ES"/>
        </w:rPr>
        <w:t>régimen</w:t>
      </w:r>
      <w:r w:rsidR="00981A09" w:rsidRPr="002A6B44">
        <w:rPr>
          <w:color w:val="auto"/>
          <w:lang w:val="es-ES"/>
        </w:rPr>
        <w:t xml:space="preserve"> del Reino Unido es diferente del de la UE</w:t>
      </w:r>
      <w:r w:rsidR="00F94E6A" w:rsidRPr="002A6B44">
        <w:rPr>
          <w:color w:val="auto"/>
          <w:lang w:val="es-ES"/>
        </w:rPr>
        <w:t xml:space="preserve">, </w:t>
      </w:r>
      <w:r w:rsidR="00981A09" w:rsidRPr="002A6B44">
        <w:rPr>
          <w:color w:val="auto"/>
          <w:lang w:val="es-ES"/>
        </w:rPr>
        <w:t>son fundamentalmente iguales los sistemas y la información básica relativos a las obras huérfanas</w:t>
      </w:r>
      <w:r w:rsidR="00F94E6A" w:rsidRPr="002A6B44">
        <w:rPr>
          <w:color w:val="auto"/>
          <w:lang w:val="es-ES"/>
        </w:rPr>
        <w:t xml:space="preserve">, </w:t>
      </w:r>
      <w:r w:rsidR="00981A09" w:rsidRPr="002A6B44">
        <w:rPr>
          <w:color w:val="auto"/>
          <w:lang w:val="es-ES"/>
        </w:rPr>
        <w:t>los titulares de derechos</w:t>
      </w:r>
      <w:r w:rsidR="00F94E6A" w:rsidRPr="002A6B44">
        <w:rPr>
          <w:color w:val="auto"/>
          <w:lang w:val="es-ES"/>
        </w:rPr>
        <w:t xml:space="preserve">, </w:t>
      </w:r>
      <w:r w:rsidR="00981A09" w:rsidRPr="002A6B44">
        <w:rPr>
          <w:color w:val="auto"/>
          <w:lang w:val="es-ES"/>
        </w:rPr>
        <w:t>las búsquedas diligentes, etcétera</w:t>
      </w:r>
      <w:r w:rsidR="00F94E6A" w:rsidRPr="002A6B44">
        <w:rPr>
          <w:color w:val="auto"/>
          <w:lang w:val="es-ES"/>
        </w:rPr>
        <w:t>.</w:t>
      </w:r>
    </w:p>
    <w:p w:rsidR="00F94E6A" w:rsidRPr="002A6B44" w:rsidRDefault="00981A09" w:rsidP="00AD7B9F">
      <w:pPr>
        <w:spacing w:after="220" w:line="240" w:lineRule="auto"/>
        <w:ind w:left="0" w:firstLine="0"/>
        <w:rPr>
          <w:color w:val="auto"/>
          <w:lang w:val="es-ES"/>
        </w:rPr>
      </w:pPr>
      <w:r w:rsidRPr="002A6B44">
        <w:rPr>
          <w:color w:val="auto"/>
          <w:lang w:val="es-ES"/>
        </w:rPr>
        <w:t>Por lo tanto, la</w:t>
      </w:r>
      <w:r w:rsidR="00F94E6A" w:rsidRPr="002A6B44">
        <w:rPr>
          <w:color w:val="auto"/>
          <w:lang w:val="es-ES"/>
        </w:rPr>
        <w:t xml:space="preserve"> </w:t>
      </w:r>
      <w:r w:rsidR="007629D6" w:rsidRPr="002A6B44">
        <w:rPr>
          <w:color w:val="auto"/>
          <w:lang w:val="es-ES"/>
        </w:rPr>
        <w:t>UK IPO</w:t>
      </w:r>
      <w:r w:rsidR="00F94E6A" w:rsidRPr="002A6B44">
        <w:rPr>
          <w:color w:val="auto"/>
          <w:lang w:val="es-ES"/>
        </w:rPr>
        <w:t xml:space="preserve"> </w:t>
      </w:r>
      <w:r w:rsidR="005D7924" w:rsidRPr="002A6B44">
        <w:rPr>
          <w:color w:val="auto"/>
          <w:lang w:val="es-ES"/>
        </w:rPr>
        <w:t>considera</w:t>
      </w:r>
      <w:r w:rsidR="00F94E6A" w:rsidRPr="002A6B44">
        <w:rPr>
          <w:color w:val="auto"/>
          <w:lang w:val="es-ES"/>
        </w:rPr>
        <w:t xml:space="preserve"> </w:t>
      </w:r>
      <w:r w:rsidRPr="002A6B44">
        <w:rPr>
          <w:color w:val="auto"/>
          <w:lang w:val="es-ES"/>
        </w:rPr>
        <w:t xml:space="preserve">que la </w:t>
      </w:r>
      <w:r w:rsidR="00F94E6A" w:rsidRPr="002A6B44">
        <w:rPr>
          <w:color w:val="auto"/>
          <w:lang w:val="es-ES"/>
        </w:rPr>
        <w:t>Norma ST.96 de la OMPI</w:t>
      </w:r>
      <w:r w:rsidRPr="002A6B44">
        <w:rPr>
          <w:color w:val="auto"/>
          <w:lang w:val="es-ES"/>
        </w:rPr>
        <w:t>, que se vale del</w:t>
      </w:r>
      <w:r w:rsidR="00F94E6A" w:rsidRPr="002A6B44">
        <w:rPr>
          <w:color w:val="auto"/>
          <w:lang w:val="es-ES"/>
        </w:rPr>
        <w:t xml:space="preserve"> XML, </w:t>
      </w:r>
      <w:r w:rsidR="003B774A" w:rsidRPr="002A6B44">
        <w:rPr>
          <w:color w:val="auto"/>
          <w:lang w:val="es-ES"/>
        </w:rPr>
        <w:t>utilizada como estándar de denominación y para el intercambio interno/externo de datos</w:t>
      </w:r>
      <w:r w:rsidR="00F94E6A" w:rsidRPr="002A6B44">
        <w:rPr>
          <w:color w:val="auto"/>
          <w:lang w:val="es-ES"/>
        </w:rPr>
        <w:t xml:space="preserve"> relati</w:t>
      </w:r>
      <w:r w:rsidR="003B774A" w:rsidRPr="002A6B44">
        <w:rPr>
          <w:color w:val="auto"/>
          <w:lang w:val="es-ES"/>
        </w:rPr>
        <w:t>vos a las</w:t>
      </w:r>
      <w:r w:rsidR="00F94E6A" w:rsidRPr="002A6B44">
        <w:rPr>
          <w:color w:val="auto"/>
          <w:lang w:val="es-ES"/>
        </w:rPr>
        <w:t xml:space="preserve"> </w:t>
      </w:r>
      <w:r w:rsidR="005D7924" w:rsidRPr="002A6B44">
        <w:rPr>
          <w:color w:val="auto"/>
          <w:lang w:val="es-ES"/>
        </w:rPr>
        <w:t>patentes</w:t>
      </w:r>
      <w:r w:rsidR="00F94E6A" w:rsidRPr="002A6B44">
        <w:rPr>
          <w:color w:val="auto"/>
          <w:lang w:val="es-ES"/>
        </w:rPr>
        <w:t xml:space="preserve">, </w:t>
      </w:r>
      <w:r w:rsidR="003B774A" w:rsidRPr="002A6B44">
        <w:rPr>
          <w:color w:val="auto"/>
          <w:lang w:val="es-ES"/>
        </w:rPr>
        <w:t>las marcas y los diseños registrados</w:t>
      </w:r>
      <w:r w:rsidR="00F94E6A" w:rsidRPr="002A6B44">
        <w:rPr>
          <w:color w:val="auto"/>
          <w:lang w:val="es-ES"/>
        </w:rPr>
        <w:t xml:space="preserve">, </w:t>
      </w:r>
      <w:r w:rsidR="003B774A" w:rsidRPr="002A6B44">
        <w:rPr>
          <w:color w:val="auto"/>
          <w:lang w:val="es-ES"/>
        </w:rPr>
        <w:t>debería estar disponible para su utilización con datos relativos a las</w:t>
      </w:r>
      <w:r w:rsidR="00F94E6A" w:rsidRPr="002A6B44">
        <w:rPr>
          <w:color w:val="auto"/>
          <w:lang w:val="es-ES"/>
        </w:rPr>
        <w:t xml:space="preserve"> obras huérfanas.</w:t>
      </w:r>
    </w:p>
    <w:p w:rsidR="00F94E6A" w:rsidRPr="002A6B44" w:rsidRDefault="003B774A" w:rsidP="00AD7B9F">
      <w:pPr>
        <w:spacing w:after="220" w:line="240" w:lineRule="auto"/>
        <w:ind w:left="0" w:firstLine="0"/>
        <w:rPr>
          <w:color w:val="auto"/>
          <w:lang w:val="es-ES"/>
        </w:rPr>
      </w:pPr>
      <w:r w:rsidRPr="002A6B44">
        <w:rPr>
          <w:color w:val="auto"/>
          <w:lang w:val="es-ES"/>
        </w:rPr>
        <w:t>Cabe señalar que la</w:t>
      </w:r>
      <w:r w:rsidR="00F94E6A" w:rsidRPr="002A6B44">
        <w:rPr>
          <w:color w:val="auto"/>
          <w:lang w:val="es-ES"/>
        </w:rPr>
        <w:t xml:space="preserve"> </w:t>
      </w:r>
      <w:r w:rsidR="007629D6" w:rsidRPr="002A6B44">
        <w:rPr>
          <w:color w:val="auto"/>
          <w:lang w:val="es-ES"/>
        </w:rPr>
        <w:t>UK IPO</w:t>
      </w:r>
      <w:r w:rsidR="00F94E6A" w:rsidRPr="002A6B44">
        <w:rPr>
          <w:color w:val="auto"/>
          <w:lang w:val="es-ES"/>
        </w:rPr>
        <w:t xml:space="preserve"> </w:t>
      </w:r>
      <w:r w:rsidRPr="002A6B44">
        <w:rPr>
          <w:color w:val="auto"/>
          <w:lang w:val="es-ES"/>
        </w:rPr>
        <w:t xml:space="preserve">no </w:t>
      </w:r>
      <w:r w:rsidR="00F94E6A" w:rsidRPr="002A6B44">
        <w:rPr>
          <w:color w:val="auto"/>
          <w:lang w:val="es-ES"/>
        </w:rPr>
        <w:t>sug</w:t>
      </w:r>
      <w:r w:rsidRPr="002A6B44">
        <w:rPr>
          <w:color w:val="auto"/>
          <w:lang w:val="es-ES"/>
        </w:rPr>
        <w:t>iere que deba imponerse el registro obligatorio del derecho de autor, pues ello sería contrario al</w:t>
      </w:r>
      <w:r w:rsidR="00F94E6A" w:rsidRPr="002A6B44">
        <w:rPr>
          <w:color w:val="auto"/>
          <w:lang w:val="es-ES"/>
        </w:rPr>
        <w:t xml:space="preserve"> Convenio de Berna, ni</w:t>
      </w:r>
      <w:r w:rsidRPr="002A6B44">
        <w:rPr>
          <w:color w:val="auto"/>
          <w:lang w:val="es-ES"/>
        </w:rPr>
        <w:t xml:space="preserve"> solicita que otros países establezcan regímenes </w:t>
      </w:r>
      <w:r w:rsidR="00433222" w:rsidRPr="002A6B44">
        <w:rPr>
          <w:color w:val="auto"/>
          <w:lang w:val="es-ES"/>
        </w:rPr>
        <w:t>para</w:t>
      </w:r>
      <w:r w:rsidRPr="002A6B44">
        <w:rPr>
          <w:color w:val="auto"/>
          <w:lang w:val="es-ES"/>
        </w:rPr>
        <w:t xml:space="preserve"> las </w:t>
      </w:r>
      <w:r w:rsidR="00F94E6A" w:rsidRPr="002A6B44">
        <w:rPr>
          <w:color w:val="auto"/>
          <w:lang w:val="es-ES"/>
        </w:rPr>
        <w:t xml:space="preserve">obras huérfanas; </w:t>
      </w:r>
      <w:r w:rsidRPr="002A6B44">
        <w:rPr>
          <w:color w:val="auto"/>
          <w:lang w:val="es-ES"/>
        </w:rPr>
        <w:t xml:space="preserve"> </w:t>
      </w:r>
      <w:r w:rsidR="00433222" w:rsidRPr="002A6B44">
        <w:rPr>
          <w:color w:val="auto"/>
          <w:lang w:val="es-ES"/>
        </w:rPr>
        <w:t>la presente</w:t>
      </w:r>
      <w:r w:rsidR="00F94E6A" w:rsidRPr="002A6B44">
        <w:rPr>
          <w:color w:val="auto"/>
          <w:lang w:val="es-ES"/>
        </w:rPr>
        <w:t xml:space="preserve"> propuesta </w:t>
      </w:r>
      <w:r w:rsidR="00807FF4" w:rsidRPr="002A6B44">
        <w:rPr>
          <w:color w:val="auto"/>
          <w:lang w:val="es-ES"/>
        </w:rPr>
        <w:t xml:space="preserve">se refiere </w:t>
      </w:r>
      <w:r w:rsidR="00F94E6A" w:rsidRPr="002A6B44">
        <w:rPr>
          <w:color w:val="auto"/>
          <w:lang w:val="es-ES"/>
        </w:rPr>
        <w:t>a facilita</w:t>
      </w:r>
      <w:r w:rsidR="00807FF4" w:rsidRPr="002A6B44">
        <w:rPr>
          <w:color w:val="auto"/>
          <w:lang w:val="es-ES"/>
        </w:rPr>
        <w:t>r</w:t>
      </w:r>
      <w:r w:rsidR="00F94E6A" w:rsidRPr="002A6B44">
        <w:rPr>
          <w:color w:val="auto"/>
          <w:lang w:val="es-ES"/>
        </w:rPr>
        <w:t xml:space="preserve"> </w:t>
      </w:r>
      <w:r w:rsidR="00807FF4" w:rsidRPr="002A6B44">
        <w:rPr>
          <w:color w:val="auto"/>
          <w:lang w:val="es-ES"/>
        </w:rPr>
        <w:t>normas técnicas que sean mutualmente compatibles</w:t>
      </w:r>
      <w:r w:rsidR="00F94E6A" w:rsidRPr="002A6B44">
        <w:rPr>
          <w:color w:val="auto"/>
          <w:lang w:val="es-ES"/>
        </w:rPr>
        <w:t>.</w:t>
      </w:r>
    </w:p>
    <w:p w:rsidR="00F94E6A" w:rsidRPr="002A6B44" w:rsidRDefault="00807FF4" w:rsidP="00AD7B9F">
      <w:pPr>
        <w:spacing w:after="0" w:line="240" w:lineRule="auto"/>
        <w:rPr>
          <w:color w:val="auto"/>
          <w:lang w:val="es-ES"/>
        </w:rPr>
      </w:pPr>
      <w:r w:rsidRPr="002A6B44">
        <w:rPr>
          <w:color w:val="auto"/>
          <w:lang w:val="es-ES"/>
        </w:rPr>
        <w:t>Por lo tanto la</w:t>
      </w:r>
      <w:r w:rsidR="00F94E6A" w:rsidRPr="002A6B44">
        <w:rPr>
          <w:color w:val="auto"/>
          <w:lang w:val="es-ES"/>
        </w:rPr>
        <w:t xml:space="preserve"> </w:t>
      </w:r>
      <w:r w:rsidR="007629D6" w:rsidRPr="002A6B44">
        <w:rPr>
          <w:color w:val="auto"/>
          <w:lang w:val="es-ES"/>
        </w:rPr>
        <w:t>UK IPO</w:t>
      </w:r>
      <w:r w:rsidR="00F94E6A" w:rsidRPr="002A6B44">
        <w:rPr>
          <w:color w:val="auto"/>
          <w:lang w:val="es-ES"/>
        </w:rPr>
        <w:t xml:space="preserve"> </w:t>
      </w:r>
      <w:r w:rsidR="005D7924" w:rsidRPr="002A6B44">
        <w:rPr>
          <w:color w:val="auto"/>
          <w:lang w:val="es-ES"/>
        </w:rPr>
        <w:t>dese</w:t>
      </w:r>
      <w:r w:rsidRPr="002A6B44">
        <w:rPr>
          <w:color w:val="auto"/>
          <w:lang w:val="es-ES"/>
        </w:rPr>
        <w:t xml:space="preserve">a </w:t>
      </w:r>
      <w:r w:rsidR="005D7924" w:rsidRPr="002A6B44">
        <w:rPr>
          <w:color w:val="auto"/>
          <w:lang w:val="es-ES"/>
        </w:rPr>
        <w:t>que la Norma</w:t>
      </w:r>
      <w:r w:rsidR="00F94E6A" w:rsidRPr="002A6B44">
        <w:rPr>
          <w:color w:val="auto"/>
          <w:lang w:val="es-ES"/>
        </w:rPr>
        <w:t xml:space="preserve"> ST.96 </w:t>
      </w:r>
      <w:r w:rsidR="00433222" w:rsidRPr="002A6B44">
        <w:rPr>
          <w:color w:val="auto"/>
          <w:lang w:val="es-ES"/>
        </w:rPr>
        <w:t xml:space="preserve">se extienda </w:t>
      </w:r>
      <w:r w:rsidR="005D7924" w:rsidRPr="002A6B44">
        <w:rPr>
          <w:color w:val="auto"/>
          <w:lang w:val="es-ES"/>
        </w:rPr>
        <w:t>a las</w:t>
      </w:r>
      <w:r w:rsidR="00F94E6A" w:rsidRPr="002A6B44">
        <w:rPr>
          <w:color w:val="auto"/>
          <w:lang w:val="es-ES"/>
        </w:rPr>
        <w:t xml:space="preserve"> obras huérfanas.  </w:t>
      </w:r>
      <w:r w:rsidR="005D7924" w:rsidRPr="002A6B44">
        <w:rPr>
          <w:color w:val="auto"/>
          <w:lang w:val="es-ES"/>
        </w:rPr>
        <w:t>La UK </w:t>
      </w:r>
      <w:r w:rsidR="007629D6" w:rsidRPr="002A6B44">
        <w:rPr>
          <w:color w:val="auto"/>
          <w:lang w:val="es-ES"/>
        </w:rPr>
        <w:t>IPO</w:t>
      </w:r>
      <w:r w:rsidR="00F94E6A" w:rsidRPr="002A6B44">
        <w:rPr>
          <w:color w:val="auto"/>
          <w:lang w:val="es-ES"/>
        </w:rPr>
        <w:t xml:space="preserve"> ha </w:t>
      </w:r>
      <w:r w:rsidR="005D7924" w:rsidRPr="002A6B44">
        <w:rPr>
          <w:color w:val="auto"/>
          <w:lang w:val="es-ES"/>
        </w:rPr>
        <w:t xml:space="preserve">preparado un proyecto de esquema </w:t>
      </w:r>
      <w:r w:rsidR="00F94E6A" w:rsidRPr="002A6B44">
        <w:rPr>
          <w:color w:val="auto"/>
          <w:lang w:val="es-ES"/>
        </w:rPr>
        <w:t xml:space="preserve">XML </w:t>
      </w:r>
      <w:r w:rsidR="005D7924" w:rsidRPr="002A6B44">
        <w:rPr>
          <w:color w:val="auto"/>
          <w:lang w:val="es-ES"/>
        </w:rPr>
        <w:t>basado en la Norma</w:t>
      </w:r>
      <w:r w:rsidR="00F94E6A" w:rsidRPr="002A6B44">
        <w:rPr>
          <w:color w:val="auto"/>
          <w:lang w:val="es-ES"/>
        </w:rPr>
        <w:t xml:space="preserve"> ST.96 </w:t>
      </w:r>
      <w:r w:rsidR="005D7924" w:rsidRPr="002A6B44">
        <w:rPr>
          <w:color w:val="auto"/>
          <w:lang w:val="es-ES"/>
        </w:rPr>
        <w:t>para su examen por el grupo de expertos del</w:t>
      </w:r>
      <w:r w:rsidR="00F94E6A" w:rsidRPr="002A6B44">
        <w:rPr>
          <w:color w:val="auto"/>
          <w:lang w:val="es-ES"/>
        </w:rPr>
        <w:t xml:space="preserve"> CWS, </w:t>
      </w:r>
      <w:r w:rsidR="005D7924" w:rsidRPr="002A6B44">
        <w:rPr>
          <w:color w:val="auto"/>
          <w:lang w:val="es-ES"/>
        </w:rPr>
        <w:t>es decir, el Equipo Técnico</w:t>
      </w:r>
      <w:r w:rsidR="00F94E6A" w:rsidRPr="002A6B44">
        <w:rPr>
          <w:color w:val="auto"/>
          <w:lang w:val="es-ES"/>
        </w:rPr>
        <w:t xml:space="preserve"> XML4IP, </w:t>
      </w:r>
      <w:r w:rsidR="005D7924" w:rsidRPr="002A6B44">
        <w:rPr>
          <w:color w:val="auto"/>
          <w:lang w:val="es-ES"/>
        </w:rPr>
        <w:t>s</w:t>
      </w:r>
      <w:r w:rsidR="00F94E6A" w:rsidRPr="002A6B44">
        <w:rPr>
          <w:color w:val="auto"/>
          <w:lang w:val="es-ES"/>
        </w:rPr>
        <w:t>i e</w:t>
      </w:r>
      <w:r w:rsidR="005D7924" w:rsidRPr="002A6B44">
        <w:rPr>
          <w:color w:val="auto"/>
          <w:lang w:val="es-ES"/>
        </w:rPr>
        <w:t>l</w:t>
      </w:r>
      <w:r w:rsidR="00F94E6A" w:rsidRPr="002A6B44">
        <w:rPr>
          <w:color w:val="auto"/>
          <w:lang w:val="es-ES"/>
        </w:rPr>
        <w:t xml:space="preserve"> CWS ap</w:t>
      </w:r>
      <w:r w:rsidR="005D7924" w:rsidRPr="002A6B44">
        <w:rPr>
          <w:color w:val="auto"/>
          <w:lang w:val="es-ES"/>
        </w:rPr>
        <w:t>rueba la presente</w:t>
      </w:r>
      <w:r w:rsidR="00F94E6A" w:rsidRPr="002A6B44">
        <w:rPr>
          <w:color w:val="auto"/>
          <w:lang w:val="es-ES"/>
        </w:rPr>
        <w:t xml:space="preserve"> propuesta (</w:t>
      </w:r>
      <w:r w:rsidR="005D7924" w:rsidRPr="002A6B44">
        <w:rPr>
          <w:color w:val="auto"/>
          <w:lang w:val="es-ES"/>
        </w:rPr>
        <w:t>véase el Anexo</w:t>
      </w:r>
      <w:r w:rsidR="00F94E6A" w:rsidRPr="002A6B44">
        <w:rPr>
          <w:color w:val="auto"/>
          <w:lang w:val="es-ES"/>
        </w:rPr>
        <w:t xml:space="preserve"> </w:t>
      </w:r>
      <w:r w:rsidR="005D7924" w:rsidRPr="002A6B44">
        <w:rPr>
          <w:color w:val="auto"/>
          <w:lang w:val="es-ES"/>
        </w:rPr>
        <w:t xml:space="preserve">de la presente </w:t>
      </w:r>
      <w:r w:rsidR="00F94E6A" w:rsidRPr="002A6B44">
        <w:rPr>
          <w:color w:val="auto"/>
          <w:lang w:val="es-ES"/>
        </w:rPr>
        <w:t>propuesta.)</w:t>
      </w:r>
    </w:p>
    <w:p w:rsidR="00F94E6A" w:rsidRPr="002A6B44" w:rsidRDefault="00F94E6A" w:rsidP="00AD7B9F">
      <w:pPr>
        <w:spacing w:after="0" w:line="240" w:lineRule="auto"/>
        <w:ind w:left="5529" w:firstLine="0"/>
        <w:rPr>
          <w:rFonts w:eastAsia="SimSun"/>
          <w:caps/>
          <w:color w:val="auto"/>
          <w:lang w:val="es-ES" w:eastAsia="zh-CN"/>
        </w:rPr>
      </w:pPr>
    </w:p>
    <w:p w:rsidR="00F94E6A" w:rsidRPr="002A6B44" w:rsidRDefault="00F94E6A" w:rsidP="00AD7B9F">
      <w:pPr>
        <w:spacing w:after="0" w:line="240" w:lineRule="auto"/>
        <w:ind w:left="5529" w:firstLine="0"/>
        <w:rPr>
          <w:rFonts w:eastAsia="SimSun"/>
          <w:caps/>
          <w:color w:val="auto"/>
          <w:lang w:val="es-ES" w:eastAsia="zh-CN"/>
        </w:rPr>
      </w:pPr>
    </w:p>
    <w:p w:rsidR="00AD7B9F" w:rsidRDefault="00F94E6A" w:rsidP="00AD7B9F">
      <w:pPr>
        <w:spacing w:after="0" w:line="240" w:lineRule="auto"/>
        <w:ind w:left="5529" w:hanging="11"/>
        <w:rPr>
          <w:lang w:val="es-ES"/>
        </w:rPr>
      </w:pPr>
      <w:r w:rsidRPr="002A6B44">
        <w:rPr>
          <w:lang w:val="es-ES"/>
        </w:rPr>
        <w:t>[Sigue el Anexo de la propuesta]</w:t>
      </w:r>
    </w:p>
    <w:p w:rsidR="00ED79A6" w:rsidRPr="00AD7B9F" w:rsidRDefault="009D7E45" w:rsidP="00AD7B9F">
      <w:pPr>
        <w:spacing w:after="0" w:line="240" w:lineRule="auto"/>
        <w:rPr>
          <w:noProof/>
          <w:sz w:val="20"/>
          <w:lang w:val="es-ES" w:eastAsia="en-US"/>
        </w:rPr>
      </w:pPr>
      <w:r w:rsidRPr="002A6B44">
        <w:rPr>
          <w:caps/>
          <w:lang w:val="es-ES"/>
        </w:rPr>
        <w:br w:type="page"/>
      </w:r>
    </w:p>
    <w:p w:rsidR="005D72A1" w:rsidRPr="002A6B44" w:rsidRDefault="00A9124F" w:rsidP="00AD7B9F">
      <w:pPr>
        <w:spacing w:after="220" w:line="240" w:lineRule="auto"/>
        <w:ind w:left="11" w:hanging="11"/>
        <w:rPr>
          <w:b/>
          <w:noProof/>
          <w:lang w:val="es-ES" w:eastAsia="en-US"/>
        </w:rPr>
      </w:pPr>
      <w:bookmarkStart w:id="1" w:name="annex_proposal_xml_sch_orph_works"/>
      <w:r w:rsidRPr="002A6B44">
        <w:rPr>
          <w:b/>
          <w:noProof/>
          <w:lang w:val="es-ES" w:eastAsia="en-US"/>
        </w:rPr>
        <w:lastRenderedPageBreak/>
        <w:t xml:space="preserve">ANEXO </w:t>
      </w:r>
      <w:r w:rsidR="00020101" w:rsidRPr="002A6B44">
        <w:rPr>
          <w:b/>
          <w:noProof/>
          <w:lang w:val="es-ES" w:eastAsia="en-US"/>
        </w:rPr>
        <w:t>DE LA PROPUESTA</w:t>
      </w:r>
    </w:p>
    <w:p w:rsidR="009D7E45" w:rsidRPr="002A6B44" w:rsidRDefault="002F0BF1" w:rsidP="002F0BF1">
      <w:pPr>
        <w:spacing w:after="0" w:line="240" w:lineRule="auto"/>
        <w:ind w:left="11" w:hanging="11"/>
        <w:rPr>
          <w:noProof/>
          <w:sz w:val="20"/>
          <w:lang w:val="es-ES" w:eastAsia="en-US"/>
        </w:rPr>
      </w:pPr>
      <w:r w:rsidRPr="002A6B44">
        <w:rPr>
          <w:b/>
          <w:cap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C2C7FBF" wp14:editId="322D9B41">
            <wp:simplePos x="0" y="0"/>
            <wp:positionH relativeFrom="column">
              <wp:posOffset>1414145</wp:posOffset>
            </wp:positionH>
            <wp:positionV relativeFrom="paragraph">
              <wp:posOffset>668655</wp:posOffset>
            </wp:positionV>
            <wp:extent cx="2945765" cy="7667625"/>
            <wp:effectExtent l="0" t="0" r="6985" b="9525"/>
            <wp:wrapTopAndBottom/>
            <wp:docPr id="2" name="Picture 2" descr="L:\DAT2\ORGstm\SHARED\CWS-5\5-4 (xml in st.96)\as received\cws_5_4_en_annex1_append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AT2\ORGstm\SHARED\CWS-5\5-4 (xml in st.96)\as received\cws_5_4_en_annex1_append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"/>
                    <a:stretch/>
                  </pic:blipFill>
                  <pic:spPr bwMode="auto">
                    <a:xfrm>
                      <a:off x="0" y="0"/>
                      <a:ext cx="294576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01" w:rsidRPr="002A6B44">
        <w:rPr>
          <w:b/>
          <w:noProof/>
          <w:sz w:val="20"/>
          <w:lang w:val="es-ES" w:eastAsia="en-US"/>
        </w:rPr>
        <w:t>APÉNDICE</w:t>
      </w:r>
      <w:r w:rsidR="009D292B" w:rsidRPr="002A6B44">
        <w:rPr>
          <w:b/>
          <w:noProof/>
          <w:sz w:val="20"/>
          <w:lang w:val="es-ES" w:eastAsia="en-US"/>
        </w:rPr>
        <w:t xml:space="preserve"> A </w:t>
      </w:r>
      <w:r w:rsidR="00020101" w:rsidRPr="002A6B44">
        <w:rPr>
          <w:b/>
          <w:noProof/>
          <w:sz w:val="20"/>
          <w:lang w:val="es-ES" w:eastAsia="en-US"/>
        </w:rPr>
        <w:t>–</w:t>
      </w:r>
      <w:r w:rsidR="009D292B" w:rsidRPr="002A6B44">
        <w:rPr>
          <w:b/>
          <w:noProof/>
          <w:sz w:val="20"/>
          <w:lang w:val="es-ES" w:eastAsia="en-US"/>
        </w:rPr>
        <w:t xml:space="preserve"> </w:t>
      </w:r>
      <w:r w:rsidR="00020101" w:rsidRPr="002A6B44">
        <w:rPr>
          <w:noProof/>
          <w:sz w:val="20"/>
          <w:lang w:val="es-ES" w:eastAsia="en-US"/>
        </w:rPr>
        <w:t>PROYECTO DE ESQUEMA</w:t>
      </w:r>
      <w:r w:rsidR="009D292B" w:rsidRPr="002A6B44">
        <w:rPr>
          <w:noProof/>
          <w:sz w:val="20"/>
          <w:lang w:val="es-ES" w:eastAsia="en-US"/>
        </w:rPr>
        <w:t xml:space="preserve"> XML </w:t>
      </w:r>
      <w:r w:rsidR="00020101" w:rsidRPr="002A6B44">
        <w:rPr>
          <w:noProof/>
          <w:sz w:val="20"/>
          <w:lang w:val="es-ES" w:eastAsia="en-US"/>
        </w:rPr>
        <w:t>PARA OBRAS HUÉRFANAS</w:t>
      </w:r>
      <w:r w:rsidR="00BB7F69" w:rsidRPr="002A6B44">
        <w:rPr>
          <w:noProof/>
          <w:sz w:val="20"/>
          <w:lang w:val="es-ES" w:eastAsia="en-US"/>
        </w:rPr>
        <w:t xml:space="preserve"> </w:t>
      </w:r>
      <w:hyperlink r:id="rId10" w:history="1">
        <w:r w:rsidR="00ED79A6" w:rsidRPr="002A6B44">
          <w:rPr>
            <w:rStyle w:val="Hyperlink"/>
            <w:noProof/>
            <w:sz w:val="20"/>
            <w:lang w:val="es-ES" w:eastAsia="en-US"/>
          </w:rPr>
          <w:t>(</w:t>
        </w:r>
        <w:r w:rsidR="00BB5818" w:rsidRPr="002A6B44">
          <w:rPr>
            <w:rStyle w:val="Hyperlink"/>
            <w:noProof/>
            <w:sz w:val="20"/>
            <w:lang w:val="es-ES" w:eastAsia="en-US"/>
          </w:rPr>
          <w:t>OrphanWorkSchema_D</w:t>
        </w:r>
        <w:r w:rsidR="005D72A1" w:rsidRPr="002A6B44">
          <w:rPr>
            <w:rStyle w:val="Hyperlink"/>
            <w:noProof/>
            <w:sz w:val="20"/>
            <w:lang w:val="es-ES" w:eastAsia="en-US"/>
          </w:rPr>
          <w:t>raft.zip</w:t>
        </w:r>
        <w:r w:rsidR="00ED79A6" w:rsidRPr="002A6B44">
          <w:rPr>
            <w:rStyle w:val="Hyperlink"/>
            <w:noProof/>
            <w:sz w:val="20"/>
            <w:lang w:val="es-ES" w:eastAsia="en-US"/>
          </w:rPr>
          <w:t>)</w:t>
        </w:r>
      </w:hyperlink>
      <w:bookmarkStart w:id="2" w:name="_GoBack"/>
      <w:bookmarkEnd w:id="2"/>
    </w:p>
    <w:p w:rsidR="00BB7F69" w:rsidRPr="002A6B44" w:rsidRDefault="00020101" w:rsidP="002F0BF1">
      <w:pPr>
        <w:spacing w:before="180" w:after="0" w:line="240" w:lineRule="auto"/>
        <w:ind w:left="11" w:hanging="11"/>
        <w:rPr>
          <w:noProof/>
          <w:sz w:val="20"/>
          <w:lang w:val="es-ES" w:eastAsia="en-US"/>
        </w:rPr>
      </w:pPr>
      <w:r w:rsidRPr="002A6B44">
        <w:rPr>
          <w:b/>
          <w:noProof/>
          <w:sz w:val="20"/>
          <w:lang w:val="es-ES" w:eastAsia="en-US"/>
        </w:rPr>
        <w:t>APÉNDICE</w:t>
      </w:r>
      <w:r w:rsidR="009D292B" w:rsidRPr="002A6B44">
        <w:rPr>
          <w:b/>
          <w:noProof/>
          <w:sz w:val="20"/>
          <w:lang w:val="es-ES" w:eastAsia="en-US"/>
        </w:rPr>
        <w:t xml:space="preserve"> B - </w:t>
      </w:r>
      <w:r w:rsidR="009D292B" w:rsidRPr="002A6B44">
        <w:rPr>
          <w:noProof/>
          <w:sz w:val="20"/>
          <w:lang w:val="es-ES" w:eastAsia="en-US"/>
        </w:rPr>
        <w:t>DIAGRAM</w:t>
      </w:r>
      <w:r w:rsidRPr="002A6B44">
        <w:rPr>
          <w:noProof/>
          <w:sz w:val="20"/>
          <w:lang w:val="es-ES" w:eastAsia="en-US"/>
        </w:rPr>
        <w:t>A</w:t>
      </w:r>
      <w:r w:rsidR="009D292B" w:rsidRPr="002A6B44">
        <w:rPr>
          <w:noProof/>
          <w:sz w:val="20"/>
          <w:lang w:val="es-ES" w:eastAsia="en-US"/>
        </w:rPr>
        <w:t xml:space="preserve"> </w:t>
      </w:r>
      <w:r w:rsidRPr="002A6B44">
        <w:rPr>
          <w:noProof/>
          <w:sz w:val="20"/>
          <w:lang w:val="es-ES" w:eastAsia="en-US"/>
        </w:rPr>
        <w:t>DE</w:t>
      </w:r>
      <w:r w:rsidR="00E36FC2" w:rsidRPr="002A6B44">
        <w:rPr>
          <w:noProof/>
          <w:sz w:val="20"/>
          <w:lang w:val="es-ES" w:eastAsia="en-US"/>
        </w:rPr>
        <w:t>L</w:t>
      </w:r>
      <w:r w:rsidR="009D292B" w:rsidRPr="002A6B44">
        <w:rPr>
          <w:noProof/>
          <w:sz w:val="20"/>
          <w:lang w:val="es-ES" w:eastAsia="en-US"/>
        </w:rPr>
        <w:t xml:space="preserve"> </w:t>
      </w:r>
      <w:r w:rsidRPr="002A6B44">
        <w:rPr>
          <w:noProof/>
          <w:sz w:val="20"/>
          <w:lang w:val="es-ES" w:eastAsia="en-US"/>
        </w:rPr>
        <w:t>PROYECTO DE ESQUEMA</w:t>
      </w:r>
      <w:r w:rsidR="009D292B" w:rsidRPr="002A6B44">
        <w:rPr>
          <w:noProof/>
          <w:sz w:val="20"/>
          <w:lang w:val="es-ES" w:eastAsia="en-US"/>
        </w:rPr>
        <w:t xml:space="preserve"> XML </w:t>
      </w:r>
      <w:r w:rsidRPr="002A6B44">
        <w:rPr>
          <w:noProof/>
          <w:sz w:val="20"/>
          <w:lang w:val="es-ES" w:eastAsia="en-US"/>
        </w:rPr>
        <w:t>PARA OBRAS HUÉRFANAS</w:t>
      </w:r>
      <w:bookmarkEnd w:id="1"/>
    </w:p>
    <w:p w:rsidR="002A6B44" w:rsidRDefault="002A6B44" w:rsidP="002F0BF1">
      <w:pPr>
        <w:spacing w:after="0" w:line="240" w:lineRule="auto"/>
        <w:ind w:left="5529" w:hanging="11"/>
        <w:rPr>
          <w:lang w:val="es-ES"/>
        </w:rPr>
      </w:pPr>
    </w:p>
    <w:p w:rsidR="002F0BF1" w:rsidRDefault="002F0BF1" w:rsidP="002F0BF1">
      <w:pPr>
        <w:spacing w:after="0" w:line="240" w:lineRule="auto"/>
        <w:ind w:left="5529" w:hanging="11"/>
        <w:rPr>
          <w:lang w:val="es-ES"/>
        </w:rPr>
      </w:pPr>
    </w:p>
    <w:p w:rsidR="00ED79A6" w:rsidRPr="002A6B44" w:rsidRDefault="00ED79A6" w:rsidP="002F0BF1">
      <w:pPr>
        <w:spacing w:after="0" w:line="240" w:lineRule="auto"/>
        <w:ind w:left="5529" w:hanging="11"/>
        <w:rPr>
          <w:noProof/>
          <w:sz w:val="20"/>
          <w:lang w:val="es-ES" w:eastAsia="en-US"/>
        </w:rPr>
      </w:pPr>
      <w:r w:rsidRPr="002A6B44">
        <w:rPr>
          <w:lang w:val="es-ES"/>
        </w:rPr>
        <w:t>[</w:t>
      </w:r>
      <w:r w:rsidR="00020101" w:rsidRPr="002A6B44">
        <w:rPr>
          <w:lang w:val="es-ES"/>
        </w:rPr>
        <w:t>Sigue el An</w:t>
      </w:r>
      <w:r w:rsidRPr="002A6B44">
        <w:rPr>
          <w:lang w:val="es-ES"/>
        </w:rPr>
        <w:t>ex</w:t>
      </w:r>
      <w:r w:rsidR="00020101" w:rsidRPr="002A6B44">
        <w:rPr>
          <w:lang w:val="es-ES"/>
        </w:rPr>
        <w:t>o</w:t>
      </w:r>
      <w:r w:rsidRPr="002A6B44">
        <w:rPr>
          <w:lang w:val="es-ES"/>
        </w:rPr>
        <w:t xml:space="preserve"> II]</w:t>
      </w:r>
    </w:p>
    <w:sectPr w:rsidR="00ED79A6" w:rsidRPr="002A6B44" w:rsidSect="002A6B4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A3" w:rsidRDefault="000B19A3" w:rsidP="005B1CDE">
      <w:pPr>
        <w:spacing w:after="0" w:line="240" w:lineRule="auto"/>
      </w:pPr>
      <w:r>
        <w:separator/>
      </w:r>
    </w:p>
  </w:endnote>
  <w:endnote w:type="continuationSeparator" w:id="0">
    <w:p w:rsidR="000B19A3" w:rsidRDefault="000B19A3" w:rsidP="005B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A3" w:rsidRDefault="000B19A3" w:rsidP="005B1CDE">
      <w:pPr>
        <w:spacing w:after="0" w:line="240" w:lineRule="auto"/>
      </w:pPr>
      <w:r>
        <w:separator/>
      </w:r>
    </w:p>
  </w:footnote>
  <w:footnote w:type="continuationSeparator" w:id="0">
    <w:p w:rsidR="000B19A3" w:rsidRDefault="000B19A3" w:rsidP="005B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36FC2" w:rsidRDefault="00DF2046" w:rsidP="009D7E45">
    <w:pPr>
      <w:spacing w:after="0"/>
      <w:jc w:val="right"/>
      <w:rPr>
        <w:lang w:val="es-ES"/>
      </w:rPr>
    </w:pPr>
    <w:r w:rsidRPr="00E36FC2">
      <w:rPr>
        <w:lang w:val="es-ES"/>
      </w:rPr>
      <w:t>CWS/</w:t>
    </w:r>
    <w:r w:rsidR="005F1F46" w:rsidRPr="00E36FC2">
      <w:rPr>
        <w:lang w:val="es-ES"/>
      </w:rPr>
      <w:t>5</w:t>
    </w:r>
    <w:r w:rsidRPr="00E36FC2">
      <w:rPr>
        <w:lang w:val="es-ES"/>
      </w:rPr>
      <w:t>/4</w:t>
    </w:r>
  </w:p>
  <w:p w:rsidR="00EC4E49" w:rsidRPr="00E36FC2" w:rsidRDefault="005F1F46" w:rsidP="009D7E45">
    <w:pPr>
      <w:spacing w:after="0"/>
      <w:jc w:val="right"/>
      <w:rPr>
        <w:lang w:val="es-ES"/>
      </w:rPr>
    </w:pPr>
    <w:r w:rsidRPr="00E36FC2">
      <w:rPr>
        <w:lang w:val="es-ES"/>
      </w:rPr>
      <w:t>Anex</w:t>
    </w:r>
    <w:r w:rsidR="00E36FC2" w:rsidRPr="00E36FC2">
      <w:rPr>
        <w:lang w:val="es-ES"/>
      </w:rPr>
      <w:t>o</w:t>
    </w:r>
    <w:r w:rsidRPr="00E36FC2">
      <w:rPr>
        <w:lang w:val="es-ES"/>
      </w:rPr>
      <w:t xml:space="preserve"> I, </w:t>
    </w:r>
    <w:r w:rsidR="00E36FC2" w:rsidRPr="00E36FC2">
      <w:rPr>
        <w:lang w:val="es-ES"/>
      </w:rPr>
      <w:t>página</w:t>
    </w:r>
    <w:r w:rsidR="00DF2046" w:rsidRPr="00E36FC2">
      <w:rPr>
        <w:lang w:val="es-ES"/>
      </w:rPr>
      <w:t xml:space="preserve"> </w:t>
    </w:r>
    <w:r w:rsidR="00DF2046" w:rsidRPr="00E36FC2">
      <w:rPr>
        <w:lang w:val="es-ES"/>
      </w:rPr>
      <w:fldChar w:fldCharType="begin"/>
    </w:r>
    <w:r w:rsidR="00DF2046" w:rsidRPr="00E36FC2">
      <w:rPr>
        <w:lang w:val="es-ES"/>
      </w:rPr>
      <w:instrText xml:space="preserve"> PAGE  \* MERGEFORMAT </w:instrText>
    </w:r>
    <w:r w:rsidR="00DF2046" w:rsidRPr="00E36FC2">
      <w:rPr>
        <w:lang w:val="es-ES"/>
      </w:rPr>
      <w:fldChar w:fldCharType="separate"/>
    </w:r>
    <w:r w:rsidR="008D0510">
      <w:rPr>
        <w:noProof/>
        <w:lang w:val="es-ES"/>
      </w:rPr>
      <w:t>2</w:t>
    </w:r>
    <w:r w:rsidR="00DF2046" w:rsidRPr="00E36FC2">
      <w:rPr>
        <w:lang w:val="es-ES"/>
      </w:rPr>
      <w:fldChar w:fldCharType="end"/>
    </w:r>
  </w:p>
  <w:p w:rsidR="00412BBE" w:rsidRDefault="008D0510" w:rsidP="009D7E45">
    <w:pPr>
      <w:spacing w:after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45" w:rsidRPr="002A6B44" w:rsidRDefault="009D7E45" w:rsidP="009D7E45">
    <w:pPr>
      <w:spacing w:after="0"/>
      <w:jc w:val="right"/>
      <w:rPr>
        <w:lang w:val="es-ES"/>
      </w:rPr>
    </w:pPr>
    <w:r w:rsidRPr="002A6B44">
      <w:rPr>
        <w:lang w:val="es-ES"/>
      </w:rPr>
      <w:t>CWS/</w:t>
    </w:r>
    <w:r w:rsidR="005F1F46" w:rsidRPr="002A6B44">
      <w:rPr>
        <w:lang w:val="es-ES"/>
      </w:rPr>
      <w:t>5</w:t>
    </w:r>
    <w:r w:rsidRPr="002A6B44">
      <w:rPr>
        <w:lang w:val="es-ES"/>
      </w:rPr>
      <w:t>/4</w:t>
    </w:r>
  </w:p>
  <w:p w:rsidR="009D7E45" w:rsidRPr="002A6B44" w:rsidRDefault="009D7E45" w:rsidP="009D7E45">
    <w:pPr>
      <w:spacing w:after="0"/>
      <w:jc w:val="right"/>
      <w:rPr>
        <w:lang w:val="es-ES"/>
      </w:rPr>
    </w:pPr>
    <w:r w:rsidRPr="002A6B44">
      <w:rPr>
        <w:lang w:val="es-ES"/>
      </w:rPr>
      <w:t>ANEX</w:t>
    </w:r>
    <w:r w:rsidR="002A6B44" w:rsidRPr="002A6B44">
      <w:rPr>
        <w:lang w:val="es-ES"/>
      </w:rPr>
      <w:t>O</w:t>
    </w:r>
    <w:r w:rsidR="005F1F46" w:rsidRPr="002A6B44">
      <w:rPr>
        <w:lang w:val="es-ES"/>
      </w:rPr>
      <w:t xml:space="preserve"> I</w:t>
    </w:r>
  </w:p>
  <w:p w:rsidR="009D7E45" w:rsidRPr="002A6B44" w:rsidRDefault="009D7E45" w:rsidP="009D7E45">
    <w:pPr>
      <w:spacing w:after="0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AC6"/>
    <w:multiLevelType w:val="hybridMultilevel"/>
    <w:tmpl w:val="A566C45C"/>
    <w:lvl w:ilvl="0" w:tplc="949A499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4E39C">
      <w:start w:val="1"/>
      <w:numFmt w:val="lowerLetter"/>
      <w:lvlText w:val="(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E4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17FE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AC18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8CB8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41A8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2606A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D1E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FB310E"/>
    <w:multiLevelType w:val="hybridMultilevel"/>
    <w:tmpl w:val="6650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F3D51"/>
    <w:multiLevelType w:val="hybridMultilevel"/>
    <w:tmpl w:val="F572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Daltrey">
    <w15:presenceInfo w15:providerId="AD" w15:userId="S-1-5-21-448539723-1284227242-839522115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03D92"/>
    <w:rsid w:val="000107E6"/>
    <w:rsid w:val="00020101"/>
    <w:rsid w:val="000235F0"/>
    <w:rsid w:val="000300F0"/>
    <w:rsid w:val="000374FC"/>
    <w:rsid w:val="000468C8"/>
    <w:rsid w:val="00046DAF"/>
    <w:rsid w:val="000534BD"/>
    <w:rsid w:val="00070FF4"/>
    <w:rsid w:val="00075A80"/>
    <w:rsid w:val="00082B41"/>
    <w:rsid w:val="00090DBF"/>
    <w:rsid w:val="00095302"/>
    <w:rsid w:val="000A39E5"/>
    <w:rsid w:val="000B19A3"/>
    <w:rsid w:val="000C7178"/>
    <w:rsid w:val="000D6440"/>
    <w:rsid w:val="000F2AA1"/>
    <w:rsid w:val="0010184A"/>
    <w:rsid w:val="001129C5"/>
    <w:rsid w:val="001158F3"/>
    <w:rsid w:val="00117C52"/>
    <w:rsid w:val="00124B6E"/>
    <w:rsid w:val="0016053D"/>
    <w:rsid w:val="0017465C"/>
    <w:rsid w:val="00185477"/>
    <w:rsid w:val="001869EA"/>
    <w:rsid w:val="00195025"/>
    <w:rsid w:val="001A43C6"/>
    <w:rsid w:val="001A7698"/>
    <w:rsid w:val="001C3B56"/>
    <w:rsid w:val="001C5DA5"/>
    <w:rsid w:val="001D2FF6"/>
    <w:rsid w:val="001D4DD8"/>
    <w:rsid w:val="001E19E5"/>
    <w:rsid w:val="001E7469"/>
    <w:rsid w:val="00242A28"/>
    <w:rsid w:val="00245D81"/>
    <w:rsid w:val="00255220"/>
    <w:rsid w:val="002628E5"/>
    <w:rsid w:val="00263958"/>
    <w:rsid w:val="00280F1E"/>
    <w:rsid w:val="00290C62"/>
    <w:rsid w:val="002A2847"/>
    <w:rsid w:val="002A41C1"/>
    <w:rsid w:val="002A6B44"/>
    <w:rsid w:val="002B3CF3"/>
    <w:rsid w:val="002B5B35"/>
    <w:rsid w:val="002C2A5C"/>
    <w:rsid w:val="002C7F33"/>
    <w:rsid w:val="002F0BF1"/>
    <w:rsid w:val="00300E9F"/>
    <w:rsid w:val="003029B9"/>
    <w:rsid w:val="00303938"/>
    <w:rsid w:val="003103F3"/>
    <w:rsid w:val="003144B3"/>
    <w:rsid w:val="0031639B"/>
    <w:rsid w:val="00327D8F"/>
    <w:rsid w:val="0033300B"/>
    <w:rsid w:val="0033785C"/>
    <w:rsid w:val="003515B6"/>
    <w:rsid w:val="003619CF"/>
    <w:rsid w:val="003703F7"/>
    <w:rsid w:val="00383D5E"/>
    <w:rsid w:val="003927E7"/>
    <w:rsid w:val="00395459"/>
    <w:rsid w:val="00397545"/>
    <w:rsid w:val="003A10D2"/>
    <w:rsid w:val="003B69D5"/>
    <w:rsid w:val="003B774A"/>
    <w:rsid w:val="003C093B"/>
    <w:rsid w:val="003D6495"/>
    <w:rsid w:val="003E2ED9"/>
    <w:rsid w:val="003E69F9"/>
    <w:rsid w:val="003F34F7"/>
    <w:rsid w:val="003F47C4"/>
    <w:rsid w:val="00402D6E"/>
    <w:rsid w:val="00405962"/>
    <w:rsid w:val="00406083"/>
    <w:rsid w:val="0041241B"/>
    <w:rsid w:val="00416155"/>
    <w:rsid w:val="004266E0"/>
    <w:rsid w:val="00433222"/>
    <w:rsid w:val="004345EA"/>
    <w:rsid w:val="00443B0B"/>
    <w:rsid w:val="00464BD0"/>
    <w:rsid w:val="004822B1"/>
    <w:rsid w:val="00483E39"/>
    <w:rsid w:val="0049566C"/>
    <w:rsid w:val="004A1BDB"/>
    <w:rsid w:val="004A3137"/>
    <w:rsid w:val="004C31E6"/>
    <w:rsid w:val="004C62A0"/>
    <w:rsid w:val="004C7E9F"/>
    <w:rsid w:val="004D2AC1"/>
    <w:rsid w:val="004F124E"/>
    <w:rsid w:val="00506BDD"/>
    <w:rsid w:val="005070ED"/>
    <w:rsid w:val="005231B8"/>
    <w:rsid w:val="0053218B"/>
    <w:rsid w:val="00551DA6"/>
    <w:rsid w:val="005535D2"/>
    <w:rsid w:val="005554CF"/>
    <w:rsid w:val="00562DA4"/>
    <w:rsid w:val="00565B5E"/>
    <w:rsid w:val="0056797F"/>
    <w:rsid w:val="00576C4C"/>
    <w:rsid w:val="005850C5"/>
    <w:rsid w:val="005A64A0"/>
    <w:rsid w:val="005B1CDE"/>
    <w:rsid w:val="005B59C7"/>
    <w:rsid w:val="005B5BDF"/>
    <w:rsid w:val="005C056B"/>
    <w:rsid w:val="005C5494"/>
    <w:rsid w:val="005C6080"/>
    <w:rsid w:val="005C6697"/>
    <w:rsid w:val="005C7DDD"/>
    <w:rsid w:val="005D72A1"/>
    <w:rsid w:val="005D7924"/>
    <w:rsid w:val="005E49EF"/>
    <w:rsid w:val="005F1F46"/>
    <w:rsid w:val="00605C69"/>
    <w:rsid w:val="0061400D"/>
    <w:rsid w:val="00614751"/>
    <w:rsid w:val="00614E9D"/>
    <w:rsid w:val="006220A5"/>
    <w:rsid w:val="00657F25"/>
    <w:rsid w:val="006640DC"/>
    <w:rsid w:val="0068366F"/>
    <w:rsid w:val="006939CE"/>
    <w:rsid w:val="0069643E"/>
    <w:rsid w:val="006A3A7A"/>
    <w:rsid w:val="006A5018"/>
    <w:rsid w:val="006A7F5B"/>
    <w:rsid w:val="006B7D96"/>
    <w:rsid w:val="006C2B16"/>
    <w:rsid w:val="006C42E1"/>
    <w:rsid w:val="006E66A9"/>
    <w:rsid w:val="00703E0C"/>
    <w:rsid w:val="0070681D"/>
    <w:rsid w:val="00734080"/>
    <w:rsid w:val="0073786F"/>
    <w:rsid w:val="00753D60"/>
    <w:rsid w:val="00757553"/>
    <w:rsid w:val="007629D6"/>
    <w:rsid w:val="007758A6"/>
    <w:rsid w:val="007760BC"/>
    <w:rsid w:val="007C03E6"/>
    <w:rsid w:val="00804CDF"/>
    <w:rsid w:val="0080605E"/>
    <w:rsid w:val="00807FF4"/>
    <w:rsid w:val="00814780"/>
    <w:rsid w:val="00816120"/>
    <w:rsid w:val="00823940"/>
    <w:rsid w:val="0082547D"/>
    <w:rsid w:val="00830695"/>
    <w:rsid w:val="00831760"/>
    <w:rsid w:val="00836CAC"/>
    <w:rsid w:val="00845E82"/>
    <w:rsid w:val="00860AAA"/>
    <w:rsid w:val="0088029D"/>
    <w:rsid w:val="00896651"/>
    <w:rsid w:val="008A07FA"/>
    <w:rsid w:val="008C02CB"/>
    <w:rsid w:val="008D0510"/>
    <w:rsid w:val="008D08AB"/>
    <w:rsid w:val="008D3115"/>
    <w:rsid w:val="008D3E33"/>
    <w:rsid w:val="008D4BE8"/>
    <w:rsid w:val="008F616E"/>
    <w:rsid w:val="00907499"/>
    <w:rsid w:val="00910A59"/>
    <w:rsid w:val="00915F65"/>
    <w:rsid w:val="0091697E"/>
    <w:rsid w:val="009238B5"/>
    <w:rsid w:val="00925C4D"/>
    <w:rsid w:val="00954A13"/>
    <w:rsid w:val="00975D93"/>
    <w:rsid w:val="00981A09"/>
    <w:rsid w:val="0099212D"/>
    <w:rsid w:val="009930D4"/>
    <w:rsid w:val="009A25BF"/>
    <w:rsid w:val="009B6C6C"/>
    <w:rsid w:val="009C25C2"/>
    <w:rsid w:val="009C5946"/>
    <w:rsid w:val="009D1B99"/>
    <w:rsid w:val="009D292B"/>
    <w:rsid w:val="009D49E0"/>
    <w:rsid w:val="009D58A6"/>
    <w:rsid w:val="009D6AF5"/>
    <w:rsid w:val="009D7E45"/>
    <w:rsid w:val="00A05345"/>
    <w:rsid w:val="00A2756F"/>
    <w:rsid w:val="00A33077"/>
    <w:rsid w:val="00A64D1E"/>
    <w:rsid w:val="00A67099"/>
    <w:rsid w:val="00A75A66"/>
    <w:rsid w:val="00A91024"/>
    <w:rsid w:val="00A9124F"/>
    <w:rsid w:val="00A92156"/>
    <w:rsid w:val="00AD0AAC"/>
    <w:rsid w:val="00AD7B9F"/>
    <w:rsid w:val="00AE2512"/>
    <w:rsid w:val="00AE5C36"/>
    <w:rsid w:val="00AF61AE"/>
    <w:rsid w:val="00B0666B"/>
    <w:rsid w:val="00B12C36"/>
    <w:rsid w:val="00B17D98"/>
    <w:rsid w:val="00B25A11"/>
    <w:rsid w:val="00B339C6"/>
    <w:rsid w:val="00B37A6D"/>
    <w:rsid w:val="00B44AD8"/>
    <w:rsid w:val="00B5640E"/>
    <w:rsid w:val="00B651B1"/>
    <w:rsid w:val="00B71ABD"/>
    <w:rsid w:val="00B74BEF"/>
    <w:rsid w:val="00B76FE1"/>
    <w:rsid w:val="00BA04A6"/>
    <w:rsid w:val="00BA526D"/>
    <w:rsid w:val="00BB0899"/>
    <w:rsid w:val="00BB089C"/>
    <w:rsid w:val="00BB1CBD"/>
    <w:rsid w:val="00BB3CA5"/>
    <w:rsid w:val="00BB5818"/>
    <w:rsid w:val="00BB78CC"/>
    <w:rsid w:val="00BB7F69"/>
    <w:rsid w:val="00BC0F82"/>
    <w:rsid w:val="00BE3FE7"/>
    <w:rsid w:val="00C10AD6"/>
    <w:rsid w:val="00C159A7"/>
    <w:rsid w:val="00C16EF4"/>
    <w:rsid w:val="00C55D56"/>
    <w:rsid w:val="00C7208E"/>
    <w:rsid w:val="00C84E3F"/>
    <w:rsid w:val="00C91617"/>
    <w:rsid w:val="00C9771F"/>
    <w:rsid w:val="00CA123F"/>
    <w:rsid w:val="00CB6E85"/>
    <w:rsid w:val="00CC5467"/>
    <w:rsid w:val="00CD110C"/>
    <w:rsid w:val="00CD37E7"/>
    <w:rsid w:val="00CF15BA"/>
    <w:rsid w:val="00D020D3"/>
    <w:rsid w:val="00D0602D"/>
    <w:rsid w:val="00D15552"/>
    <w:rsid w:val="00D27EBC"/>
    <w:rsid w:val="00D43AE5"/>
    <w:rsid w:val="00D4405C"/>
    <w:rsid w:val="00D506ED"/>
    <w:rsid w:val="00D52E5B"/>
    <w:rsid w:val="00D5470F"/>
    <w:rsid w:val="00D575B5"/>
    <w:rsid w:val="00D65EC7"/>
    <w:rsid w:val="00D71D49"/>
    <w:rsid w:val="00D8222B"/>
    <w:rsid w:val="00D824D5"/>
    <w:rsid w:val="00D945F3"/>
    <w:rsid w:val="00D9564D"/>
    <w:rsid w:val="00DA30A1"/>
    <w:rsid w:val="00DD404F"/>
    <w:rsid w:val="00DE466D"/>
    <w:rsid w:val="00DF2046"/>
    <w:rsid w:val="00DF6468"/>
    <w:rsid w:val="00E002F1"/>
    <w:rsid w:val="00E23C05"/>
    <w:rsid w:val="00E36FC2"/>
    <w:rsid w:val="00E42364"/>
    <w:rsid w:val="00E44FCC"/>
    <w:rsid w:val="00E80AA6"/>
    <w:rsid w:val="00E84229"/>
    <w:rsid w:val="00E84BF5"/>
    <w:rsid w:val="00EB0855"/>
    <w:rsid w:val="00EB0E62"/>
    <w:rsid w:val="00EC2AD6"/>
    <w:rsid w:val="00EC7DA0"/>
    <w:rsid w:val="00ED79A6"/>
    <w:rsid w:val="00EE0CF3"/>
    <w:rsid w:val="00EE53BE"/>
    <w:rsid w:val="00EF1018"/>
    <w:rsid w:val="00F26003"/>
    <w:rsid w:val="00F2710E"/>
    <w:rsid w:val="00F27B2B"/>
    <w:rsid w:val="00F3183B"/>
    <w:rsid w:val="00F412AA"/>
    <w:rsid w:val="00F41A0E"/>
    <w:rsid w:val="00F51615"/>
    <w:rsid w:val="00F56F53"/>
    <w:rsid w:val="00F616C7"/>
    <w:rsid w:val="00F67FC6"/>
    <w:rsid w:val="00F70435"/>
    <w:rsid w:val="00F752FB"/>
    <w:rsid w:val="00F93191"/>
    <w:rsid w:val="00F93E0F"/>
    <w:rsid w:val="00F94E6A"/>
    <w:rsid w:val="00FA4591"/>
    <w:rsid w:val="00FA4B8A"/>
    <w:rsid w:val="00FA775A"/>
    <w:rsid w:val="00FB0EDE"/>
    <w:rsid w:val="00FB5231"/>
    <w:rsid w:val="00FB5C4B"/>
    <w:rsid w:val="00FB7A43"/>
    <w:rsid w:val="00FD3E80"/>
    <w:rsid w:val="00FD7168"/>
    <w:rsid w:val="00FF25C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83"/>
    <w:pPr>
      <w:spacing w:after="232" w:line="249" w:lineRule="auto"/>
      <w:ind w:left="10" w:hanging="10"/>
    </w:pPr>
    <w:rPr>
      <w:rFonts w:eastAsia="Arial" w:cs="Arial"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pPr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6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E69F9"/>
    <w:pPr>
      <w:spacing w:after="0" w:line="240" w:lineRule="auto"/>
      <w:ind w:left="720" w:firstLine="0"/>
      <w:contextualSpacing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2CB"/>
    <w:rPr>
      <w:rFonts w:eastAsia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customStyle="1" w:styleId="Endofdocument-Annex">
    <w:name w:val="[End of document - Annex]"/>
    <w:basedOn w:val="Normal"/>
    <w:rsid w:val="00ED79A6"/>
    <w:pPr>
      <w:spacing w:after="0" w:line="240" w:lineRule="auto"/>
      <w:ind w:left="5534" w:firstLine="0"/>
    </w:pPr>
    <w:rPr>
      <w:rFonts w:eastAsia="SimSun"/>
      <w:color w:val="auto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83"/>
    <w:pPr>
      <w:spacing w:after="232" w:line="249" w:lineRule="auto"/>
      <w:ind w:left="10" w:hanging="10"/>
    </w:pPr>
    <w:rPr>
      <w:rFonts w:eastAsia="Arial" w:cs="Arial"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pPr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6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E69F9"/>
    <w:pPr>
      <w:spacing w:after="0" w:line="240" w:lineRule="auto"/>
      <w:ind w:left="720" w:firstLine="0"/>
      <w:contextualSpacing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2CB"/>
    <w:rPr>
      <w:rFonts w:eastAsia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customStyle="1" w:styleId="Endofdocument-Annex">
    <w:name w:val="[End of document - Annex]"/>
    <w:basedOn w:val="Normal"/>
    <w:rsid w:val="00ED79A6"/>
    <w:pPr>
      <w:spacing w:after="0" w:line="240" w:lineRule="auto"/>
      <w:ind w:left="5534" w:firstLine="0"/>
    </w:pPr>
    <w:rPr>
      <w:rFonts w:eastAsia="SimSun"/>
      <w:color w:val="auto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wipo.int/edocs/mdocs/cws/es/cws_5/cws_5_4-appendix1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0768-C8C4-45AD-A042-40BFDAFE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1335</Words>
  <Characters>1524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Annex I (in Spanish)</vt:lpstr>
    </vt:vector>
  </TitlesOfParts>
  <Company>IPO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 (in Spanish)</dc:title>
  <dc:subject>Extension of WIPO Standard ST.96 to Incorporate Extensible Markup Language (XML) Schema for Orphan Works and Geographical Indications</dc:subject>
  <dc:creator>WIPO</dc:creator>
  <cp:keywords>CWS</cp:keywords>
  <dc:description/>
  <cp:lastModifiedBy>ZAGO Bétina</cp:lastModifiedBy>
  <cp:revision>7</cp:revision>
  <cp:lastPrinted>2017-04-04T07:34:00Z</cp:lastPrinted>
  <dcterms:created xsi:type="dcterms:W3CDTF">2017-04-26T11:52:00Z</dcterms:created>
  <dcterms:modified xsi:type="dcterms:W3CDTF">2017-04-26T13:55:00Z</dcterms:modified>
</cp:coreProperties>
</file>