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AF1F6E" w:rsidTr="0088395E">
        <w:tc>
          <w:tcPr>
            <w:tcW w:w="4513" w:type="dxa"/>
            <w:tcBorders>
              <w:bottom w:val="single" w:sz="4" w:space="0" w:color="auto"/>
            </w:tcBorders>
            <w:tcMar>
              <w:bottom w:w="170" w:type="dxa"/>
            </w:tcMar>
          </w:tcPr>
          <w:p w:rsidR="00E504E5" w:rsidRPr="00AF1F6E" w:rsidRDefault="00E504E5" w:rsidP="00AB613D"/>
        </w:tc>
        <w:tc>
          <w:tcPr>
            <w:tcW w:w="4337" w:type="dxa"/>
            <w:tcBorders>
              <w:bottom w:val="single" w:sz="4" w:space="0" w:color="auto"/>
            </w:tcBorders>
            <w:tcMar>
              <w:left w:w="0" w:type="dxa"/>
              <w:right w:w="0" w:type="dxa"/>
            </w:tcMar>
          </w:tcPr>
          <w:p w:rsidR="00E504E5" w:rsidRPr="00AF1F6E" w:rsidRDefault="006902D2" w:rsidP="00AB613D">
            <w:r w:rsidRPr="00AF1F6E">
              <w:rPr>
                <w:noProof/>
                <w:lang w:val="en-US"/>
              </w:rPr>
              <w:drawing>
                <wp:inline distT="0" distB="0" distL="0" distR="0" wp14:anchorId="2C62FF19" wp14:editId="6CE11E2C">
                  <wp:extent cx="1856105" cy="1322070"/>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207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AF1F6E" w:rsidRDefault="00E504E5" w:rsidP="00AB613D">
            <w:pPr>
              <w:jc w:val="right"/>
            </w:pPr>
            <w:r w:rsidRPr="00AF1F6E">
              <w:rPr>
                <w:b/>
                <w:sz w:val="40"/>
                <w:szCs w:val="40"/>
              </w:rPr>
              <w:t>S</w:t>
            </w:r>
          </w:p>
        </w:tc>
      </w:tr>
      <w:tr w:rsidR="008B2CC1" w:rsidRPr="00AF1F6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AF1F6E" w:rsidRDefault="00FB57C7" w:rsidP="00AF1F6E">
            <w:pPr>
              <w:jc w:val="right"/>
              <w:rPr>
                <w:rFonts w:ascii="Arial Black" w:hAnsi="Arial Black"/>
                <w:caps/>
                <w:sz w:val="15"/>
              </w:rPr>
            </w:pPr>
            <w:bookmarkStart w:id="0" w:name="Code"/>
            <w:bookmarkEnd w:id="0"/>
            <w:r w:rsidRPr="00AF1F6E">
              <w:rPr>
                <w:rFonts w:ascii="Arial Black" w:hAnsi="Arial Black"/>
                <w:sz w:val="15"/>
              </w:rPr>
              <w:t>CWS/4</w:t>
            </w:r>
            <w:r w:rsidR="00AF1F6E" w:rsidRPr="00AF1F6E">
              <w:rPr>
                <w:rFonts w:ascii="Arial Black" w:hAnsi="Arial Black"/>
                <w:sz w:val="15"/>
              </w:rPr>
              <w:t>BIS</w:t>
            </w:r>
            <w:r w:rsidRPr="00AF1F6E">
              <w:rPr>
                <w:rFonts w:ascii="Arial Black" w:hAnsi="Arial Black"/>
                <w:sz w:val="15"/>
              </w:rPr>
              <w:t>/</w:t>
            </w:r>
            <w:r w:rsidR="00AF1F6E" w:rsidRPr="00AF1F6E">
              <w:rPr>
                <w:rFonts w:ascii="Arial Black" w:hAnsi="Arial Black"/>
                <w:sz w:val="15"/>
              </w:rPr>
              <w:t>7</w:t>
            </w:r>
          </w:p>
        </w:tc>
      </w:tr>
      <w:tr w:rsidR="008B2CC1" w:rsidRPr="00AF1F6E" w:rsidTr="00AB613D">
        <w:trPr>
          <w:trHeight w:hRule="exact" w:val="170"/>
        </w:trPr>
        <w:tc>
          <w:tcPr>
            <w:tcW w:w="9356" w:type="dxa"/>
            <w:gridSpan w:val="3"/>
            <w:noWrap/>
            <w:tcMar>
              <w:left w:w="0" w:type="dxa"/>
              <w:right w:w="0" w:type="dxa"/>
            </w:tcMar>
            <w:vAlign w:val="bottom"/>
          </w:tcPr>
          <w:p w:rsidR="008B2CC1" w:rsidRPr="00AF1F6E" w:rsidRDefault="00FB57C7" w:rsidP="00AB613D">
            <w:pPr>
              <w:jc w:val="right"/>
              <w:rPr>
                <w:rFonts w:ascii="Arial Black" w:hAnsi="Arial Black"/>
                <w:caps/>
                <w:sz w:val="15"/>
              </w:rPr>
            </w:pPr>
            <w:r w:rsidRPr="00AF1F6E">
              <w:rPr>
                <w:rFonts w:ascii="Arial Black" w:hAnsi="Arial Black"/>
                <w:sz w:val="15"/>
              </w:rPr>
              <w:t xml:space="preserve">ORIGINAL:  </w:t>
            </w:r>
            <w:bookmarkStart w:id="1" w:name="Original"/>
            <w:bookmarkEnd w:id="1"/>
            <w:r w:rsidRPr="00AF1F6E">
              <w:rPr>
                <w:rFonts w:ascii="Arial Black" w:hAnsi="Arial Black"/>
                <w:sz w:val="15"/>
              </w:rPr>
              <w:t>INGLÉS</w:t>
            </w:r>
          </w:p>
        </w:tc>
      </w:tr>
      <w:tr w:rsidR="008B2CC1" w:rsidRPr="00AF1F6E" w:rsidTr="00AB613D">
        <w:trPr>
          <w:trHeight w:hRule="exact" w:val="198"/>
        </w:trPr>
        <w:tc>
          <w:tcPr>
            <w:tcW w:w="9356" w:type="dxa"/>
            <w:gridSpan w:val="3"/>
            <w:tcMar>
              <w:left w:w="0" w:type="dxa"/>
              <w:right w:w="0" w:type="dxa"/>
            </w:tcMar>
            <w:vAlign w:val="bottom"/>
          </w:tcPr>
          <w:p w:rsidR="008B2CC1" w:rsidRPr="00AF1F6E" w:rsidRDefault="00FB57C7" w:rsidP="00AF1F6E">
            <w:pPr>
              <w:jc w:val="right"/>
              <w:rPr>
                <w:rFonts w:ascii="Arial Black" w:hAnsi="Arial Black"/>
                <w:caps/>
                <w:sz w:val="15"/>
              </w:rPr>
            </w:pPr>
            <w:r w:rsidRPr="00AF1F6E">
              <w:rPr>
                <w:rFonts w:ascii="Arial Black" w:hAnsi="Arial Black"/>
                <w:sz w:val="15"/>
              </w:rPr>
              <w:t xml:space="preserve">FECHA:  </w:t>
            </w:r>
            <w:bookmarkStart w:id="2" w:name="Date"/>
            <w:bookmarkEnd w:id="2"/>
            <w:r w:rsidR="00AF1F6E" w:rsidRPr="00AF1F6E">
              <w:rPr>
                <w:rFonts w:ascii="Arial Black" w:hAnsi="Arial Black"/>
                <w:sz w:val="15"/>
              </w:rPr>
              <w:t>25</w:t>
            </w:r>
            <w:r w:rsidRPr="00AF1F6E">
              <w:rPr>
                <w:rFonts w:ascii="Arial Black" w:hAnsi="Arial Black"/>
                <w:sz w:val="15"/>
              </w:rPr>
              <w:t xml:space="preserve"> DE </w:t>
            </w:r>
            <w:r w:rsidR="00AF1F6E" w:rsidRPr="00AF1F6E">
              <w:rPr>
                <w:rFonts w:ascii="Arial Black" w:hAnsi="Arial Black"/>
                <w:sz w:val="15"/>
              </w:rPr>
              <w:t xml:space="preserve">FEBRERO </w:t>
            </w:r>
            <w:r w:rsidRPr="00AF1F6E">
              <w:rPr>
                <w:rFonts w:ascii="Arial Black" w:hAnsi="Arial Black"/>
                <w:sz w:val="15"/>
              </w:rPr>
              <w:t>DE 201</w:t>
            </w:r>
            <w:r w:rsidR="00AF1F6E" w:rsidRPr="00AF1F6E">
              <w:rPr>
                <w:rFonts w:ascii="Arial Black" w:hAnsi="Arial Black"/>
                <w:sz w:val="15"/>
              </w:rPr>
              <w:t>6</w:t>
            </w:r>
          </w:p>
        </w:tc>
      </w:tr>
    </w:tbl>
    <w:p w:rsidR="008B2CC1" w:rsidRPr="00AF1F6E" w:rsidRDefault="008B2CC1" w:rsidP="008B2CC1"/>
    <w:p w:rsidR="008B2CC1" w:rsidRPr="00AF1F6E" w:rsidRDefault="008B2CC1" w:rsidP="008B2CC1"/>
    <w:p w:rsidR="008B2CC1" w:rsidRPr="00AF1F6E" w:rsidRDefault="008B2CC1" w:rsidP="008B2CC1"/>
    <w:p w:rsidR="008B2CC1" w:rsidRPr="00AF1F6E" w:rsidRDefault="008B2CC1" w:rsidP="008B2CC1"/>
    <w:p w:rsidR="008B2CC1" w:rsidRPr="00AF1F6E" w:rsidRDefault="008C5C12" w:rsidP="008B2CC1">
      <w:pPr>
        <w:rPr>
          <w:b/>
          <w:sz w:val="28"/>
          <w:szCs w:val="28"/>
        </w:rPr>
      </w:pPr>
      <w:r w:rsidRPr="00AF1F6E">
        <w:rPr>
          <w:b/>
          <w:sz w:val="28"/>
          <w:szCs w:val="28"/>
        </w:rPr>
        <w:t>Comité de Normas Técnicas de la OMPI (CWS)</w:t>
      </w:r>
    </w:p>
    <w:p w:rsidR="003845C1" w:rsidRPr="00AF1F6E" w:rsidRDefault="003845C1" w:rsidP="003845C1"/>
    <w:p w:rsidR="003845C1" w:rsidRPr="00AF1F6E" w:rsidRDefault="003845C1" w:rsidP="003845C1"/>
    <w:p w:rsidR="008B2CC1" w:rsidRPr="00AF1F6E" w:rsidRDefault="00AF1F6E" w:rsidP="008B2CC1">
      <w:pPr>
        <w:rPr>
          <w:b/>
          <w:sz w:val="24"/>
          <w:szCs w:val="24"/>
        </w:rPr>
      </w:pPr>
      <w:r w:rsidRPr="00AF1F6E">
        <w:rPr>
          <w:b/>
          <w:sz w:val="24"/>
          <w:szCs w:val="24"/>
        </w:rPr>
        <w:t>Reanudación de la c</w:t>
      </w:r>
      <w:r w:rsidR="006110FC" w:rsidRPr="00AF1F6E">
        <w:rPr>
          <w:b/>
          <w:sz w:val="24"/>
          <w:szCs w:val="24"/>
        </w:rPr>
        <w:t>uarta</w:t>
      </w:r>
      <w:r w:rsidR="008C5C12" w:rsidRPr="00AF1F6E">
        <w:rPr>
          <w:b/>
          <w:sz w:val="24"/>
          <w:szCs w:val="24"/>
        </w:rPr>
        <w:t xml:space="preserve"> s</w:t>
      </w:r>
      <w:r w:rsidR="009B6241" w:rsidRPr="00AF1F6E">
        <w:rPr>
          <w:b/>
          <w:sz w:val="24"/>
          <w:szCs w:val="24"/>
        </w:rPr>
        <w:t>esión</w:t>
      </w:r>
    </w:p>
    <w:p w:rsidR="008B2CC1" w:rsidRPr="00AF1F6E" w:rsidRDefault="006110FC" w:rsidP="008B2CC1">
      <w:pPr>
        <w:rPr>
          <w:b/>
          <w:sz w:val="24"/>
          <w:szCs w:val="24"/>
        </w:rPr>
      </w:pPr>
      <w:r w:rsidRPr="00AF1F6E">
        <w:rPr>
          <w:b/>
          <w:sz w:val="24"/>
          <w:szCs w:val="24"/>
        </w:rPr>
        <w:t>Ginebra, 2</w:t>
      </w:r>
      <w:r w:rsidR="00AF1F6E" w:rsidRPr="00AF1F6E">
        <w:rPr>
          <w:b/>
          <w:sz w:val="24"/>
          <w:szCs w:val="24"/>
        </w:rPr>
        <w:t>1</w:t>
      </w:r>
      <w:r w:rsidRPr="00AF1F6E">
        <w:rPr>
          <w:b/>
          <w:sz w:val="24"/>
          <w:szCs w:val="24"/>
        </w:rPr>
        <w:t xml:space="preserve"> </w:t>
      </w:r>
      <w:r w:rsidR="00CA7CBE" w:rsidRPr="00AF1F6E">
        <w:rPr>
          <w:b/>
          <w:sz w:val="24"/>
          <w:szCs w:val="24"/>
        </w:rPr>
        <w:t>a </w:t>
      </w:r>
      <w:r w:rsidR="00AF1F6E" w:rsidRPr="00AF1F6E">
        <w:rPr>
          <w:b/>
          <w:sz w:val="24"/>
          <w:szCs w:val="24"/>
        </w:rPr>
        <w:t>24</w:t>
      </w:r>
      <w:r w:rsidRPr="00AF1F6E">
        <w:rPr>
          <w:b/>
          <w:sz w:val="24"/>
          <w:szCs w:val="24"/>
        </w:rPr>
        <w:t xml:space="preserve"> de </w:t>
      </w:r>
      <w:r w:rsidR="00AF1F6E" w:rsidRPr="00AF1F6E">
        <w:rPr>
          <w:b/>
          <w:sz w:val="24"/>
          <w:szCs w:val="24"/>
        </w:rPr>
        <w:t xml:space="preserve">marzo </w:t>
      </w:r>
      <w:r w:rsidRPr="00AF1F6E">
        <w:rPr>
          <w:b/>
          <w:sz w:val="24"/>
          <w:szCs w:val="24"/>
        </w:rPr>
        <w:t>d</w:t>
      </w:r>
      <w:r w:rsidR="00CA7CBE" w:rsidRPr="00AF1F6E">
        <w:rPr>
          <w:b/>
          <w:sz w:val="24"/>
          <w:szCs w:val="24"/>
        </w:rPr>
        <w:t>e 2</w:t>
      </w:r>
      <w:r w:rsidR="00AF1F6E" w:rsidRPr="00AF1F6E">
        <w:rPr>
          <w:b/>
          <w:sz w:val="24"/>
          <w:szCs w:val="24"/>
        </w:rPr>
        <w:t>016</w:t>
      </w:r>
    </w:p>
    <w:p w:rsidR="008B2CC1" w:rsidRPr="00AF1F6E" w:rsidRDefault="008B2CC1" w:rsidP="008B2CC1"/>
    <w:p w:rsidR="008B2CC1" w:rsidRPr="00AF1F6E" w:rsidRDefault="008B2CC1" w:rsidP="008B2CC1"/>
    <w:p w:rsidR="008B2CC1" w:rsidRPr="00AF1F6E" w:rsidRDefault="008B2CC1" w:rsidP="008B2CC1"/>
    <w:p w:rsidR="008B2CC1" w:rsidRPr="00AF1F6E" w:rsidRDefault="00652B31" w:rsidP="008B2CC1">
      <w:pPr>
        <w:rPr>
          <w:caps/>
          <w:sz w:val="24"/>
        </w:rPr>
      </w:pPr>
      <w:bookmarkStart w:id="3" w:name="TitleOfDoc"/>
      <w:bookmarkEnd w:id="3"/>
      <w:r w:rsidRPr="00AF1F6E">
        <w:rPr>
          <w:caps/>
          <w:sz w:val="24"/>
        </w:rPr>
        <w:t>INFORMACIÓN SOBRE LA FASE DE ENTRADA NACIONAL (REGIONAL) DE SOLICITUDES INTERNACIONALES PCT PUBLICADAS</w:t>
      </w:r>
    </w:p>
    <w:p w:rsidR="008B2CC1" w:rsidRPr="00AF1F6E" w:rsidRDefault="008B2CC1" w:rsidP="008B2CC1"/>
    <w:p w:rsidR="008B2CC1" w:rsidRPr="00AF1F6E" w:rsidRDefault="00652B31" w:rsidP="008B2CC1">
      <w:pPr>
        <w:rPr>
          <w:i/>
        </w:rPr>
      </w:pPr>
      <w:bookmarkStart w:id="4" w:name="Prepared"/>
      <w:bookmarkEnd w:id="4"/>
      <w:r w:rsidRPr="00AF1F6E">
        <w:rPr>
          <w:i/>
        </w:rPr>
        <w:t>Documento prep</w:t>
      </w:r>
      <w:r w:rsidR="00D66957" w:rsidRPr="00AF1F6E">
        <w:rPr>
          <w:i/>
        </w:rPr>
        <w:t>arado por la Secretaría</w:t>
      </w:r>
    </w:p>
    <w:p w:rsidR="008B2CC1" w:rsidRDefault="008B2CC1" w:rsidP="003845C1"/>
    <w:p w:rsidR="00110005" w:rsidRDefault="00110005" w:rsidP="003845C1"/>
    <w:p w:rsidR="00110005" w:rsidRPr="00AF1F6E" w:rsidRDefault="00110005" w:rsidP="003845C1"/>
    <w:p w:rsidR="000F5E56" w:rsidRPr="00AF1F6E" w:rsidRDefault="000F5E56"/>
    <w:p w:rsidR="00F84474" w:rsidRPr="00AF1F6E" w:rsidRDefault="00F84474" w:rsidP="00B327BB"/>
    <w:p w:rsidR="00652B31" w:rsidRPr="00AF1F6E" w:rsidRDefault="00CA7CBE" w:rsidP="00CA7CBE">
      <w:pPr>
        <w:pStyle w:val="ONUMFS"/>
        <w:numPr>
          <w:ilvl w:val="0"/>
          <w:numId w:val="0"/>
        </w:numPr>
      </w:pPr>
      <w:r w:rsidRPr="00AF1F6E">
        <w:t>1.</w:t>
      </w:r>
      <w:r w:rsidR="00652B31" w:rsidRPr="00AF1F6E">
        <w:tab/>
        <w:t xml:space="preserve">Conforme a </w:t>
      </w:r>
      <w:r w:rsidR="00B327BB" w:rsidRPr="00AF1F6E">
        <w:t xml:space="preserve">lo establecido en </w:t>
      </w:r>
      <w:r w:rsidR="00652B31" w:rsidRPr="00AF1F6E">
        <w:t xml:space="preserve">la Tarea </w:t>
      </w:r>
      <w:r w:rsidR="005E059E" w:rsidRPr="00AF1F6E">
        <w:t>Nº </w:t>
      </w:r>
      <w:r w:rsidR="00652B31" w:rsidRPr="00AF1F6E">
        <w:t>23, el Comité de Normas Técnicas (CWS) de la OMPI supervisa “la inclusión, en las bases de datos, de información sobre la entrada y, si procede, la no entrada, en la fase nacional (regional) de solicitudes internacionales PCT publicadas”.  La Oficina Internacional debe presentar, cada dos años, un informe sobre la marcha de dicha Tarea en las sesiones del CWS.  (Véa</w:t>
      </w:r>
      <w:r w:rsidR="006110FC" w:rsidRPr="00AF1F6E">
        <w:t>n</w:t>
      </w:r>
      <w:r w:rsidR="00652B31" w:rsidRPr="00AF1F6E">
        <w:t>se el documento CWS/</w:t>
      </w:r>
      <w:r w:rsidR="006110FC" w:rsidRPr="00AF1F6E">
        <w:t>3</w:t>
      </w:r>
      <w:r w:rsidR="00652B31" w:rsidRPr="00AF1F6E">
        <w:t>/</w:t>
      </w:r>
      <w:r w:rsidR="006110FC" w:rsidRPr="00AF1F6E">
        <w:t>12</w:t>
      </w:r>
      <w:r w:rsidR="00652B31" w:rsidRPr="00AF1F6E">
        <w:t xml:space="preserve"> y el párrafo</w:t>
      </w:r>
      <w:r w:rsidR="006110FC" w:rsidRPr="00AF1F6E">
        <w:t> 73</w:t>
      </w:r>
      <w:r w:rsidR="00652B31" w:rsidRPr="00AF1F6E">
        <w:t xml:space="preserve"> del documento CWS/</w:t>
      </w:r>
      <w:r w:rsidR="006110FC" w:rsidRPr="00AF1F6E">
        <w:t>3</w:t>
      </w:r>
      <w:r w:rsidR="00652B31" w:rsidRPr="00AF1F6E">
        <w:t>/</w:t>
      </w:r>
      <w:r w:rsidR="006110FC" w:rsidRPr="00AF1F6E">
        <w:t>14</w:t>
      </w:r>
      <w:r w:rsidR="00652B31" w:rsidRPr="00AF1F6E">
        <w:t>)</w:t>
      </w:r>
      <w:r w:rsidR="006110FC" w:rsidRPr="00AF1F6E">
        <w:t>.</w:t>
      </w:r>
    </w:p>
    <w:p w:rsidR="00652B31" w:rsidRPr="00AF1F6E" w:rsidRDefault="00CA7CBE" w:rsidP="00404121">
      <w:pPr>
        <w:pStyle w:val="ONUMFS"/>
        <w:numPr>
          <w:ilvl w:val="0"/>
          <w:numId w:val="0"/>
        </w:numPr>
      </w:pPr>
      <w:r w:rsidRPr="00AF1F6E">
        <w:t>2.</w:t>
      </w:r>
      <w:r w:rsidR="00652B31" w:rsidRPr="00AF1F6E">
        <w:tab/>
      </w:r>
      <w:r w:rsidR="006110FC" w:rsidRPr="00AF1F6E">
        <w:t>E</w:t>
      </w:r>
      <w:r w:rsidR="00652B31" w:rsidRPr="00AF1F6E">
        <w:t xml:space="preserve">n su </w:t>
      </w:r>
      <w:r w:rsidR="006110FC" w:rsidRPr="00AF1F6E">
        <w:t>segunda sesión</w:t>
      </w:r>
      <w:r w:rsidR="00652B31" w:rsidRPr="00AF1F6E">
        <w:t xml:space="preserve">, celebrada en </w:t>
      </w:r>
      <w:r w:rsidR="006110FC" w:rsidRPr="00AF1F6E">
        <w:t>abril/mayo d</w:t>
      </w:r>
      <w:r w:rsidRPr="00AF1F6E">
        <w:t>e 2</w:t>
      </w:r>
      <w:r w:rsidR="006110FC" w:rsidRPr="00AF1F6E">
        <w:t>012</w:t>
      </w:r>
      <w:r w:rsidR="00652B31" w:rsidRPr="00AF1F6E">
        <w:t xml:space="preserve">, </w:t>
      </w:r>
      <w:r w:rsidR="006110FC" w:rsidRPr="00AF1F6E">
        <w:t xml:space="preserve">el CWS </w:t>
      </w:r>
      <w:r w:rsidR="00652B31" w:rsidRPr="00AF1F6E">
        <w:t>examinó el informe sobre la marcha de la Tarea mencionada preparado por la Oficina Europea de Patentes</w:t>
      </w:r>
      <w:r w:rsidR="00404121">
        <w:t> </w:t>
      </w:r>
      <w:r w:rsidR="00652B31" w:rsidRPr="00AF1F6E">
        <w:t xml:space="preserve">(OEP) y la Oficina Internacional.  (Véanse </w:t>
      </w:r>
      <w:r w:rsidR="006110FC" w:rsidRPr="00AF1F6E">
        <w:t xml:space="preserve">el documento CWS/2/9 y </w:t>
      </w:r>
      <w:r w:rsidR="00652B31" w:rsidRPr="00AF1F6E">
        <w:t>los párrafos </w:t>
      </w:r>
      <w:r w:rsidR="006110FC" w:rsidRPr="00AF1F6E">
        <w:t>45</w:t>
      </w:r>
      <w:r w:rsidR="00652B31" w:rsidRPr="00AF1F6E">
        <w:t xml:space="preserve"> </w:t>
      </w:r>
      <w:r w:rsidR="006110FC" w:rsidRPr="00AF1F6E">
        <w:t>a 47</w:t>
      </w:r>
      <w:r w:rsidR="00652B31" w:rsidRPr="00AF1F6E">
        <w:t xml:space="preserve"> del documento</w:t>
      </w:r>
      <w:r w:rsidR="00404121">
        <w:t> </w:t>
      </w:r>
      <w:r w:rsidR="006110FC" w:rsidRPr="00AF1F6E">
        <w:t>CWS</w:t>
      </w:r>
      <w:r w:rsidR="00652B31" w:rsidRPr="00AF1F6E">
        <w:t>/</w:t>
      </w:r>
      <w:r w:rsidR="006110FC" w:rsidRPr="00AF1F6E">
        <w:t>2</w:t>
      </w:r>
      <w:r w:rsidR="00652B31" w:rsidRPr="00AF1F6E">
        <w:t>/1</w:t>
      </w:r>
      <w:r w:rsidR="006110FC" w:rsidRPr="00AF1F6E">
        <w:t>4</w:t>
      </w:r>
      <w:r w:rsidR="00652B31" w:rsidRPr="00AF1F6E">
        <w:t>)</w:t>
      </w:r>
      <w:r w:rsidR="006110FC" w:rsidRPr="00AF1F6E">
        <w:t>.</w:t>
      </w:r>
    </w:p>
    <w:p w:rsidR="00652B31" w:rsidRPr="00AF1F6E" w:rsidRDefault="00CA7CBE" w:rsidP="00B9645E">
      <w:pPr>
        <w:pStyle w:val="ONUMFS"/>
        <w:numPr>
          <w:ilvl w:val="0"/>
          <w:numId w:val="0"/>
        </w:numPr>
      </w:pPr>
      <w:r w:rsidRPr="00AF1F6E">
        <w:t>3.</w:t>
      </w:r>
      <w:r w:rsidR="00652B31" w:rsidRPr="00AF1F6E">
        <w:tab/>
      </w:r>
      <w:r w:rsidR="00444004" w:rsidRPr="00AF1F6E">
        <w:t>Conforme a</w:t>
      </w:r>
      <w:r w:rsidR="00652B31" w:rsidRPr="00AF1F6E">
        <w:t xml:space="preserve"> lo antedicho, la Secretaría invitó a la Oficina Intern</w:t>
      </w:r>
      <w:r w:rsidR="00AF1F6E" w:rsidRPr="00AF1F6E">
        <w:t>acional y a la OEP a que preparara</w:t>
      </w:r>
      <w:r w:rsidR="00652B31" w:rsidRPr="00AF1F6E">
        <w:t xml:space="preserve">n sus respectivos informes sobre la marcha de la Tarea </w:t>
      </w:r>
      <w:r w:rsidR="005E059E" w:rsidRPr="00AF1F6E">
        <w:t>Nº </w:t>
      </w:r>
      <w:r w:rsidR="00652B31" w:rsidRPr="00AF1F6E">
        <w:t xml:space="preserve">23 desde la </w:t>
      </w:r>
      <w:r w:rsidR="006110FC" w:rsidRPr="00AF1F6E">
        <w:t>segunda</w:t>
      </w:r>
      <w:r w:rsidR="00652B31" w:rsidRPr="00AF1F6E">
        <w:t xml:space="preserve"> </w:t>
      </w:r>
      <w:r w:rsidR="006110FC" w:rsidRPr="00AF1F6E">
        <w:t xml:space="preserve">sesión </w:t>
      </w:r>
      <w:r w:rsidR="00652B31" w:rsidRPr="00AF1F6E">
        <w:t xml:space="preserve">del </w:t>
      </w:r>
      <w:r w:rsidR="006110FC" w:rsidRPr="00AF1F6E">
        <w:t>CWS</w:t>
      </w:r>
      <w:r w:rsidR="00652B31" w:rsidRPr="00AF1F6E">
        <w:t xml:space="preserve">.  </w:t>
      </w:r>
      <w:r w:rsidR="00AF1F6E" w:rsidRPr="00AF1F6E">
        <w:t xml:space="preserve">Los informes de situación se sometieron a consideración del CWS en su cuarta sesión, celebrada en mayo de 2014 (véase el documento CWS/4/12).  </w:t>
      </w:r>
      <w:r w:rsidR="00652B31" w:rsidRPr="00AF1F6E">
        <w:t>E</w:t>
      </w:r>
      <w:r w:rsidR="00AF1F6E" w:rsidRPr="00AF1F6E">
        <w:t>n e</w:t>
      </w:r>
      <w:r w:rsidR="00652B31" w:rsidRPr="00AF1F6E">
        <w:t>l Anexo</w:t>
      </w:r>
      <w:r w:rsidR="00B9645E">
        <w:t> </w:t>
      </w:r>
      <w:r w:rsidR="00652B31" w:rsidRPr="00AF1F6E">
        <w:t>I del documento</w:t>
      </w:r>
      <w:r w:rsidR="00AF1F6E" w:rsidRPr="00AF1F6E">
        <w:t xml:space="preserve"> CWS/4/12</w:t>
      </w:r>
      <w:r w:rsidR="00652B31" w:rsidRPr="00AF1F6E">
        <w:t>, incluido</w:t>
      </w:r>
      <w:r w:rsidR="00AF1F6E" w:rsidRPr="00AF1F6E">
        <w:t>s</w:t>
      </w:r>
      <w:r w:rsidR="00652B31" w:rsidRPr="00AF1F6E">
        <w:t xml:space="preserve"> </w:t>
      </w:r>
      <w:r w:rsidR="00AF1F6E" w:rsidRPr="00AF1F6E">
        <w:t xml:space="preserve">sus </w:t>
      </w:r>
      <w:r w:rsidR="00652B31" w:rsidRPr="00AF1F6E">
        <w:t>Apéndice</w:t>
      </w:r>
      <w:r w:rsidR="008452AB" w:rsidRPr="00AF1F6E">
        <w:t>s</w:t>
      </w:r>
      <w:r w:rsidR="00652B31" w:rsidRPr="00AF1F6E">
        <w:t xml:space="preserve">, </w:t>
      </w:r>
      <w:r w:rsidR="00AF1F6E" w:rsidRPr="00AF1F6E">
        <w:t>figura el informe preparado por la OEP</w:t>
      </w:r>
      <w:r w:rsidR="00652B31" w:rsidRPr="00AF1F6E">
        <w:t xml:space="preserve"> y </w:t>
      </w:r>
      <w:r w:rsidR="00AF1F6E" w:rsidRPr="00AF1F6E">
        <w:t xml:space="preserve">en </w:t>
      </w:r>
      <w:r w:rsidR="00652B31" w:rsidRPr="00AF1F6E">
        <w:t>el Anexo II</w:t>
      </w:r>
      <w:r w:rsidR="00AF1F6E" w:rsidRPr="00AF1F6E">
        <w:t>,</w:t>
      </w:r>
      <w:r w:rsidR="00652B31" w:rsidRPr="00AF1F6E">
        <w:t xml:space="preserve"> el informe de la Oficina Internacional.</w:t>
      </w:r>
      <w:r w:rsidR="00AF1F6E" w:rsidRPr="00AF1F6E">
        <w:t xml:space="preserve">  En el Anexo I y el Anexo II del presente documento, figuran los respectivos informes actualizados, que abarcan el período transcurrido desde mayo de 2014.</w:t>
      </w:r>
    </w:p>
    <w:p w:rsidR="00110005" w:rsidRDefault="00AF1F6E" w:rsidP="00B9645E">
      <w:pPr>
        <w:pStyle w:val="ONUMFS"/>
        <w:numPr>
          <w:ilvl w:val="0"/>
          <w:numId w:val="0"/>
        </w:numPr>
        <w:rPr>
          <w:i/>
        </w:rPr>
      </w:pPr>
      <w:r w:rsidRPr="00AF1F6E">
        <w:t>4.</w:t>
      </w:r>
      <w:r w:rsidRPr="00AF1F6E">
        <w:tab/>
        <w:t xml:space="preserve">En abril de 2014, el </w:t>
      </w:r>
      <w:r w:rsidRPr="004F7EC4">
        <w:rPr>
          <w:i/>
        </w:rPr>
        <w:t>Patent Documentation Group</w:t>
      </w:r>
      <w:r w:rsidRPr="00AF1F6E">
        <w:t xml:space="preserve"> (PDG) envió una carta </w:t>
      </w:r>
      <w:r>
        <w:t>a la Oficina Internacional en la que señalaba sus preocupaciones respecto del suministro de datos sobre la situación jurídica relativa a la entrada en la fase nacional o regional de las solicitudes internacionales PCT.  La carta se reproduce en el Anexo del documento</w:t>
      </w:r>
      <w:r w:rsidR="00B9645E">
        <w:t> </w:t>
      </w:r>
      <w:r>
        <w:t>CWS/4/12</w:t>
      </w:r>
      <w:r w:rsidR="00B9645E">
        <w:t> </w:t>
      </w:r>
      <w:bookmarkStart w:id="5" w:name="_GoBack"/>
      <w:bookmarkEnd w:id="5"/>
      <w:r>
        <w:t>ADD.</w:t>
      </w:r>
    </w:p>
    <w:p w:rsidR="00BF5A07" w:rsidRDefault="00AF1F6E" w:rsidP="00CA7CBE">
      <w:pPr>
        <w:pStyle w:val="ONUMFS"/>
        <w:numPr>
          <w:ilvl w:val="0"/>
          <w:numId w:val="0"/>
        </w:numPr>
        <w:ind w:left="5533"/>
        <w:rPr>
          <w:i/>
        </w:rPr>
      </w:pPr>
      <w:r>
        <w:rPr>
          <w:i/>
        </w:rPr>
        <w:lastRenderedPageBreak/>
        <w:t>5</w:t>
      </w:r>
      <w:r w:rsidR="00CA7CBE" w:rsidRPr="00AF1F6E">
        <w:rPr>
          <w:i/>
        </w:rPr>
        <w:t>.</w:t>
      </w:r>
      <w:r w:rsidR="00652B31" w:rsidRPr="00AF1F6E">
        <w:rPr>
          <w:i/>
        </w:rPr>
        <w:tab/>
        <w:t>Se invita al CWS a</w:t>
      </w:r>
      <w:r w:rsidR="00BF5A07">
        <w:rPr>
          <w:i/>
        </w:rPr>
        <w:t>:</w:t>
      </w:r>
    </w:p>
    <w:p w:rsidR="00652B31" w:rsidRDefault="00BF5A07" w:rsidP="00B9645E">
      <w:pPr>
        <w:pStyle w:val="ONUMFS"/>
        <w:numPr>
          <w:ilvl w:val="0"/>
          <w:numId w:val="0"/>
        </w:numPr>
        <w:ind w:left="5533" w:firstLine="563"/>
        <w:rPr>
          <w:i/>
        </w:rPr>
      </w:pPr>
      <w:r>
        <w:rPr>
          <w:i/>
        </w:rPr>
        <w:t>a)</w:t>
      </w:r>
      <w:r>
        <w:rPr>
          <w:i/>
        </w:rPr>
        <w:tab/>
      </w:r>
      <w:r w:rsidR="00652B31" w:rsidRPr="00AF1F6E">
        <w:rPr>
          <w:i/>
        </w:rPr>
        <w:t xml:space="preserve">tomar nota del contenido de los informes sobre la marcha de la Tarea </w:t>
      </w:r>
      <w:r w:rsidR="005E059E" w:rsidRPr="00AF1F6E">
        <w:rPr>
          <w:i/>
        </w:rPr>
        <w:t>Nº </w:t>
      </w:r>
      <w:r w:rsidR="00652B31" w:rsidRPr="00AF1F6E">
        <w:rPr>
          <w:i/>
        </w:rPr>
        <w:t>23, preparados por la OEP y por la Oficina Internacional, que figuran respectivamente en el Anexo</w:t>
      </w:r>
      <w:r w:rsidR="00B9645E">
        <w:rPr>
          <w:i/>
        </w:rPr>
        <w:t> </w:t>
      </w:r>
      <w:r w:rsidR="00652B31" w:rsidRPr="00AF1F6E">
        <w:rPr>
          <w:i/>
        </w:rPr>
        <w:t xml:space="preserve">I y el Anexo </w:t>
      </w:r>
      <w:r>
        <w:rPr>
          <w:i/>
        </w:rPr>
        <w:t>II del presente documento, y en los Anexos</w:t>
      </w:r>
      <w:r w:rsidR="00B9645E">
        <w:rPr>
          <w:i/>
        </w:rPr>
        <w:t> </w:t>
      </w:r>
      <w:r>
        <w:rPr>
          <w:i/>
        </w:rPr>
        <w:t>I y II, respectivamente, del documento CWS/4/12;  y</w:t>
      </w:r>
    </w:p>
    <w:p w:rsidR="00BF5A07" w:rsidRPr="00AF1F6E" w:rsidRDefault="00BF5A07" w:rsidP="00404121">
      <w:pPr>
        <w:pStyle w:val="ONUMFS"/>
        <w:numPr>
          <w:ilvl w:val="0"/>
          <w:numId w:val="0"/>
        </w:numPr>
        <w:ind w:left="5533" w:firstLine="563"/>
        <w:rPr>
          <w:i/>
        </w:rPr>
      </w:pPr>
      <w:r>
        <w:rPr>
          <w:i/>
        </w:rPr>
        <w:t>b)</w:t>
      </w:r>
      <w:r>
        <w:rPr>
          <w:i/>
        </w:rPr>
        <w:tab/>
        <w:t xml:space="preserve">tomar nota de los comentarios del PDG que figuran en </w:t>
      </w:r>
      <w:r w:rsidR="00B9645E">
        <w:rPr>
          <w:i/>
        </w:rPr>
        <w:t>el Anexo del documento CWS/4/12 </w:t>
      </w:r>
      <w:r>
        <w:rPr>
          <w:i/>
        </w:rPr>
        <w:t>ADD.</w:t>
      </w:r>
    </w:p>
    <w:p w:rsidR="00652B31" w:rsidRDefault="00652B31" w:rsidP="00110005">
      <w:pPr>
        <w:pStyle w:val="Endofdocument"/>
        <w:ind w:left="0"/>
        <w:rPr>
          <w:lang w:val="es-ES"/>
        </w:rPr>
      </w:pPr>
    </w:p>
    <w:p w:rsidR="00BF5A07" w:rsidRPr="00AF1F6E" w:rsidRDefault="00BF5A07" w:rsidP="00110005">
      <w:pPr>
        <w:pStyle w:val="Endofdocument"/>
        <w:ind w:left="0"/>
        <w:rPr>
          <w:lang w:val="es-ES"/>
        </w:rPr>
      </w:pPr>
    </w:p>
    <w:p w:rsidR="00110005" w:rsidRPr="00110005" w:rsidRDefault="00AF1F6E" w:rsidP="00110005">
      <w:pPr>
        <w:pStyle w:val="Endofdocument"/>
        <w:rPr>
          <w:lang w:val="es-ES"/>
        </w:rPr>
      </w:pPr>
      <w:r>
        <w:rPr>
          <w:lang w:val="es-ES"/>
        </w:rPr>
        <w:t>[Sigue</w:t>
      </w:r>
      <w:r w:rsidR="00652B31" w:rsidRPr="00AF1F6E">
        <w:rPr>
          <w:lang w:val="es-ES"/>
        </w:rPr>
        <w:t xml:space="preserve"> </w:t>
      </w:r>
      <w:r>
        <w:rPr>
          <w:lang w:val="es-ES"/>
        </w:rPr>
        <w:t>el Anexo I</w:t>
      </w:r>
      <w:r w:rsidR="00652B31" w:rsidRPr="00AF1F6E">
        <w:rPr>
          <w:lang w:val="es-ES"/>
        </w:rPr>
        <w:t>]</w:t>
      </w:r>
    </w:p>
    <w:sectPr w:rsidR="00110005" w:rsidRPr="00110005" w:rsidSect="00D66957">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365" w:rsidRDefault="00BA2365">
      <w:r>
        <w:separator/>
      </w:r>
    </w:p>
  </w:endnote>
  <w:endnote w:type="continuationSeparator" w:id="0">
    <w:p w:rsidR="00BA2365" w:rsidRPr="009D30E6" w:rsidRDefault="00BA2365" w:rsidP="007E663E">
      <w:pPr>
        <w:rPr>
          <w:sz w:val="17"/>
          <w:szCs w:val="17"/>
        </w:rPr>
      </w:pPr>
      <w:r w:rsidRPr="009D30E6">
        <w:rPr>
          <w:sz w:val="17"/>
          <w:szCs w:val="17"/>
        </w:rPr>
        <w:separator/>
      </w:r>
    </w:p>
    <w:p w:rsidR="00BA2365" w:rsidRPr="007E663E" w:rsidRDefault="00BA2365" w:rsidP="007E663E">
      <w:pPr>
        <w:spacing w:after="60"/>
        <w:rPr>
          <w:sz w:val="17"/>
          <w:szCs w:val="17"/>
        </w:rPr>
      </w:pPr>
      <w:r>
        <w:rPr>
          <w:sz w:val="17"/>
        </w:rPr>
        <w:t>[Continuación de la nota de la página anterior]</w:t>
      </w:r>
    </w:p>
  </w:endnote>
  <w:endnote w:type="continuationNotice" w:id="1">
    <w:p w:rsidR="00BA2365" w:rsidRPr="007E663E" w:rsidRDefault="00BA236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365" w:rsidRDefault="00BA2365">
      <w:r>
        <w:separator/>
      </w:r>
    </w:p>
  </w:footnote>
  <w:footnote w:type="continuationSeparator" w:id="0">
    <w:p w:rsidR="00BA2365" w:rsidRPr="009D30E6" w:rsidRDefault="00BA2365" w:rsidP="007E663E">
      <w:pPr>
        <w:rPr>
          <w:sz w:val="17"/>
          <w:szCs w:val="17"/>
        </w:rPr>
      </w:pPr>
      <w:r w:rsidRPr="009D30E6">
        <w:rPr>
          <w:sz w:val="17"/>
          <w:szCs w:val="17"/>
        </w:rPr>
        <w:separator/>
      </w:r>
    </w:p>
    <w:p w:rsidR="00BA2365" w:rsidRPr="007E663E" w:rsidRDefault="00BA2365" w:rsidP="007E663E">
      <w:pPr>
        <w:spacing w:after="60"/>
        <w:rPr>
          <w:sz w:val="17"/>
          <w:szCs w:val="17"/>
        </w:rPr>
      </w:pPr>
      <w:r>
        <w:rPr>
          <w:sz w:val="17"/>
        </w:rPr>
        <w:t>[Continuación de la nota de la página anterior]</w:t>
      </w:r>
    </w:p>
  </w:footnote>
  <w:footnote w:type="continuationNotice" w:id="1">
    <w:p w:rsidR="00BA2365" w:rsidRPr="007E663E" w:rsidRDefault="00BA236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04" w:rsidRDefault="00444004" w:rsidP="00477D6B">
    <w:pPr>
      <w:jc w:val="right"/>
    </w:pPr>
    <w:bookmarkStart w:id="6" w:name="Code2"/>
    <w:bookmarkEnd w:id="6"/>
    <w:r>
      <w:t>C</w:t>
    </w:r>
    <w:r w:rsidR="00BF5A07">
      <w:t>WS/4BIS/7</w:t>
    </w:r>
  </w:p>
  <w:p w:rsidR="00444004" w:rsidRDefault="00444004" w:rsidP="00477D6B">
    <w:pPr>
      <w:jc w:val="right"/>
    </w:pPr>
    <w:r>
      <w:t xml:space="preserve">página </w:t>
    </w:r>
    <w:r>
      <w:fldChar w:fldCharType="begin"/>
    </w:r>
    <w:r>
      <w:instrText xml:space="preserve"> PAGE  \* MERGEFORMAT </w:instrText>
    </w:r>
    <w:r>
      <w:fldChar w:fldCharType="separate"/>
    </w:r>
    <w:r w:rsidR="00B9645E">
      <w:rPr>
        <w:noProof/>
      </w:rPr>
      <w:t>2</w:t>
    </w:r>
    <w:r>
      <w:fldChar w:fldCharType="end"/>
    </w:r>
  </w:p>
  <w:p w:rsidR="00444004" w:rsidRDefault="0044400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704"/>
        </w:tabs>
        <w:ind w:left="137" w:firstLine="0"/>
      </w:pPr>
      <w:rPr>
        <w:rFonts w:hint="default"/>
      </w:rPr>
    </w:lvl>
    <w:lvl w:ilvl="1">
      <w:start w:val="1"/>
      <w:numFmt w:val="lowerLetter"/>
      <w:lvlText w:val="(%2)"/>
      <w:lvlJc w:val="left"/>
      <w:pPr>
        <w:tabs>
          <w:tab w:val="num" w:pos="1271"/>
        </w:tabs>
        <w:ind w:left="704" w:firstLine="0"/>
      </w:pPr>
      <w:rPr>
        <w:rFonts w:hint="default"/>
      </w:rPr>
    </w:lvl>
    <w:lvl w:ilvl="2">
      <w:start w:val="1"/>
      <w:numFmt w:val="lowerRoman"/>
      <w:lvlText w:val="(%3)"/>
      <w:lvlJc w:val="left"/>
      <w:pPr>
        <w:tabs>
          <w:tab w:val="num" w:pos="1838"/>
        </w:tabs>
        <w:ind w:left="1271" w:firstLine="0"/>
      </w:pPr>
      <w:rPr>
        <w:rFonts w:hint="default"/>
      </w:rPr>
    </w:lvl>
    <w:lvl w:ilvl="3">
      <w:start w:val="1"/>
      <w:numFmt w:val="bullet"/>
      <w:lvlText w:val=""/>
      <w:lvlJc w:val="left"/>
      <w:pPr>
        <w:tabs>
          <w:tab w:val="num" w:pos="2405"/>
        </w:tabs>
        <w:ind w:left="1838" w:firstLine="0"/>
      </w:pPr>
      <w:rPr>
        <w:rFonts w:hint="default"/>
      </w:rPr>
    </w:lvl>
    <w:lvl w:ilvl="4">
      <w:start w:val="1"/>
      <w:numFmt w:val="bullet"/>
      <w:lvlText w:val=""/>
      <w:lvlJc w:val="left"/>
      <w:pPr>
        <w:tabs>
          <w:tab w:val="num" w:pos="2972"/>
        </w:tabs>
        <w:ind w:left="2405" w:firstLine="0"/>
      </w:pPr>
      <w:rPr>
        <w:rFonts w:hint="default"/>
      </w:rPr>
    </w:lvl>
    <w:lvl w:ilvl="5">
      <w:start w:val="1"/>
      <w:numFmt w:val="bullet"/>
      <w:lvlText w:val=""/>
      <w:lvlJc w:val="left"/>
      <w:pPr>
        <w:tabs>
          <w:tab w:val="num" w:pos="3539"/>
        </w:tabs>
        <w:ind w:left="2972" w:firstLine="0"/>
      </w:pPr>
      <w:rPr>
        <w:rFonts w:hint="default"/>
      </w:rPr>
    </w:lvl>
    <w:lvl w:ilvl="6">
      <w:start w:val="1"/>
      <w:numFmt w:val="bullet"/>
      <w:lvlText w:val=""/>
      <w:lvlJc w:val="left"/>
      <w:pPr>
        <w:tabs>
          <w:tab w:val="num" w:pos="4106"/>
        </w:tabs>
        <w:ind w:left="3539" w:firstLine="0"/>
      </w:pPr>
      <w:rPr>
        <w:rFonts w:hint="default"/>
      </w:rPr>
    </w:lvl>
    <w:lvl w:ilvl="7">
      <w:start w:val="1"/>
      <w:numFmt w:val="bullet"/>
      <w:lvlText w:val=""/>
      <w:lvlJc w:val="left"/>
      <w:pPr>
        <w:tabs>
          <w:tab w:val="num" w:pos="4672"/>
        </w:tabs>
        <w:ind w:left="4106" w:firstLine="0"/>
      </w:pPr>
      <w:rPr>
        <w:rFonts w:hint="default"/>
      </w:rPr>
    </w:lvl>
    <w:lvl w:ilvl="8">
      <w:start w:val="1"/>
      <w:numFmt w:val="bullet"/>
      <w:lvlText w:val=""/>
      <w:lvlJc w:val="left"/>
      <w:pPr>
        <w:tabs>
          <w:tab w:val="num" w:pos="5239"/>
        </w:tabs>
        <w:ind w:left="4672" w:firstLine="0"/>
      </w:pPr>
      <w:rPr>
        <w:rFonts w:hint="default"/>
      </w:rPr>
    </w:lvl>
  </w:abstractNum>
  <w:abstractNum w:abstractNumId="2">
    <w:nsid w:val="091C1C0A"/>
    <w:multiLevelType w:val="multilevel"/>
    <w:tmpl w:val="CFB8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191A72"/>
    <w:multiLevelType w:val="hybridMultilevel"/>
    <w:tmpl w:val="59408528"/>
    <w:lvl w:ilvl="0" w:tplc="9FB6784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C82999"/>
    <w:multiLevelType w:val="hybridMultilevel"/>
    <w:tmpl w:val="F84AE65C"/>
    <w:lvl w:ilvl="0" w:tplc="2A5675DC">
      <w:start w:val="9"/>
      <w:numFmt w:val="bullet"/>
      <w:lvlText w:val="-"/>
      <w:lvlJc w:val="left"/>
      <w:pPr>
        <w:tabs>
          <w:tab w:val="num" w:pos="927"/>
        </w:tabs>
        <w:ind w:left="927" w:hanging="360"/>
      </w:pPr>
      <w:rPr>
        <w:rFonts w:ascii="Arial" w:eastAsia="SimSun" w:hAnsi="Arial" w:cs="Arial" w:hint="default"/>
        <w:color w:val="auto"/>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6ED23AE9"/>
    <w:multiLevelType w:val="multilevel"/>
    <w:tmpl w:val="8F2A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481742"/>
    <w:multiLevelType w:val="multilevel"/>
    <w:tmpl w:val="F608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num>
  <w:num w:numId="8">
    <w:abstractNumId w:val="4"/>
  </w:num>
  <w:num w:numId="9">
    <w:abstractNumId w:val="4"/>
  </w:num>
  <w:num w:numId="10">
    <w:abstractNumId w:val="2"/>
  </w:num>
  <w:num w:numId="11">
    <w:abstractNumId w:val="9"/>
  </w:num>
  <w:num w:numId="12">
    <w:abstractNumId w:val="10"/>
  </w:num>
  <w:num w:numId="13">
    <w:abstractNumId w:val="7"/>
  </w:num>
  <w:num w:numId="14">
    <w:abstractNumId w:val="4"/>
  </w:num>
  <w:num w:numId="15">
    <w:abstractNumId w:val="4"/>
  </w:num>
  <w:num w:numId="16">
    <w:abstractNumId w:val="4"/>
  </w:num>
  <w:num w:numId="17">
    <w:abstractNumId w:val="4"/>
  </w:num>
  <w:num w:numId="18">
    <w:abstractNumId w:val="8"/>
  </w:num>
  <w:num w:numId="19">
    <w:abstractNumId w:val="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57"/>
    <w:rsid w:val="00006BA4"/>
    <w:rsid w:val="00037202"/>
    <w:rsid w:val="000548DC"/>
    <w:rsid w:val="000B38C8"/>
    <w:rsid w:val="000D0C4B"/>
    <w:rsid w:val="000E3BB3"/>
    <w:rsid w:val="000E42C4"/>
    <w:rsid w:val="000E5647"/>
    <w:rsid w:val="000F5E56"/>
    <w:rsid w:val="000F78ED"/>
    <w:rsid w:val="001035B1"/>
    <w:rsid w:val="00110005"/>
    <w:rsid w:val="00110DB9"/>
    <w:rsid w:val="00116C61"/>
    <w:rsid w:val="001266E0"/>
    <w:rsid w:val="001362EE"/>
    <w:rsid w:val="00142F36"/>
    <w:rsid w:val="00152CEA"/>
    <w:rsid w:val="00162810"/>
    <w:rsid w:val="001704D2"/>
    <w:rsid w:val="001764B0"/>
    <w:rsid w:val="001832A6"/>
    <w:rsid w:val="001A1314"/>
    <w:rsid w:val="001C1FD9"/>
    <w:rsid w:val="001E5C5C"/>
    <w:rsid w:val="001E6888"/>
    <w:rsid w:val="001F33FA"/>
    <w:rsid w:val="001F57EE"/>
    <w:rsid w:val="002070FA"/>
    <w:rsid w:val="00214108"/>
    <w:rsid w:val="0024616E"/>
    <w:rsid w:val="002555BB"/>
    <w:rsid w:val="002634C4"/>
    <w:rsid w:val="002756EF"/>
    <w:rsid w:val="00281802"/>
    <w:rsid w:val="002A3203"/>
    <w:rsid w:val="002B5A0A"/>
    <w:rsid w:val="002B66AE"/>
    <w:rsid w:val="002C67C2"/>
    <w:rsid w:val="002D1967"/>
    <w:rsid w:val="002D332E"/>
    <w:rsid w:val="002D73C6"/>
    <w:rsid w:val="002E3E48"/>
    <w:rsid w:val="002F4E68"/>
    <w:rsid w:val="00335A5F"/>
    <w:rsid w:val="00352A6D"/>
    <w:rsid w:val="00352E1E"/>
    <w:rsid w:val="00354206"/>
    <w:rsid w:val="00354647"/>
    <w:rsid w:val="00371DBB"/>
    <w:rsid w:val="00377273"/>
    <w:rsid w:val="003845C1"/>
    <w:rsid w:val="00387287"/>
    <w:rsid w:val="003A1A06"/>
    <w:rsid w:val="003B4423"/>
    <w:rsid w:val="003D2865"/>
    <w:rsid w:val="003D75D8"/>
    <w:rsid w:val="003E48F1"/>
    <w:rsid w:val="00404121"/>
    <w:rsid w:val="00406A5A"/>
    <w:rsid w:val="00415910"/>
    <w:rsid w:val="00423E3E"/>
    <w:rsid w:val="0042480D"/>
    <w:rsid w:val="00425E40"/>
    <w:rsid w:val="00427AF4"/>
    <w:rsid w:val="004334E0"/>
    <w:rsid w:val="00444004"/>
    <w:rsid w:val="0045231F"/>
    <w:rsid w:val="004647DA"/>
    <w:rsid w:val="00477D6B"/>
    <w:rsid w:val="00494CB8"/>
    <w:rsid w:val="00497C65"/>
    <w:rsid w:val="004A5110"/>
    <w:rsid w:val="004A6C37"/>
    <w:rsid w:val="004A6F86"/>
    <w:rsid w:val="004B2FCF"/>
    <w:rsid w:val="004B6733"/>
    <w:rsid w:val="004C5279"/>
    <w:rsid w:val="004F3E57"/>
    <w:rsid w:val="004F7EC4"/>
    <w:rsid w:val="0050614D"/>
    <w:rsid w:val="0052672A"/>
    <w:rsid w:val="0055013B"/>
    <w:rsid w:val="00552E53"/>
    <w:rsid w:val="005540DD"/>
    <w:rsid w:val="00571B99"/>
    <w:rsid w:val="005A6587"/>
    <w:rsid w:val="005B6B4F"/>
    <w:rsid w:val="005B7EE8"/>
    <w:rsid w:val="005C6613"/>
    <w:rsid w:val="005D60FC"/>
    <w:rsid w:val="005E059E"/>
    <w:rsid w:val="005E35B9"/>
    <w:rsid w:val="005E578E"/>
    <w:rsid w:val="005F7715"/>
    <w:rsid w:val="00605827"/>
    <w:rsid w:val="006109E7"/>
    <w:rsid w:val="006110FC"/>
    <w:rsid w:val="006162F2"/>
    <w:rsid w:val="00616397"/>
    <w:rsid w:val="0061754F"/>
    <w:rsid w:val="006204E9"/>
    <w:rsid w:val="006261D7"/>
    <w:rsid w:val="00637084"/>
    <w:rsid w:val="00643072"/>
    <w:rsid w:val="00651393"/>
    <w:rsid w:val="00652B31"/>
    <w:rsid w:val="00656177"/>
    <w:rsid w:val="00664B6B"/>
    <w:rsid w:val="00675021"/>
    <w:rsid w:val="00681763"/>
    <w:rsid w:val="00684341"/>
    <w:rsid w:val="006902D2"/>
    <w:rsid w:val="006958C1"/>
    <w:rsid w:val="00695EAE"/>
    <w:rsid w:val="0069682E"/>
    <w:rsid w:val="006A06C6"/>
    <w:rsid w:val="006A212C"/>
    <w:rsid w:val="006A38A4"/>
    <w:rsid w:val="006B7D7A"/>
    <w:rsid w:val="006C3E85"/>
    <w:rsid w:val="006D7AF8"/>
    <w:rsid w:val="006E0F3D"/>
    <w:rsid w:val="007039D6"/>
    <w:rsid w:val="007119B1"/>
    <w:rsid w:val="007269FA"/>
    <w:rsid w:val="00732F05"/>
    <w:rsid w:val="007511E1"/>
    <w:rsid w:val="0076040C"/>
    <w:rsid w:val="0076358E"/>
    <w:rsid w:val="00767FF1"/>
    <w:rsid w:val="007720E8"/>
    <w:rsid w:val="007735BE"/>
    <w:rsid w:val="00784409"/>
    <w:rsid w:val="00794BE2"/>
    <w:rsid w:val="00794CC4"/>
    <w:rsid w:val="007B7FF0"/>
    <w:rsid w:val="007C0735"/>
    <w:rsid w:val="007C377B"/>
    <w:rsid w:val="007E663E"/>
    <w:rsid w:val="008038C0"/>
    <w:rsid w:val="00804519"/>
    <w:rsid w:val="00815082"/>
    <w:rsid w:val="008270CA"/>
    <w:rsid w:val="00842DEA"/>
    <w:rsid w:val="008452AB"/>
    <w:rsid w:val="0086127B"/>
    <w:rsid w:val="0086610B"/>
    <w:rsid w:val="008665F0"/>
    <w:rsid w:val="00873CFD"/>
    <w:rsid w:val="0088027E"/>
    <w:rsid w:val="0088395E"/>
    <w:rsid w:val="00891044"/>
    <w:rsid w:val="00895995"/>
    <w:rsid w:val="008A084F"/>
    <w:rsid w:val="008A5798"/>
    <w:rsid w:val="008B28F6"/>
    <w:rsid w:val="008B2CC1"/>
    <w:rsid w:val="008C4D19"/>
    <w:rsid w:val="008C5C12"/>
    <w:rsid w:val="008C5F33"/>
    <w:rsid w:val="008D2443"/>
    <w:rsid w:val="0090731E"/>
    <w:rsid w:val="00920B7B"/>
    <w:rsid w:val="00925949"/>
    <w:rsid w:val="009303A7"/>
    <w:rsid w:val="00940FC7"/>
    <w:rsid w:val="009430DE"/>
    <w:rsid w:val="00944100"/>
    <w:rsid w:val="00945A64"/>
    <w:rsid w:val="009470A1"/>
    <w:rsid w:val="00966A22"/>
    <w:rsid w:val="00972F03"/>
    <w:rsid w:val="009841A7"/>
    <w:rsid w:val="00991AD8"/>
    <w:rsid w:val="009959F4"/>
    <w:rsid w:val="009A0C8B"/>
    <w:rsid w:val="009B3129"/>
    <w:rsid w:val="009B6241"/>
    <w:rsid w:val="009C46DA"/>
    <w:rsid w:val="009D7CFC"/>
    <w:rsid w:val="009E51CD"/>
    <w:rsid w:val="009E6116"/>
    <w:rsid w:val="00A164CB"/>
    <w:rsid w:val="00A16FC0"/>
    <w:rsid w:val="00A32C9E"/>
    <w:rsid w:val="00A34AA9"/>
    <w:rsid w:val="00A37E17"/>
    <w:rsid w:val="00A50FFF"/>
    <w:rsid w:val="00A57C11"/>
    <w:rsid w:val="00A634EC"/>
    <w:rsid w:val="00A63980"/>
    <w:rsid w:val="00A66124"/>
    <w:rsid w:val="00A7730B"/>
    <w:rsid w:val="00A964B1"/>
    <w:rsid w:val="00AB0DF4"/>
    <w:rsid w:val="00AB613D"/>
    <w:rsid w:val="00AC2FAF"/>
    <w:rsid w:val="00AD03C6"/>
    <w:rsid w:val="00AD1402"/>
    <w:rsid w:val="00AD623B"/>
    <w:rsid w:val="00AE1A4A"/>
    <w:rsid w:val="00AF1F6E"/>
    <w:rsid w:val="00B246FC"/>
    <w:rsid w:val="00B327BB"/>
    <w:rsid w:val="00B41F07"/>
    <w:rsid w:val="00B538E0"/>
    <w:rsid w:val="00B565A1"/>
    <w:rsid w:val="00B65A0A"/>
    <w:rsid w:val="00B671BE"/>
    <w:rsid w:val="00B72D36"/>
    <w:rsid w:val="00B77931"/>
    <w:rsid w:val="00B83E97"/>
    <w:rsid w:val="00B85026"/>
    <w:rsid w:val="00B85DAF"/>
    <w:rsid w:val="00B86D56"/>
    <w:rsid w:val="00B92A87"/>
    <w:rsid w:val="00B93A92"/>
    <w:rsid w:val="00B9645E"/>
    <w:rsid w:val="00BA2365"/>
    <w:rsid w:val="00BC4164"/>
    <w:rsid w:val="00BD2DCC"/>
    <w:rsid w:val="00BE0891"/>
    <w:rsid w:val="00BE4137"/>
    <w:rsid w:val="00BE6F91"/>
    <w:rsid w:val="00BF524B"/>
    <w:rsid w:val="00BF5A07"/>
    <w:rsid w:val="00C1069D"/>
    <w:rsid w:val="00C2496D"/>
    <w:rsid w:val="00C40DFF"/>
    <w:rsid w:val="00C44ACD"/>
    <w:rsid w:val="00C47708"/>
    <w:rsid w:val="00C63FDD"/>
    <w:rsid w:val="00C66D9A"/>
    <w:rsid w:val="00C7465E"/>
    <w:rsid w:val="00C75817"/>
    <w:rsid w:val="00C833E5"/>
    <w:rsid w:val="00C90559"/>
    <w:rsid w:val="00C92DEA"/>
    <w:rsid w:val="00C95B05"/>
    <w:rsid w:val="00CA7CBE"/>
    <w:rsid w:val="00CD78F1"/>
    <w:rsid w:val="00CE16BE"/>
    <w:rsid w:val="00CE267C"/>
    <w:rsid w:val="00D02DDB"/>
    <w:rsid w:val="00D12FF5"/>
    <w:rsid w:val="00D211AD"/>
    <w:rsid w:val="00D21257"/>
    <w:rsid w:val="00D33EA5"/>
    <w:rsid w:val="00D56C7C"/>
    <w:rsid w:val="00D62573"/>
    <w:rsid w:val="00D66957"/>
    <w:rsid w:val="00D67BAD"/>
    <w:rsid w:val="00D71B4D"/>
    <w:rsid w:val="00D85782"/>
    <w:rsid w:val="00D90289"/>
    <w:rsid w:val="00D93D55"/>
    <w:rsid w:val="00DA50F7"/>
    <w:rsid w:val="00DC292D"/>
    <w:rsid w:val="00DD7EC1"/>
    <w:rsid w:val="00DF747F"/>
    <w:rsid w:val="00E246BE"/>
    <w:rsid w:val="00E325BF"/>
    <w:rsid w:val="00E371A6"/>
    <w:rsid w:val="00E45C84"/>
    <w:rsid w:val="00E504E5"/>
    <w:rsid w:val="00E6384D"/>
    <w:rsid w:val="00E715AD"/>
    <w:rsid w:val="00E84BDC"/>
    <w:rsid w:val="00E96322"/>
    <w:rsid w:val="00EB23DB"/>
    <w:rsid w:val="00EB3F6F"/>
    <w:rsid w:val="00EB7A3E"/>
    <w:rsid w:val="00EC401A"/>
    <w:rsid w:val="00EC672E"/>
    <w:rsid w:val="00EC6B4B"/>
    <w:rsid w:val="00EE145D"/>
    <w:rsid w:val="00EE59B6"/>
    <w:rsid w:val="00EF530A"/>
    <w:rsid w:val="00EF6622"/>
    <w:rsid w:val="00F0659B"/>
    <w:rsid w:val="00F44592"/>
    <w:rsid w:val="00F54C57"/>
    <w:rsid w:val="00F55408"/>
    <w:rsid w:val="00F66152"/>
    <w:rsid w:val="00F70034"/>
    <w:rsid w:val="00F80845"/>
    <w:rsid w:val="00F84474"/>
    <w:rsid w:val="00F926F8"/>
    <w:rsid w:val="00FA4FF9"/>
    <w:rsid w:val="00FB00C8"/>
    <w:rsid w:val="00FB57C7"/>
    <w:rsid w:val="00FC71AD"/>
    <w:rsid w:val="00FD0356"/>
    <w:rsid w:val="00FD59D1"/>
    <w:rsid w:val="00FE1266"/>
    <w:rsid w:val="00FE3457"/>
  </w:rsids>
  <m:mathPr>
    <m:mathFont m:val="Cambria Math"/>
    <m:brkBin m:val="before"/>
    <m:brkBinSub m:val="--"/>
    <m:smallFrac m:val="0"/>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Hyperlink">
    <w:name w:val="Hyperlink"/>
    <w:basedOn w:val="DefaultParagraphFont"/>
    <w:rsid w:val="005B6B4F"/>
    <w:rPr>
      <w:color w:val="0000FF"/>
      <w:u w:val="single"/>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9959F4"/>
    <w:pPr>
      <w:spacing w:after="160" w:line="240" w:lineRule="exact"/>
    </w:pPr>
    <w:rPr>
      <w:rFonts w:ascii="Verdana" w:eastAsia="PMingLiU" w:hAnsi="Verdana" w:cs="Times New Roman"/>
      <w:sz w:val="20"/>
      <w:lang w:val="en-US" w:eastAsia="en-US"/>
    </w:rPr>
  </w:style>
  <w:style w:type="paragraph" w:styleId="NormalWeb">
    <w:name w:val="Normal (Web)"/>
    <w:basedOn w:val="Normal"/>
    <w:rsid w:val="009959F4"/>
    <w:pPr>
      <w:spacing w:before="100" w:beforeAutospacing="1" w:after="100" w:afterAutospacing="1"/>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B77931"/>
    <w:rPr>
      <w:color w:val="800080"/>
      <w:u w:val="single"/>
    </w:rPr>
  </w:style>
  <w:style w:type="paragraph" w:customStyle="1" w:styleId="Default">
    <w:name w:val="Default"/>
    <w:rsid w:val="00281802"/>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8A5798"/>
    <w:rPr>
      <w:rFonts w:ascii="Arial" w:eastAsia="SimSun" w:hAnsi="Arial" w:cs="Arial"/>
      <w:sz w:val="22"/>
      <w:lang w:val="es-ES" w:eastAsia="zh-CN" w:bidi="ar-SA"/>
    </w:rPr>
  </w:style>
  <w:style w:type="character" w:customStyle="1" w:styleId="ONUMEChar">
    <w:name w:val="ONUM E Char"/>
    <w:basedOn w:val="BodyTextChar"/>
    <w:link w:val="ONUME"/>
    <w:rsid w:val="008A5798"/>
    <w:rPr>
      <w:rFonts w:ascii="Arial" w:eastAsia="SimSun" w:hAnsi="Arial" w:cs="Arial"/>
      <w:sz w:val="22"/>
      <w:lang w:val="es-ES" w:eastAsia="zh-CN" w:bidi="ar-SA"/>
    </w:rPr>
  </w:style>
  <w:style w:type="paragraph" w:customStyle="1" w:styleId="Endofdocument">
    <w:name w:val="End of document"/>
    <w:basedOn w:val="Normal"/>
    <w:rsid w:val="00C7465E"/>
    <w:pPr>
      <w:ind w:left="5534"/>
    </w:pPr>
    <w:rPr>
      <w:lang w:val="en-US"/>
    </w:rPr>
  </w:style>
  <w:style w:type="paragraph" w:customStyle="1" w:styleId="DecisionInvitingPara">
    <w:name w:val="Decision Inviting Para."/>
    <w:basedOn w:val="Normal"/>
    <w:link w:val="DecisionInvitingParaChar"/>
    <w:rsid w:val="00C7465E"/>
    <w:pPr>
      <w:spacing w:after="120" w:line="260" w:lineRule="atLeast"/>
      <w:ind w:left="6095" w:hanging="561"/>
    </w:pPr>
    <w:rPr>
      <w:rFonts w:eastAsia="Batang" w:cs="Times New Roman"/>
      <w:i/>
      <w:sz w:val="20"/>
      <w:lang w:val="en-US" w:eastAsia="en-US"/>
    </w:rPr>
  </w:style>
  <w:style w:type="character" w:customStyle="1" w:styleId="DecisionInvitingParaChar">
    <w:name w:val="Decision Inviting Para. Char"/>
    <w:basedOn w:val="DefaultParagraphFont"/>
    <w:link w:val="DecisionInvitingPara"/>
    <w:rsid w:val="00C7465E"/>
    <w:rPr>
      <w:rFonts w:ascii="Arial" w:eastAsia="Batang" w:hAnsi="Arial"/>
      <w:i/>
      <w:lang w:val="en-US" w:eastAsia="en-US" w:bidi="ar-SA"/>
    </w:rPr>
  </w:style>
  <w:style w:type="paragraph" w:styleId="BalloonText">
    <w:name w:val="Balloon Text"/>
    <w:basedOn w:val="Normal"/>
    <w:link w:val="BalloonTextChar"/>
    <w:rsid w:val="006110FC"/>
    <w:rPr>
      <w:rFonts w:ascii="Tahoma" w:hAnsi="Tahoma" w:cs="Tahoma"/>
      <w:sz w:val="16"/>
      <w:szCs w:val="16"/>
    </w:rPr>
  </w:style>
  <w:style w:type="character" w:customStyle="1" w:styleId="BalloonTextChar">
    <w:name w:val="Balloon Text Char"/>
    <w:basedOn w:val="DefaultParagraphFont"/>
    <w:link w:val="BalloonText"/>
    <w:rsid w:val="006110FC"/>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styleId="Hyperlink">
    <w:name w:val="Hyperlink"/>
    <w:basedOn w:val="DefaultParagraphFont"/>
    <w:rsid w:val="005B6B4F"/>
    <w:rPr>
      <w:color w:val="0000FF"/>
      <w:u w:val="single"/>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Char">
    <w:name w:val="Char 字元 字元"/>
    <w:basedOn w:val="Normal"/>
    <w:rsid w:val="009959F4"/>
    <w:pPr>
      <w:spacing w:after="160" w:line="240" w:lineRule="exact"/>
    </w:pPr>
    <w:rPr>
      <w:rFonts w:ascii="Verdana" w:eastAsia="PMingLiU" w:hAnsi="Verdana" w:cs="Times New Roman"/>
      <w:sz w:val="20"/>
      <w:lang w:val="en-US" w:eastAsia="en-US"/>
    </w:rPr>
  </w:style>
  <w:style w:type="paragraph" w:styleId="NormalWeb">
    <w:name w:val="Normal (Web)"/>
    <w:basedOn w:val="Normal"/>
    <w:rsid w:val="009959F4"/>
    <w:pPr>
      <w:spacing w:before="100" w:beforeAutospacing="1" w:after="100" w:afterAutospacing="1"/>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rsid w:val="00B77931"/>
    <w:rPr>
      <w:color w:val="800080"/>
      <w:u w:val="single"/>
    </w:rPr>
  </w:style>
  <w:style w:type="paragraph" w:customStyle="1" w:styleId="Default">
    <w:name w:val="Default"/>
    <w:rsid w:val="00281802"/>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8A5798"/>
    <w:rPr>
      <w:rFonts w:ascii="Arial" w:eastAsia="SimSun" w:hAnsi="Arial" w:cs="Arial"/>
      <w:sz w:val="22"/>
      <w:lang w:val="es-ES" w:eastAsia="zh-CN" w:bidi="ar-SA"/>
    </w:rPr>
  </w:style>
  <w:style w:type="character" w:customStyle="1" w:styleId="ONUMEChar">
    <w:name w:val="ONUM E Char"/>
    <w:basedOn w:val="BodyTextChar"/>
    <w:link w:val="ONUME"/>
    <w:rsid w:val="008A5798"/>
    <w:rPr>
      <w:rFonts w:ascii="Arial" w:eastAsia="SimSun" w:hAnsi="Arial" w:cs="Arial"/>
      <w:sz w:val="22"/>
      <w:lang w:val="es-ES" w:eastAsia="zh-CN" w:bidi="ar-SA"/>
    </w:rPr>
  </w:style>
  <w:style w:type="paragraph" w:customStyle="1" w:styleId="Endofdocument">
    <w:name w:val="End of document"/>
    <w:basedOn w:val="Normal"/>
    <w:rsid w:val="00C7465E"/>
    <w:pPr>
      <w:ind w:left="5534"/>
    </w:pPr>
    <w:rPr>
      <w:lang w:val="en-US"/>
    </w:rPr>
  </w:style>
  <w:style w:type="paragraph" w:customStyle="1" w:styleId="DecisionInvitingPara">
    <w:name w:val="Decision Inviting Para."/>
    <w:basedOn w:val="Normal"/>
    <w:link w:val="DecisionInvitingParaChar"/>
    <w:rsid w:val="00C7465E"/>
    <w:pPr>
      <w:spacing w:after="120" w:line="260" w:lineRule="atLeast"/>
      <w:ind w:left="6095" w:hanging="561"/>
    </w:pPr>
    <w:rPr>
      <w:rFonts w:eastAsia="Batang" w:cs="Times New Roman"/>
      <w:i/>
      <w:sz w:val="20"/>
      <w:lang w:val="en-US" w:eastAsia="en-US"/>
    </w:rPr>
  </w:style>
  <w:style w:type="character" w:customStyle="1" w:styleId="DecisionInvitingParaChar">
    <w:name w:val="Decision Inviting Para. Char"/>
    <w:basedOn w:val="DefaultParagraphFont"/>
    <w:link w:val="DecisionInvitingPara"/>
    <w:rsid w:val="00C7465E"/>
    <w:rPr>
      <w:rFonts w:ascii="Arial" w:eastAsia="Batang" w:hAnsi="Arial"/>
      <w:i/>
      <w:lang w:val="en-US" w:eastAsia="en-US" w:bidi="ar-SA"/>
    </w:rPr>
  </w:style>
  <w:style w:type="paragraph" w:styleId="BalloonText">
    <w:name w:val="Balloon Text"/>
    <w:basedOn w:val="Normal"/>
    <w:link w:val="BalloonTextChar"/>
    <w:rsid w:val="006110FC"/>
    <w:rPr>
      <w:rFonts w:ascii="Tahoma" w:hAnsi="Tahoma" w:cs="Tahoma"/>
      <w:sz w:val="16"/>
      <w:szCs w:val="16"/>
    </w:rPr>
  </w:style>
  <w:style w:type="character" w:customStyle="1" w:styleId="BalloonTextChar">
    <w:name w:val="Balloon Text Char"/>
    <w:basedOn w:val="DefaultParagraphFont"/>
    <w:link w:val="BalloonText"/>
    <w:rsid w:val="006110FC"/>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424</Words>
  <Characters>2097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CWS/4BIS/7 (en español) </vt:lpstr>
    </vt:vector>
  </TitlesOfParts>
  <Company>WIPO</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CWS/4BIS/7 (en español) </dc:title>
  <dc:subject>Información sobre la fase de entrada nacional (regional) de solicitudes internacionales PCT publicadas</dc:subject>
  <dc:creator>OMPI/WIPO</dc:creator>
  <cp:keywords>CWS</cp:keywords>
  <dc:description/>
  <cp:lastModifiedBy>RODRIGUEZ Geraldine</cp:lastModifiedBy>
  <cp:revision>4</cp:revision>
  <cp:lastPrinted>2014-04-10T08:25:00Z</cp:lastPrinted>
  <dcterms:created xsi:type="dcterms:W3CDTF">2016-03-01T12:24:00Z</dcterms:created>
  <dcterms:modified xsi:type="dcterms:W3CDTF">2016-03-01T15:15:00Z</dcterms:modified>
</cp:coreProperties>
</file>