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1C" w:rsidRPr="001F4126" w:rsidRDefault="008563C0" w:rsidP="000B6F99">
      <w:pPr>
        <w:rPr>
          <w:b/>
          <w:bCs/>
          <w:lang w:val="es-ES"/>
        </w:rPr>
      </w:pPr>
      <w:r w:rsidRPr="001F4126">
        <w:rPr>
          <w:b/>
          <w:caps/>
          <w:sz w:val="24"/>
          <w:lang w:val="es-ES"/>
        </w:rPr>
        <w:t>Creación de una tarea con el fin de ESTABLECER requisitos para el FICHERO de referencia de documentos de patente expedidos por las oficinas de patentes</w:t>
      </w:r>
    </w:p>
    <w:p w:rsidR="000B6F99" w:rsidRPr="001F4126" w:rsidRDefault="000B6F99" w:rsidP="000B6F99">
      <w:pPr>
        <w:rPr>
          <w:i/>
          <w:iCs/>
          <w:lang w:val="es-ES"/>
        </w:rPr>
      </w:pPr>
    </w:p>
    <w:p w:rsidR="00C04F1C" w:rsidRPr="001F4126" w:rsidRDefault="008563C0" w:rsidP="000B6F99">
      <w:pPr>
        <w:rPr>
          <w:i/>
          <w:iCs/>
          <w:lang w:val="es-ES"/>
        </w:rPr>
      </w:pPr>
      <w:r w:rsidRPr="001F4126">
        <w:rPr>
          <w:i/>
          <w:iCs/>
          <w:lang w:val="es-ES"/>
        </w:rPr>
        <w:t xml:space="preserve">Documento </w:t>
      </w:r>
      <w:r w:rsidR="00C04F1C" w:rsidRPr="001F4126">
        <w:rPr>
          <w:i/>
          <w:iCs/>
          <w:lang w:val="es-ES"/>
        </w:rPr>
        <w:t>prepar</w:t>
      </w:r>
      <w:r w:rsidRPr="001F4126">
        <w:rPr>
          <w:i/>
          <w:iCs/>
          <w:lang w:val="es-ES"/>
        </w:rPr>
        <w:t>ado por la Oficina Europea de Patentes</w:t>
      </w:r>
      <w:r w:rsidR="00C04F1C" w:rsidRPr="001F4126">
        <w:rPr>
          <w:i/>
          <w:iCs/>
          <w:lang w:val="es-ES"/>
        </w:rPr>
        <w:t xml:space="preserve"> (</w:t>
      </w:r>
      <w:r w:rsidRPr="001F4126">
        <w:rPr>
          <w:i/>
          <w:iCs/>
          <w:lang w:val="es-ES"/>
        </w:rPr>
        <w:t>OEP</w:t>
      </w:r>
      <w:r w:rsidR="00C04F1C" w:rsidRPr="001F4126">
        <w:rPr>
          <w:i/>
          <w:iCs/>
          <w:lang w:val="es-ES"/>
        </w:rPr>
        <w:t>)</w:t>
      </w:r>
    </w:p>
    <w:p w:rsidR="00FD131C" w:rsidRPr="001F4126" w:rsidRDefault="00FD131C" w:rsidP="00FD131C">
      <w:pPr>
        <w:rPr>
          <w:lang w:val="es-ES"/>
        </w:rPr>
      </w:pPr>
    </w:p>
    <w:p w:rsidR="00C04F1C" w:rsidRPr="0087628B" w:rsidRDefault="008563C0" w:rsidP="0087628B">
      <w:pPr>
        <w:pStyle w:val="ONUMFS"/>
      </w:pPr>
      <w:r w:rsidRPr="0087628B">
        <w:t>ANTECEDENTES</w:t>
      </w:r>
    </w:p>
    <w:p w:rsidR="00C04F1C" w:rsidRPr="001F4126" w:rsidRDefault="008563C0" w:rsidP="00FD131C">
      <w:pPr>
        <w:pStyle w:val="BodyText"/>
        <w:rPr>
          <w:lang w:val="es-ES"/>
        </w:rPr>
      </w:pPr>
      <w:r w:rsidRPr="001F4126">
        <w:rPr>
          <w:lang w:val="es-ES"/>
        </w:rPr>
        <w:t xml:space="preserve">En la Norma </w:t>
      </w:r>
      <w:r w:rsidR="00C04F1C" w:rsidRPr="001F4126">
        <w:rPr>
          <w:lang w:val="es-ES"/>
        </w:rPr>
        <w:t>ST.1</w:t>
      </w:r>
      <w:r w:rsidRPr="001F4126">
        <w:rPr>
          <w:lang w:val="es-ES"/>
        </w:rPr>
        <w:t xml:space="preserve"> de la OMPI se formula una recomendación en la que se definen los elementos mínimos de datos necesarios para la identificación exclusiva de </w:t>
      </w:r>
      <w:r w:rsidR="00AC2EEA" w:rsidRPr="001F4126">
        <w:rPr>
          <w:lang w:val="es-ES"/>
        </w:rPr>
        <w:t>toda clase de documentos de patente, independientemente de que se publiquen en papel o en forma electrónica.  En la recomendación se aclaran las definiciones de “documentos de patente”, “publicación” y “publicado”.  Además, en ella se mencionan las normas técnicas de la OMPI que son pertinentes en lo que respecta a la recomendación al examinar los detalles de los elementos mínimos de datos necesarios.</w:t>
      </w:r>
    </w:p>
    <w:p w:rsidR="00C04F1C" w:rsidRPr="001F4126" w:rsidRDefault="005B6F26" w:rsidP="00FD131C">
      <w:pPr>
        <w:pStyle w:val="BodyText"/>
        <w:rPr>
          <w:lang w:val="es-ES"/>
        </w:rPr>
      </w:pPr>
      <w:r w:rsidRPr="001F4126">
        <w:rPr>
          <w:lang w:val="es-ES"/>
        </w:rPr>
        <w:t xml:space="preserve">Ahora bien, en la </w:t>
      </w:r>
      <w:r w:rsidR="00077A7E" w:rsidRPr="001F4126">
        <w:rPr>
          <w:lang w:val="es-ES"/>
        </w:rPr>
        <w:t>Norma</w:t>
      </w:r>
      <w:r w:rsidR="00C04F1C" w:rsidRPr="001F4126">
        <w:rPr>
          <w:lang w:val="es-ES"/>
        </w:rPr>
        <w:t xml:space="preserve"> ST.1 </w:t>
      </w:r>
      <w:r w:rsidRPr="001F4126">
        <w:rPr>
          <w:lang w:val="es-ES"/>
        </w:rPr>
        <w:t>no se ofrece orientación alguna sobre la forma de emplear la recomendación con fines prácticos, es decir, para elaborar una lista de dichas clases de documentos de patente identificados</w:t>
      </w:r>
      <w:r w:rsidR="00C04F1C" w:rsidRPr="001F4126">
        <w:rPr>
          <w:lang w:val="es-ES"/>
        </w:rPr>
        <w:t>.</w:t>
      </w:r>
    </w:p>
    <w:p w:rsidR="00C04F1C" w:rsidRPr="001F4126" w:rsidRDefault="0048405C" w:rsidP="00FD131C">
      <w:pPr>
        <w:pStyle w:val="BodyText"/>
        <w:rPr>
          <w:lang w:val="es-ES"/>
        </w:rPr>
      </w:pPr>
      <w:r w:rsidRPr="001F4126">
        <w:rPr>
          <w:lang w:val="es-ES"/>
        </w:rPr>
        <w:t>El proyecto</w:t>
      </w:r>
      <w:r w:rsidR="00C04F1C" w:rsidRPr="001F4126">
        <w:rPr>
          <w:lang w:val="es-ES"/>
        </w:rPr>
        <w:t xml:space="preserve"> </w:t>
      </w:r>
      <w:r w:rsidR="00FD131C" w:rsidRPr="001F4126">
        <w:rPr>
          <w:lang w:val="es-ES"/>
        </w:rPr>
        <w:t>“</w:t>
      </w:r>
      <w:r w:rsidRPr="001F4126">
        <w:rPr>
          <w:lang w:val="es-ES"/>
        </w:rPr>
        <w:t>Documentación común</w:t>
      </w:r>
      <w:r w:rsidR="00FD131C" w:rsidRPr="001F4126">
        <w:rPr>
          <w:lang w:val="es-ES"/>
        </w:rPr>
        <w:t>”</w:t>
      </w:r>
      <w:r w:rsidR="00C04F1C" w:rsidRPr="001F4126">
        <w:rPr>
          <w:lang w:val="es-ES"/>
        </w:rPr>
        <w:t xml:space="preserve"> </w:t>
      </w:r>
      <w:r w:rsidRPr="001F4126">
        <w:rPr>
          <w:lang w:val="es-ES"/>
        </w:rPr>
        <w:t xml:space="preserve">que se lleva a cabo en el marco de los Proyectos de la Fundación de las Oficinas de la Cooperación Pentalateral ha planteado la pertinente necesidad de permitir que las Oficinas de patentes y terceros proveedores de información sobre patentes </w:t>
      </w:r>
      <w:r w:rsidR="00EC4CF6" w:rsidRPr="001F4126">
        <w:rPr>
          <w:lang w:val="es-ES"/>
        </w:rPr>
        <w:t>evalúen si sus colecciones de publicaciones de otras Oficinas de pate</w:t>
      </w:r>
      <w:r w:rsidR="00A22101" w:rsidRPr="001F4126">
        <w:rPr>
          <w:lang w:val="es-ES"/>
        </w:rPr>
        <w:t>n</w:t>
      </w:r>
      <w:r w:rsidR="00EC4CF6" w:rsidRPr="001F4126">
        <w:rPr>
          <w:lang w:val="es-ES"/>
        </w:rPr>
        <w:t>tes están completas.  Una vez determinen si están o no completas pueden subsanarse las lagunas resultan</w:t>
      </w:r>
      <w:r w:rsidR="00A22101" w:rsidRPr="001F4126">
        <w:rPr>
          <w:lang w:val="es-ES"/>
        </w:rPr>
        <w:t>t</w:t>
      </w:r>
      <w:r w:rsidR="0017414C" w:rsidRPr="001F4126">
        <w:rPr>
          <w:lang w:val="es-ES"/>
        </w:rPr>
        <w:t>es, aportando con ese fin la</w:t>
      </w:r>
      <w:r w:rsidR="00EC4CF6" w:rsidRPr="001F4126">
        <w:rPr>
          <w:lang w:val="es-ES"/>
        </w:rPr>
        <w:t xml:space="preserve"> información</w:t>
      </w:r>
      <w:r w:rsidR="0017414C" w:rsidRPr="001F4126">
        <w:rPr>
          <w:lang w:val="es-ES"/>
        </w:rPr>
        <w:t xml:space="preserve"> de los documentos que falten</w:t>
      </w:r>
      <w:r w:rsidR="00EC4CF6" w:rsidRPr="001F4126">
        <w:rPr>
          <w:lang w:val="es-ES"/>
        </w:rPr>
        <w:t>.</w:t>
      </w:r>
    </w:p>
    <w:p w:rsidR="00C04F1C" w:rsidRPr="001F4126" w:rsidRDefault="00AF4D6D" w:rsidP="00FD131C">
      <w:pPr>
        <w:pStyle w:val="BodyText"/>
        <w:rPr>
          <w:lang w:val="es-ES"/>
        </w:rPr>
      </w:pPr>
      <w:r w:rsidRPr="001F4126">
        <w:rPr>
          <w:lang w:val="es-ES"/>
        </w:rPr>
        <w:t>Sincronizar las colec</w:t>
      </w:r>
      <w:r w:rsidR="009E19C6" w:rsidRPr="001F4126">
        <w:rPr>
          <w:lang w:val="es-ES"/>
        </w:rPr>
        <w:t>c</w:t>
      </w:r>
      <w:r w:rsidRPr="001F4126">
        <w:rPr>
          <w:lang w:val="es-ES"/>
        </w:rPr>
        <w:t xml:space="preserve">iones de datos existentes, por ejemplo en las </w:t>
      </w:r>
      <w:r w:rsidR="00153288" w:rsidRPr="001F4126">
        <w:rPr>
          <w:lang w:val="es-ES"/>
        </w:rPr>
        <w:t>Oficina</w:t>
      </w:r>
      <w:r w:rsidRPr="001F4126">
        <w:rPr>
          <w:lang w:val="es-ES"/>
        </w:rPr>
        <w:t>s de patentes, es fundamental para que puedan llevarse a cabo búsquedas exhaustivas del estado de la técnica en documentos de patente publicados en una colección específica de datos (documentación mínima del PCT).  Además, puede contribuir a una mejora general de la calidad de los datos al garantizar el carácter exhaustivo de una colección de datos de patente</w:t>
      </w:r>
      <w:r w:rsidR="0017414C" w:rsidRPr="001F4126">
        <w:rPr>
          <w:lang w:val="es-ES"/>
        </w:rPr>
        <w:t>s</w:t>
      </w:r>
      <w:r w:rsidRPr="001F4126">
        <w:rPr>
          <w:lang w:val="es-ES"/>
        </w:rPr>
        <w:t>.</w:t>
      </w:r>
    </w:p>
    <w:p w:rsidR="00C04F1C" w:rsidRPr="001F4126" w:rsidRDefault="00007564" w:rsidP="0087628B">
      <w:pPr>
        <w:pStyle w:val="ONUMFS"/>
        <w:rPr>
          <w:lang w:val="es-ES"/>
        </w:rPr>
      </w:pPr>
      <w:r w:rsidRPr="001F4126">
        <w:rPr>
          <w:lang w:val="es-ES"/>
        </w:rPr>
        <w:t xml:space="preserve">SOLUCIÓN </w:t>
      </w:r>
      <w:r w:rsidR="0017414C" w:rsidRPr="001F4126">
        <w:rPr>
          <w:lang w:val="es-ES"/>
        </w:rPr>
        <w:t xml:space="preserve">PROPUESTA </w:t>
      </w:r>
      <w:r w:rsidRPr="001F4126">
        <w:rPr>
          <w:lang w:val="es-ES"/>
        </w:rPr>
        <w:t>PARA SUBSANAR LAS LAGUNAS DE DATOS</w:t>
      </w:r>
    </w:p>
    <w:p w:rsidR="00C04F1C" w:rsidRPr="001F4126" w:rsidRDefault="009E19C6" w:rsidP="00FD131C">
      <w:pPr>
        <w:pStyle w:val="BodyText"/>
        <w:rPr>
          <w:lang w:val="es-ES"/>
        </w:rPr>
      </w:pPr>
      <w:r w:rsidRPr="001F4126">
        <w:rPr>
          <w:lang w:val="es-ES"/>
        </w:rPr>
        <w:t xml:space="preserve">Sincronizar las colecciones de datos existentes, por ejemplo en las </w:t>
      </w:r>
      <w:r w:rsidR="00153288" w:rsidRPr="001F4126">
        <w:rPr>
          <w:lang w:val="es-ES"/>
        </w:rPr>
        <w:t>Oficina</w:t>
      </w:r>
      <w:r w:rsidRPr="001F4126">
        <w:rPr>
          <w:lang w:val="es-ES"/>
        </w:rPr>
        <w:t>s de patentes, es fundamental para que puedan llevarse a cabo búsquedas exhaustivas del estado de la técnica en documentos de patente publicados en una colección específica de datos (documentación mínima del PCT).  Además, puede contribuir a una mejora general de la calidad de los datos al garantizar el carácter exhaustivo de una colección de datos de patente</w:t>
      </w:r>
      <w:r w:rsidR="0017414C" w:rsidRPr="001F4126">
        <w:rPr>
          <w:lang w:val="es-ES"/>
        </w:rPr>
        <w:t>s</w:t>
      </w:r>
      <w:r w:rsidR="00C04F1C" w:rsidRPr="001F4126">
        <w:rPr>
          <w:lang w:val="es-ES"/>
        </w:rPr>
        <w:t>.</w:t>
      </w:r>
    </w:p>
    <w:p w:rsidR="000120E8" w:rsidRPr="001F4126" w:rsidRDefault="00434FE2" w:rsidP="00FD131C">
      <w:pPr>
        <w:pStyle w:val="BodyText"/>
        <w:rPr>
          <w:lang w:val="es-ES"/>
        </w:rPr>
      </w:pPr>
      <w:r w:rsidRPr="001F4126">
        <w:rPr>
          <w:lang w:val="es-ES"/>
        </w:rPr>
        <w:t xml:space="preserve">A los fines de esa verificación de la concordancia de los datos, </w:t>
      </w:r>
      <w:r w:rsidR="00405F12" w:rsidRPr="001F4126">
        <w:rPr>
          <w:lang w:val="es-ES"/>
        </w:rPr>
        <w:t xml:space="preserve">se ha </w:t>
      </w:r>
      <w:r w:rsidR="0017414C" w:rsidRPr="001F4126">
        <w:rPr>
          <w:lang w:val="es-ES"/>
        </w:rPr>
        <w:t>elaborado una especificación relativa al</w:t>
      </w:r>
      <w:r w:rsidR="00405F12" w:rsidRPr="001F4126">
        <w:rPr>
          <w:lang w:val="es-ES"/>
        </w:rPr>
        <w:t xml:space="preserve"> denominado fichero de referencia</w:t>
      </w:r>
      <w:r w:rsidR="00C04F1C" w:rsidRPr="001F4126">
        <w:rPr>
          <w:lang w:val="es-ES"/>
        </w:rPr>
        <w:t xml:space="preserve">. </w:t>
      </w:r>
      <w:r w:rsidR="00FD131C" w:rsidRPr="001F4126">
        <w:rPr>
          <w:lang w:val="es-ES"/>
        </w:rPr>
        <w:t xml:space="preserve"> </w:t>
      </w:r>
      <w:r w:rsidR="00405F12" w:rsidRPr="001F4126">
        <w:rPr>
          <w:lang w:val="es-ES"/>
        </w:rPr>
        <w:t xml:space="preserve">En </w:t>
      </w:r>
      <w:r w:rsidR="0017414C" w:rsidRPr="001F4126">
        <w:rPr>
          <w:lang w:val="es-ES"/>
        </w:rPr>
        <w:t xml:space="preserve">dicho fichero </w:t>
      </w:r>
      <w:r w:rsidR="00405F12" w:rsidRPr="001F4126">
        <w:rPr>
          <w:lang w:val="es-ES"/>
        </w:rPr>
        <w:t>se incluye una lista</w:t>
      </w:r>
      <w:r w:rsidR="00C04F1C" w:rsidRPr="001F4126">
        <w:rPr>
          <w:lang w:val="es-ES"/>
        </w:rPr>
        <w:t xml:space="preserve"> definitiv</w:t>
      </w:r>
      <w:r w:rsidR="00405F12" w:rsidRPr="001F4126">
        <w:rPr>
          <w:lang w:val="es-ES"/>
        </w:rPr>
        <w:t>a de todos los documentos de patente expedidos por una Oficina de patentes</w:t>
      </w:r>
      <w:r w:rsidR="00C04F1C" w:rsidRPr="001F4126">
        <w:rPr>
          <w:lang w:val="es-ES"/>
        </w:rPr>
        <w:t>.</w:t>
      </w:r>
      <w:r w:rsidR="00FD131C" w:rsidRPr="001F4126">
        <w:rPr>
          <w:lang w:val="es-ES"/>
        </w:rPr>
        <w:t xml:space="preserve"> </w:t>
      </w:r>
      <w:r w:rsidR="00C04F1C" w:rsidRPr="001F4126">
        <w:rPr>
          <w:lang w:val="es-ES"/>
        </w:rPr>
        <w:t xml:space="preserve"> </w:t>
      </w:r>
      <w:r w:rsidR="00405F12" w:rsidRPr="001F4126">
        <w:rPr>
          <w:lang w:val="es-ES"/>
        </w:rPr>
        <w:t xml:space="preserve">Más concretamente, en él se suministran todos los números de publicación de documentos </w:t>
      </w:r>
      <w:r w:rsidR="001D37CB" w:rsidRPr="001F4126">
        <w:rPr>
          <w:lang w:val="es-ES"/>
        </w:rPr>
        <w:t xml:space="preserve">de patente </w:t>
      </w:r>
      <w:r w:rsidR="0017414C" w:rsidRPr="001F4126">
        <w:rPr>
          <w:lang w:val="es-ES"/>
        </w:rPr>
        <w:t>cuando dichos</w:t>
      </w:r>
      <w:r w:rsidR="001D37CB" w:rsidRPr="001F4126">
        <w:rPr>
          <w:lang w:val="es-ES"/>
        </w:rPr>
        <w:t xml:space="preserve"> números</w:t>
      </w:r>
      <w:r w:rsidR="00405F12" w:rsidRPr="001F4126">
        <w:rPr>
          <w:lang w:val="es-ES"/>
        </w:rPr>
        <w:t xml:space="preserve"> hayan sido publicados por lo menos una vez.  Por consiguiente eso también incluye los números</w:t>
      </w:r>
      <w:r w:rsidR="00C04F1C" w:rsidRPr="001F4126">
        <w:rPr>
          <w:lang w:val="es-ES"/>
        </w:rPr>
        <w:t xml:space="preserve"> </w:t>
      </w:r>
      <w:r w:rsidR="0017414C" w:rsidRPr="001F4126">
        <w:rPr>
          <w:lang w:val="es-ES"/>
        </w:rPr>
        <w:t>de documentos que no estén disponibles como documentos publicados</w:t>
      </w:r>
      <w:r w:rsidR="001D37CB" w:rsidRPr="001F4126">
        <w:rPr>
          <w:lang w:val="es-ES"/>
        </w:rPr>
        <w:t xml:space="preserve"> (por ejemplo, en el caso de retirada tardía de solicitudes, documentos destruidos que se hayan retirado tardíamente, documentos destruidos) o respecto de los cuales solo se </w:t>
      </w:r>
      <w:r w:rsidR="00153288" w:rsidRPr="001F4126">
        <w:rPr>
          <w:lang w:val="es-ES"/>
        </w:rPr>
        <w:t>disponga de</w:t>
      </w:r>
      <w:r w:rsidR="001D37CB" w:rsidRPr="001F4126">
        <w:rPr>
          <w:lang w:val="es-ES"/>
        </w:rPr>
        <w:t xml:space="preserve"> datos bibliográficos</w:t>
      </w:r>
      <w:r w:rsidR="000120E8" w:rsidRPr="001F4126">
        <w:rPr>
          <w:lang w:val="es-ES"/>
        </w:rPr>
        <w:t>.</w:t>
      </w:r>
    </w:p>
    <w:p w:rsidR="00C04F1C" w:rsidRPr="001F4126" w:rsidRDefault="001D37CB" w:rsidP="00FD131C">
      <w:pPr>
        <w:pStyle w:val="BodyText"/>
        <w:rPr>
          <w:lang w:val="es-ES"/>
        </w:rPr>
      </w:pPr>
      <w:r w:rsidRPr="001F4126">
        <w:rPr>
          <w:lang w:val="es-ES"/>
        </w:rPr>
        <w:t>En la especificación técnica del fichero de referencia se define</w:t>
      </w:r>
      <w:r w:rsidR="000120E8" w:rsidRPr="001F4126">
        <w:rPr>
          <w:lang w:val="es-ES"/>
        </w:rPr>
        <w:t>n l</w:t>
      </w:r>
      <w:r w:rsidRPr="001F4126">
        <w:rPr>
          <w:lang w:val="es-ES"/>
        </w:rPr>
        <w:t xml:space="preserve">os elementos mínimos de datos necesarios para el fichero de referencia de documentos de patente y los formatos </w:t>
      </w:r>
      <w:r w:rsidR="00492169" w:rsidRPr="001F4126">
        <w:rPr>
          <w:lang w:val="es-ES"/>
        </w:rPr>
        <w:t>de</w:t>
      </w:r>
      <w:r w:rsidRPr="001F4126">
        <w:rPr>
          <w:lang w:val="es-ES"/>
        </w:rPr>
        <w:t xml:space="preserve"> fichero propuestos para el fichero de referencia, sobre la base d</w:t>
      </w:r>
      <w:r w:rsidR="002028A0" w:rsidRPr="001F4126">
        <w:rPr>
          <w:lang w:val="es-ES"/>
        </w:rPr>
        <w:t>e las necesidades de las disti</w:t>
      </w:r>
      <w:r w:rsidRPr="001F4126">
        <w:rPr>
          <w:lang w:val="es-ES"/>
        </w:rPr>
        <w:t>n</w:t>
      </w:r>
      <w:r w:rsidR="002028A0" w:rsidRPr="001F4126">
        <w:rPr>
          <w:lang w:val="es-ES"/>
        </w:rPr>
        <w:t>t</w:t>
      </w:r>
      <w:r w:rsidRPr="001F4126">
        <w:rPr>
          <w:lang w:val="es-ES"/>
        </w:rPr>
        <w:t>as Oficinas de patentes, sin dejar de ofrecer cierto grado de flexibilidad.</w:t>
      </w:r>
    </w:p>
    <w:p w:rsidR="000120E8" w:rsidRPr="001F4126" w:rsidRDefault="00572AA6" w:rsidP="0087628B">
      <w:pPr>
        <w:pStyle w:val="BodyText"/>
        <w:rPr>
          <w:lang w:val="es-ES"/>
        </w:rPr>
      </w:pPr>
      <w:r w:rsidRPr="001F4126">
        <w:rPr>
          <w:lang w:val="es-ES"/>
        </w:rPr>
        <w:lastRenderedPageBreak/>
        <w:t>En esta definición de los elementos mínimos de datos necesarios para un fichero de referencia de los documentos de patente puede verse un gran paralelismo con la Norma</w:t>
      </w:r>
      <w:r w:rsidR="0087628B">
        <w:rPr>
          <w:lang w:val="es-ES"/>
        </w:rPr>
        <w:t> </w:t>
      </w:r>
      <w:r w:rsidRPr="001F4126">
        <w:rPr>
          <w:lang w:val="es-ES"/>
        </w:rPr>
        <w:t xml:space="preserve">ST.1 de la OMPI acerca de los elementos mínimos de datos necesarios </w:t>
      </w:r>
      <w:r w:rsidR="00153288" w:rsidRPr="001F4126">
        <w:rPr>
          <w:lang w:val="es-ES"/>
        </w:rPr>
        <w:t xml:space="preserve">para </w:t>
      </w:r>
      <w:r w:rsidRPr="001F4126">
        <w:rPr>
          <w:lang w:val="es-ES"/>
        </w:rPr>
        <w:t xml:space="preserve">la identificación exclusiva de los documentos de patente.  De ahí que </w:t>
      </w:r>
      <w:r w:rsidR="00153288" w:rsidRPr="001F4126">
        <w:rPr>
          <w:lang w:val="es-ES"/>
        </w:rPr>
        <w:t>proceda</w:t>
      </w:r>
      <w:r w:rsidR="0087628B">
        <w:rPr>
          <w:lang w:val="es-ES"/>
        </w:rPr>
        <w:t xml:space="preserve"> ampliar la Norma </w:t>
      </w:r>
      <w:bookmarkStart w:id="0" w:name="_GoBack"/>
      <w:bookmarkEnd w:id="0"/>
      <w:r w:rsidRPr="001F4126">
        <w:rPr>
          <w:lang w:val="es-ES"/>
        </w:rPr>
        <w:t xml:space="preserve">ST.1 incluyendo la definición y </w:t>
      </w:r>
      <w:r w:rsidR="00492169" w:rsidRPr="001F4126">
        <w:rPr>
          <w:lang w:val="es-ES"/>
        </w:rPr>
        <w:t>especificación</w:t>
      </w:r>
      <w:r w:rsidRPr="001F4126">
        <w:rPr>
          <w:lang w:val="es-ES"/>
        </w:rPr>
        <w:t xml:space="preserve"> de </w:t>
      </w:r>
      <w:r w:rsidR="00492169" w:rsidRPr="001F4126">
        <w:rPr>
          <w:lang w:val="es-ES"/>
        </w:rPr>
        <w:t>un fichero</w:t>
      </w:r>
      <w:r w:rsidRPr="001F4126">
        <w:rPr>
          <w:lang w:val="es-ES"/>
        </w:rPr>
        <w:t xml:space="preserve"> de referencia </w:t>
      </w:r>
      <w:r w:rsidR="0087628B">
        <w:rPr>
          <w:lang w:val="es-ES"/>
        </w:rPr>
        <w:t>como caso concreto de uso de la </w:t>
      </w:r>
      <w:r w:rsidRPr="001F4126">
        <w:rPr>
          <w:lang w:val="es-ES"/>
        </w:rPr>
        <w:t>ST.1</w:t>
      </w:r>
      <w:r w:rsidR="000120E8" w:rsidRPr="001F4126">
        <w:rPr>
          <w:lang w:val="es-ES"/>
        </w:rPr>
        <w:t>.</w:t>
      </w:r>
    </w:p>
    <w:p w:rsidR="00F936DB" w:rsidRPr="001F4126" w:rsidRDefault="00D74FB5" w:rsidP="0087628B">
      <w:pPr>
        <w:pStyle w:val="BodyText"/>
        <w:rPr>
          <w:lang w:val="es-ES"/>
        </w:rPr>
      </w:pPr>
      <w:r w:rsidRPr="001F4126">
        <w:rPr>
          <w:lang w:val="es-ES"/>
        </w:rPr>
        <w:t xml:space="preserve">Por consiguiente, la revisión de la </w:t>
      </w:r>
      <w:r w:rsidR="00077A7E" w:rsidRPr="001F4126">
        <w:rPr>
          <w:lang w:val="es-ES"/>
        </w:rPr>
        <w:t>Norma</w:t>
      </w:r>
      <w:r w:rsidR="0087628B">
        <w:rPr>
          <w:lang w:val="es-ES"/>
        </w:rPr>
        <w:t> </w:t>
      </w:r>
      <w:r w:rsidRPr="001F4126">
        <w:rPr>
          <w:lang w:val="es-ES"/>
        </w:rPr>
        <w:t xml:space="preserve">ST.1 sería una de las soluciones recomendables, de modo que el fichero de referencia pase a ser una herramienta bien definida para indicar todos los números de publicación de documentos de patentes expedidos por una Oficina de patentes u organización regional.  </w:t>
      </w:r>
      <w:r w:rsidR="00C15F3A" w:rsidRPr="001F4126">
        <w:rPr>
          <w:lang w:val="es-ES"/>
        </w:rPr>
        <w:t xml:space="preserve">Otra alternativa válida sería elaborar una nueva norma técnica de la OMPI </w:t>
      </w:r>
      <w:r w:rsidR="00492169" w:rsidRPr="001F4126">
        <w:rPr>
          <w:lang w:val="es-ES"/>
        </w:rPr>
        <w:t>para responder a las necesidades específicas relativas a un fichero de referencia.</w:t>
      </w:r>
    </w:p>
    <w:p w:rsidR="00FD131C" w:rsidRPr="001F4126" w:rsidRDefault="00FD131C" w:rsidP="00F936DB">
      <w:pPr>
        <w:pStyle w:val="Endofdocument-Annex"/>
        <w:rPr>
          <w:lang w:val="es-ES"/>
        </w:rPr>
      </w:pPr>
    </w:p>
    <w:p w:rsidR="002647B6" w:rsidRPr="001F4126" w:rsidRDefault="002647B6" w:rsidP="00F936DB">
      <w:pPr>
        <w:pStyle w:val="Endofdocument-Annex"/>
        <w:rPr>
          <w:lang w:val="es-ES"/>
        </w:rPr>
      </w:pPr>
    </w:p>
    <w:p w:rsidR="00F936DB" w:rsidRPr="00317AEF" w:rsidRDefault="00F936DB" w:rsidP="002647B6">
      <w:pPr>
        <w:pStyle w:val="Endofdocument-Annex"/>
        <w:rPr>
          <w:lang w:val="es-ES"/>
        </w:rPr>
      </w:pPr>
      <w:r w:rsidRPr="00317AEF">
        <w:rPr>
          <w:lang w:val="es-ES"/>
        </w:rPr>
        <w:t>[</w:t>
      </w:r>
      <w:r w:rsidR="00492169" w:rsidRPr="00317AEF">
        <w:rPr>
          <w:lang w:val="es-ES"/>
        </w:rPr>
        <w:t>Fin del An</w:t>
      </w:r>
      <w:r w:rsidRPr="00317AEF">
        <w:rPr>
          <w:lang w:val="es-ES"/>
        </w:rPr>
        <w:t>ex</w:t>
      </w:r>
      <w:r w:rsidR="00492169" w:rsidRPr="00317AEF">
        <w:rPr>
          <w:lang w:val="es-ES"/>
        </w:rPr>
        <w:t>o y del documento]</w:t>
      </w:r>
    </w:p>
    <w:sectPr w:rsidR="00F936DB" w:rsidRPr="00317AEF" w:rsidSect="00F936DB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40E" w:rsidRDefault="0081040E">
      <w:r>
        <w:separator/>
      </w:r>
    </w:p>
  </w:endnote>
  <w:endnote w:type="continuationSeparator" w:id="0">
    <w:p w:rsidR="0081040E" w:rsidRDefault="0081040E" w:rsidP="003B38C1">
      <w:r>
        <w:separator/>
      </w:r>
    </w:p>
    <w:p w:rsidR="0081040E" w:rsidRPr="003B38C1" w:rsidRDefault="0081040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1040E" w:rsidRPr="003B38C1" w:rsidRDefault="0081040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40E" w:rsidRDefault="0081040E">
      <w:r>
        <w:separator/>
      </w:r>
    </w:p>
  </w:footnote>
  <w:footnote w:type="continuationSeparator" w:id="0">
    <w:p w:rsidR="0081040E" w:rsidRDefault="0081040E" w:rsidP="008B60B2">
      <w:r>
        <w:separator/>
      </w:r>
    </w:p>
    <w:p w:rsidR="0081040E" w:rsidRPr="00ED77FB" w:rsidRDefault="0081040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1040E" w:rsidRPr="00ED77FB" w:rsidRDefault="0081040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E6AE1" w:rsidP="00477D6B">
    <w:pPr>
      <w:jc w:val="right"/>
    </w:pPr>
    <w:bookmarkStart w:id="1" w:name="Code2"/>
    <w:bookmarkEnd w:id="1"/>
    <w:r>
      <w:t>CWS/4</w:t>
    </w:r>
    <w:r w:rsidR="00C04F1C">
      <w:t>BIS</w:t>
    </w:r>
    <w:r>
      <w:t>/1</w:t>
    </w:r>
    <w:r w:rsidR="00C04F1C">
      <w:t>3</w:t>
    </w:r>
  </w:p>
  <w:p w:rsidR="00EC4E49" w:rsidRDefault="00D212B7" w:rsidP="00477D6B">
    <w:pPr>
      <w:jc w:val="right"/>
    </w:pPr>
    <w:r>
      <w:t>An</w:t>
    </w:r>
    <w:r w:rsidR="00FD131C">
      <w:t>ex</w:t>
    </w:r>
    <w:r>
      <w:t>o</w:t>
    </w:r>
    <w:r w:rsidR="00FD131C">
      <w:t xml:space="preserve">, </w:t>
    </w: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7628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FD131C" w:rsidRDefault="00FD131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6DB" w:rsidRDefault="00F936DB" w:rsidP="00F936DB">
    <w:pPr>
      <w:jc w:val="right"/>
    </w:pPr>
    <w:r>
      <w:t>CWS/4BIS/13</w:t>
    </w:r>
  </w:p>
  <w:p w:rsidR="00F936DB" w:rsidRDefault="00F936DB" w:rsidP="00F936DB">
    <w:pPr>
      <w:jc w:val="right"/>
    </w:pPr>
    <w:r>
      <w:t>ANEX</w:t>
    </w:r>
    <w:r w:rsidR="002647B6">
      <w:t>O</w:t>
    </w:r>
  </w:p>
  <w:p w:rsidR="00F936DB" w:rsidRDefault="00F936DB" w:rsidP="00F936DB">
    <w:pPr>
      <w:jc w:val="right"/>
    </w:pPr>
  </w:p>
  <w:p w:rsidR="00FD131C" w:rsidRDefault="00FD131C" w:rsidP="00F936D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1"/>
    <w:rsid w:val="00007564"/>
    <w:rsid w:val="000120E8"/>
    <w:rsid w:val="00030798"/>
    <w:rsid w:val="00043CAA"/>
    <w:rsid w:val="00075432"/>
    <w:rsid w:val="00077A7E"/>
    <w:rsid w:val="000968ED"/>
    <w:rsid w:val="000B6F99"/>
    <w:rsid w:val="000F5E56"/>
    <w:rsid w:val="000F694B"/>
    <w:rsid w:val="001362EE"/>
    <w:rsid w:val="00153288"/>
    <w:rsid w:val="0017414C"/>
    <w:rsid w:val="001832A6"/>
    <w:rsid w:val="001A1EAD"/>
    <w:rsid w:val="001D37CB"/>
    <w:rsid w:val="001F4126"/>
    <w:rsid w:val="002028A0"/>
    <w:rsid w:val="00202CD1"/>
    <w:rsid w:val="0021093F"/>
    <w:rsid w:val="00261981"/>
    <w:rsid w:val="002634C4"/>
    <w:rsid w:val="002647B6"/>
    <w:rsid w:val="002928D3"/>
    <w:rsid w:val="002F1FE6"/>
    <w:rsid w:val="002F4E68"/>
    <w:rsid w:val="00312F7F"/>
    <w:rsid w:val="00316604"/>
    <w:rsid w:val="00317AEF"/>
    <w:rsid w:val="00361450"/>
    <w:rsid w:val="003673CF"/>
    <w:rsid w:val="003845C1"/>
    <w:rsid w:val="003A6F89"/>
    <w:rsid w:val="003B38C1"/>
    <w:rsid w:val="003F0D05"/>
    <w:rsid w:val="00405F12"/>
    <w:rsid w:val="00423D3E"/>
    <w:rsid w:val="00423E3E"/>
    <w:rsid w:val="00427AF4"/>
    <w:rsid w:val="00434FE2"/>
    <w:rsid w:val="004647DA"/>
    <w:rsid w:val="00474062"/>
    <w:rsid w:val="00477D6B"/>
    <w:rsid w:val="0048405C"/>
    <w:rsid w:val="00492169"/>
    <w:rsid w:val="004A3C2D"/>
    <w:rsid w:val="004B3B3D"/>
    <w:rsid w:val="004D4E76"/>
    <w:rsid w:val="004F065C"/>
    <w:rsid w:val="005019FF"/>
    <w:rsid w:val="00524A10"/>
    <w:rsid w:val="0053057A"/>
    <w:rsid w:val="00546F78"/>
    <w:rsid w:val="00560A29"/>
    <w:rsid w:val="00572AA6"/>
    <w:rsid w:val="005A5031"/>
    <w:rsid w:val="005B6F26"/>
    <w:rsid w:val="005C6649"/>
    <w:rsid w:val="005D3486"/>
    <w:rsid w:val="005F6FE9"/>
    <w:rsid w:val="00605827"/>
    <w:rsid w:val="00607BDB"/>
    <w:rsid w:val="00646050"/>
    <w:rsid w:val="00662341"/>
    <w:rsid w:val="006713CA"/>
    <w:rsid w:val="00676C5C"/>
    <w:rsid w:val="00783D58"/>
    <w:rsid w:val="007924C9"/>
    <w:rsid w:val="00793A9E"/>
    <w:rsid w:val="007C0113"/>
    <w:rsid w:val="007D1613"/>
    <w:rsid w:val="007E6AE1"/>
    <w:rsid w:val="00804FB4"/>
    <w:rsid w:val="0081040E"/>
    <w:rsid w:val="008248E9"/>
    <w:rsid w:val="008563C0"/>
    <w:rsid w:val="0087628B"/>
    <w:rsid w:val="00887A20"/>
    <w:rsid w:val="008964E3"/>
    <w:rsid w:val="008A5A88"/>
    <w:rsid w:val="008B2CC1"/>
    <w:rsid w:val="008B3EC3"/>
    <w:rsid w:val="008B60B2"/>
    <w:rsid w:val="00906518"/>
    <w:rsid w:val="0090731E"/>
    <w:rsid w:val="00916EE2"/>
    <w:rsid w:val="009355BB"/>
    <w:rsid w:val="00941161"/>
    <w:rsid w:val="00966A22"/>
    <w:rsid w:val="0096722F"/>
    <w:rsid w:val="00980843"/>
    <w:rsid w:val="00982A48"/>
    <w:rsid w:val="009E19C6"/>
    <w:rsid w:val="009E2791"/>
    <w:rsid w:val="009E3F6F"/>
    <w:rsid w:val="009F499F"/>
    <w:rsid w:val="00A22101"/>
    <w:rsid w:val="00A42DAF"/>
    <w:rsid w:val="00A45BD8"/>
    <w:rsid w:val="00A70563"/>
    <w:rsid w:val="00A71E56"/>
    <w:rsid w:val="00A77586"/>
    <w:rsid w:val="00A869B7"/>
    <w:rsid w:val="00A93AE4"/>
    <w:rsid w:val="00A9671E"/>
    <w:rsid w:val="00AC205C"/>
    <w:rsid w:val="00AC2EEA"/>
    <w:rsid w:val="00AF0A6B"/>
    <w:rsid w:val="00AF4D6D"/>
    <w:rsid w:val="00B05A69"/>
    <w:rsid w:val="00B83F45"/>
    <w:rsid w:val="00B9734B"/>
    <w:rsid w:val="00BA5ED6"/>
    <w:rsid w:val="00BF2981"/>
    <w:rsid w:val="00C04F1C"/>
    <w:rsid w:val="00C11BFE"/>
    <w:rsid w:val="00C14182"/>
    <w:rsid w:val="00C15F3A"/>
    <w:rsid w:val="00C314BF"/>
    <w:rsid w:val="00C3259F"/>
    <w:rsid w:val="00C96E9B"/>
    <w:rsid w:val="00CB157E"/>
    <w:rsid w:val="00D212B7"/>
    <w:rsid w:val="00D45252"/>
    <w:rsid w:val="00D71B4D"/>
    <w:rsid w:val="00D74FB5"/>
    <w:rsid w:val="00D93D55"/>
    <w:rsid w:val="00DA6CEB"/>
    <w:rsid w:val="00E1227C"/>
    <w:rsid w:val="00E335FE"/>
    <w:rsid w:val="00E84598"/>
    <w:rsid w:val="00E90DBF"/>
    <w:rsid w:val="00EC4CF6"/>
    <w:rsid w:val="00EC4E49"/>
    <w:rsid w:val="00ED77FB"/>
    <w:rsid w:val="00EE45FA"/>
    <w:rsid w:val="00EF1A12"/>
    <w:rsid w:val="00EF644F"/>
    <w:rsid w:val="00F15DA7"/>
    <w:rsid w:val="00F3320C"/>
    <w:rsid w:val="00F652C5"/>
    <w:rsid w:val="00F66152"/>
    <w:rsid w:val="00F936DB"/>
    <w:rsid w:val="00FA7A66"/>
    <w:rsid w:val="00FC7792"/>
    <w:rsid w:val="00FD131C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7C0113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7C0113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7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CWS/4BIS/13 Annex en español)</vt:lpstr>
    </vt:vector>
  </TitlesOfParts>
  <Company>WIPO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CWS/4BIS/13 Annex (en español)</dc:title>
  <dc:subject>Creación de una tarea con el fin de establecer requisitos para el fichero de referencia de documentos de patente expedidos por las oficinas de patentes </dc:subject>
  <dc:creator>OMPI/WIPO</dc:creator>
  <cp:keywords>CWS</cp:keywords>
  <cp:lastModifiedBy>RODRIGUEZ Geraldine</cp:lastModifiedBy>
  <cp:revision>4</cp:revision>
  <cp:lastPrinted>2016-02-29T13:26:00Z</cp:lastPrinted>
  <dcterms:created xsi:type="dcterms:W3CDTF">2016-02-29T16:09:00Z</dcterms:created>
  <dcterms:modified xsi:type="dcterms:W3CDTF">2016-03-01T14:40:00Z</dcterms:modified>
</cp:coreProperties>
</file>