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86" w:rsidRPr="003E2ECE" w:rsidRDefault="0012550B" w:rsidP="0033317A">
      <w:pPr>
        <w:pStyle w:val="Heading1"/>
        <w:rPr>
          <w:lang w:val="es-ES"/>
        </w:rPr>
      </w:pPr>
      <w:r w:rsidRPr="003E2ECE">
        <w:rPr>
          <w:lang w:val="es-ES"/>
        </w:rPr>
        <w:t>SOLICITUD DE REVISIÓN DE LA NORMA ST.60 DE LA OMPI</w:t>
      </w:r>
    </w:p>
    <w:p w:rsidR="00324286" w:rsidRPr="003E2ECE" w:rsidRDefault="0012550B" w:rsidP="0033317A">
      <w:pPr>
        <w:pStyle w:val="Heading2"/>
        <w:rPr>
          <w:lang w:val="es-ES"/>
        </w:rPr>
      </w:pPr>
      <w:r w:rsidRPr="003E2ECE">
        <w:rPr>
          <w:lang w:val="es-ES"/>
        </w:rPr>
        <w:t>RESEÑA SOBRE EL PROBLEMA O LA NECESIDAD CONCRETA</w:t>
      </w:r>
    </w:p>
    <w:p w:rsidR="00324286" w:rsidRPr="003E2ECE" w:rsidRDefault="004B3180" w:rsidP="00CA3B6E">
      <w:pPr>
        <w:pStyle w:val="ONUME"/>
        <w:numPr>
          <w:ilvl w:val="0"/>
          <w:numId w:val="8"/>
        </w:numPr>
        <w:rPr>
          <w:lang w:val="es-ES"/>
        </w:rPr>
      </w:pPr>
      <w:r w:rsidRPr="003E2ECE">
        <w:rPr>
          <w:color w:val="000000"/>
          <w:lang w:val="es-ES"/>
        </w:rPr>
        <w:t>El 1 de septiembre de 20</w:t>
      </w:r>
      <w:r w:rsidR="0062627A" w:rsidRPr="003E2ECE">
        <w:rPr>
          <w:color w:val="000000"/>
          <w:lang w:val="es-ES"/>
        </w:rPr>
        <w:t>09, se introdujeron las nuevas R</w:t>
      </w:r>
      <w:r w:rsidRPr="003E2ECE">
        <w:rPr>
          <w:color w:val="000000"/>
          <w:lang w:val="es-ES"/>
        </w:rPr>
        <w:t>eglas 18</w:t>
      </w:r>
      <w:r w:rsidRPr="003E2ECE">
        <w:rPr>
          <w:i/>
          <w:color w:val="000000"/>
          <w:lang w:val="es-ES"/>
        </w:rPr>
        <w:t>bis</w:t>
      </w:r>
      <w:r w:rsidRPr="003E2ECE">
        <w:rPr>
          <w:color w:val="000000"/>
          <w:lang w:val="es-ES"/>
        </w:rPr>
        <w:t xml:space="preserve"> y 18</w:t>
      </w:r>
      <w:r w:rsidRPr="003E2ECE">
        <w:rPr>
          <w:i/>
          <w:color w:val="000000"/>
          <w:lang w:val="es-ES"/>
        </w:rPr>
        <w:t>ter</w:t>
      </w:r>
      <w:r w:rsidRPr="003E2ECE">
        <w:rPr>
          <w:color w:val="000000"/>
          <w:lang w:val="es-ES"/>
        </w:rPr>
        <w:t xml:space="preserve"> al Reglamento Común del Arreglo de Madrid relativo al Registro Internacional de Marcas y del Protocolo concerniente a ese Arreglo (en lo sucesivo </w:t>
      </w:r>
      <w:r w:rsidR="00BA577E">
        <w:rPr>
          <w:color w:val="000000"/>
          <w:lang w:val="es-ES"/>
        </w:rPr>
        <w:t>“</w:t>
      </w:r>
      <w:r w:rsidRPr="003E2ECE">
        <w:rPr>
          <w:color w:val="000000"/>
          <w:lang w:val="es-ES"/>
        </w:rPr>
        <w:t>el Reglamento Común</w:t>
      </w:r>
      <w:r w:rsidR="00BA577E">
        <w:rPr>
          <w:color w:val="000000"/>
          <w:lang w:val="es-ES"/>
        </w:rPr>
        <w:t>”</w:t>
      </w:r>
      <w:r w:rsidRPr="003E2ECE">
        <w:rPr>
          <w:color w:val="000000"/>
          <w:lang w:val="es-ES"/>
        </w:rPr>
        <w:t>).</w:t>
      </w:r>
      <w:r w:rsidR="0096129F" w:rsidRPr="003E2ECE">
        <w:rPr>
          <w:lang w:val="es-ES"/>
        </w:rPr>
        <w:t xml:space="preserve">  </w:t>
      </w:r>
      <w:r w:rsidR="0062627A" w:rsidRPr="003E2ECE">
        <w:rPr>
          <w:color w:val="000000"/>
          <w:lang w:val="es-ES"/>
        </w:rPr>
        <w:t>Las nuevas r</w:t>
      </w:r>
      <w:r w:rsidR="00CA3B6E" w:rsidRPr="003E2ECE">
        <w:rPr>
          <w:color w:val="000000"/>
          <w:lang w:val="es-ES"/>
        </w:rPr>
        <w:t xml:space="preserve">eglas simplifican las disposiciones que antes figuraban en la Regla 17 </w:t>
      </w:r>
      <w:r w:rsidR="00682E59" w:rsidRPr="003E2ECE">
        <w:rPr>
          <w:color w:val="000000"/>
          <w:lang w:val="es-ES"/>
        </w:rPr>
        <w:t>sobre la manera en que las o</w:t>
      </w:r>
      <w:r w:rsidR="00CA3B6E" w:rsidRPr="003E2ECE">
        <w:rPr>
          <w:color w:val="000000"/>
          <w:lang w:val="es-ES"/>
        </w:rPr>
        <w:t>ficinas designadas deben comunicar la situación de la protección de la marca en una Parte Contratante designada del sistema de Madrid para el Registro Internacional de Marcas.</w:t>
      </w:r>
      <w:r w:rsidR="00FF5664" w:rsidRPr="003E2ECE">
        <w:rPr>
          <w:lang w:val="es-ES"/>
        </w:rPr>
        <w:t xml:space="preserve">  </w:t>
      </w:r>
      <w:r w:rsidR="00CA3B6E" w:rsidRPr="003E2ECE">
        <w:rPr>
          <w:color w:val="000000"/>
          <w:lang w:val="es-ES"/>
        </w:rPr>
        <w:t xml:space="preserve">Se introdujeron estas nuevas descripciones a fin de precisar el alcance real de la protección concedida. </w:t>
      </w:r>
      <w:bookmarkStart w:id="0" w:name="_GoBack"/>
      <w:bookmarkEnd w:id="0"/>
      <w:r w:rsidR="00FF5664" w:rsidRPr="003E2ECE">
        <w:rPr>
          <w:lang w:val="es-ES"/>
        </w:rPr>
        <w:t xml:space="preserve"> </w:t>
      </w:r>
      <w:r w:rsidR="00CA3B6E" w:rsidRPr="003E2ECE">
        <w:rPr>
          <w:color w:val="000000"/>
          <w:lang w:val="es-ES"/>
        </w:rPr>
        <w:t xml:space="preserve">Las descripciones de los códigos INID en la </w:t>
      </w:r>
      <w:r w:rsidR="00220A07" w:rsidRPr="003E2ECE">
        <w:rPr>
          <w:color w:val="000000"/>
          <w:lang w:val="es-ES"/>
        </w:rPr>
        <w:t>categoría</w:t>
      </w:r>
      <w:r w:rsidR="00CA3B6E" w:rsidRPr="003E2ECE">
        <w:rPr>
          <w:color w:val="000000"/>
          <w:lang w:val="es-ES"/>
        </w:rPr>
        <w:t xml:space="preserve"> 890 titulada </w:t>
      </w:r>
      <w:r w:rsidR="00BA577E">
        <w:rPr>
          <w:color w:val="000000"/>
          <w:lang w:val="es-ES"/>
        </w:rPr>
        <w:t>“</w:t>
      </w:r>
      <w:r w:rsidR="00CA3B6E" w:rsidRPr="003E2ECE">
        <w:rPr>
          <w:color w:val="000000"/>
          <w:lang w:val="es-ES"/>
        </w:rPr>
        <w:t>Datos relat</w:t>
      </w:r>
      <w:r w:rsidR="005C7403" w:rsidRPr="003E2ECE">
        <w:rPr>
          <w:color w:val="000000"/>
          <w:lang w:val="es-ES"/>
        </w:rPr>
        <w:t>ivos a las decisiones finales</w:t>
      </w:r>
      <w:r w:rsidR="00BA577E">
        <w:rPr>
          <w:color w:val="000000"/>
          <w:lang w:val="es-ES"/>
        </w:rPr>
        <w:t>”</w:t>
      </w:r>
      <w:r w:rsidR="005C7403" w:rsidRPr="003E2ECE">
        <w:rPr>
          <w:color w:val="000000"/>
          <w:lang w:val="es-ES"/>
        </w:rPr>
        <w:t xml:space="preserve"> </w:t>
      </w:r>
      <w:r w:rsidR="00CA3B6E" w:rsidRPr="003E2ECE">
        <w:rPr>
          <w:color w:val="000000"/>
          <w:lang w:val="es-ES"/>
        </w:rPr>
        <w:t>ya no refleja</w:t>
      </w:r>
      <w:r w:rsidR="005C7403" w:rsidRPr="003E2ECE">
        <w:rPr>
          <w:color w:val="000000"/>
          <w:lang w:val="es-ES"/>
        </w:rPr>
        <w:t>n</w:t>
      </w:r>
      <w:r w:rsidR="00CA3B6E" w:rsidRPr="003E2ECE">
        <w:rPr>
          <w:color w:val="000000"/>
          <w:lang w:val="es-ES"/>
        </w:rPr>
        <w:t xml:space="preserve"> la formulación utilizada en el Reglamento Común. </w:t>
      </w:r>
    </w:p>
    <w:p w:rsidR="00324286" w:rsidRPr="003E2ECE" w:rsidRDefault="00477DE1" w:rsidP="003D1469">
      <w:pPr>
        <w:pStyle w:val="ONUME"/>
        <w:numPr>
          <w:ilvl w:val="0"/>
          <w:numId w:val="8"/>
        </w:numPr>
        <w:rPr>
          <w:lang w:val="es-ES"/>
        </w:rPr>
      </w:pPr>
      <w:r w:rsidRPr="003E2ECE">
        <w:rPr>
          <w:color w:val="000000"/>
          <w:lang w:val="es-ES"/>
        </w:rPr>
        <w:t xml:space="preserve">Además, la fecha de la notificación de un registro o una inscripción que envía </w:t>
      </w:r>
      <w:r w:rsidR="00220A07" w:rsidRPr="003E2ECE">
        <w:rPr>
          <w:color w:val="000000"/>
          <w:lang w:val="es-ES"/>
        </w:rPr>
        <w:t>la Oficina Internacional a las o</w:t>
      </w:r>
      <w:r w:rsidRPr="003E2ECE">
        <w:rPr>
          <w:color w:val="000000"/>
          <w:lang w:val="es-ES"/>
        </w:rPr>
        <w:t xml:space="preserve">ficinas de las Partes Contratantes designadas es sumamente pertinente. </w:t>
      </w:r>
      <w:r w:rsidR="00FF5664" w:rsidRPr="003E2ECE">
        <w:rPr>
          <w:lang w:val="es-ES"/>
        </w:rPr>
        <w:t xml:space="preserve"> </w:t>
      </w:r>
      <w:r w:rsidR="003D1469" w:rsidRPr="003E2ECE">
        <w:rPr>
          <w:color w:val="000000"/>
          <w:lang w:val="es-ES"/>
        </w:rPr>
        <w:t xml:space="preserve">La misma representa la fecha de inicio </w:t>
      </w:r>
      <w:r w:rsidR="00682E59" w:rsidRPr="003E2ECE">
        <w:rPr>
          <w:color w:val="000000"/>
          <w:lang w:val="es-ES"/>
        </w:rPr>
        <w:t>del plazo con el que cuenta la o</w:t>
      </w:r>
      <w:r w:rsidR="003D1469" w:rsidRPr="003E2ECE">
        <w:rPr>
          <w:color w:val="000000"/>
          <w:lang w:val="es-ES"/>
        </w:rPr>
        <w:t xml:space="preserve">ficina designada para enviar una notificación o declaración en relación con el registro o inscripción correspondiente. </w:t>
      </w:r>
      <w:r w:rsidR="00BA577E">
        <w:rPr>
          <w:lang w:val="es-ES"/>
        </w:rPr>
        <w:t xml:space="preserve"> </w:t>
      </w:r>
      <w:r w:rsidR="003D1469" w:rsidRPr="003E2ECE">
        <w:rPr>
          <w:color w:val="000000"/>
          <w:lang w:val="es-ES"/>
        </w:rPr>
        <w:t xml:space="preserve">En aras de la claridad, la fecha de la notificación que envía </w:t>
      </w:r>
      <w:r w:rsidR="00682E59" w:rsidRPr="003E2ECE">
        <w:rPr>
          <w:color w:val="000000"/>
          <w:lang w:val="es-ES"/>
        </w:rPr>
        <w:t>la Oficina Internacional a las o</w:t>
      </w:r>
      <w:r w:rsidR="003D1469" w:rsidRPr="003E2ECE">
        <w:rPr>
          <w:color w:val="000000"/>
          <w:lang w:val="es-ES"/>
        </w:rPr>
        <w:t xml:space="preserve">ficinas designadas debe ser una indicación </w:t>
      </w:r>
      <w:r w:rsidR="00682E59" w:rsidRPr="003E2ECE">
        <w:rPr>
          <w:color w:val="000000"/>
          <w:lang w:val="es-ES"/>
        </w:rPr>
        <w:t>única</w:t>
      </w:r>
      <w:r w:rsidR="003D1469" w:rsidRPr="003E2ECE">
        <w:rPr>
          <w:color w:val="000000"/>
          <w:lang w:val="es-ES"/>
        </w:rPr>
        <w:t xml:space="preserve">. </w:t>
      </w:r>
      <w:r w:rsidR="00FF5664" w:rsidRPr="003E2ECE">
        <w:rPr>
          <w:lang w:val="es-ES"/>
        </w:rPr>
        <w:t xml:space="preserve">  </w:t>
      </w:r>
    </w:p>
    <w:p w:rsidR="00324286" w:rsidRPr="003E2ECE" w:rsidRDefault="00B57A32" w:rsidP="00020145">
      <w:pPr>
        <w:pStyle w:val="ONUME"/>
        <w:numPr>
          <w:ilvl w:val="0"/>
          <w:numId w:val="8"/>
        </w:numPr>
        <w:rPr>
          <w:lang w:val="es-ES"/>
        </w:rPr>
      </w:pPr>
      <w:r w:rsidRPr="003E2ECE">
        <w:rPr>
          <w:color w:val="000000"/>
          <w:lang w:val="es-ES"/>
        </w:rPr>
        <w:t xml:space="preserve">Por último, una cancelación parcial de la lista de productos y servicios significa la supresión de los productos y servicios en cuestión del registro internacional y repercute directamente  en el alcance de la protección de todas las Partes Contratantes designadas. </w:t>
      </w:r>
      <w:r w:rsidR="00BA577E">
        <w:rPr>
          <w:color w:val="000000"/>
          <w:lang w:val="es-ES"/>
        </w:rPr>
        <w:t xml:space="preserve"> </w:t>
      </w:r>
      <w:r w:rsidR="00F02561" w:rsidRPr="003E2ECE">
        <w:rPr>
          <w:color w:val="000000"/>
          <w:lang w:val="es-ES"/>
        </w:rPr>
        <w:t xml:space="preserve">En consecuencia, dicha información debe estar claramente indicada en la publicación y </w:t>
      </w:r>
      <w:r w:rsidR="00220A07" w:rsidRPr="003E2ECE">
        <w:rPr>
          <w:color w:val="000000"/>
          <w:lang w:val="es-ES"/>
        </w:rPr>
        <w:t xml:space="preserve">la </w:t>
      </w:r>
      <w:r w:rsidR="00F02561" w:rsidRPr="003E2ECE">
        <w:rPr>
          <w:color w:val="000000"/>
          <w:lang w:val="es-ES"/>
        </w:rPr>
        <w:t xml:space="preserve">notificación de las designaciones posteriores </w:t>
      </w:r>
      <w:r w:rsidR="00682E59" w:rsidRPr="003E2ECE">
        <w:rPr>
          <w:color w:val="000000"/>
          <w:lang w:val="es-ES"/>
        </w:rPr>
        <w:t>al</w:t>
      </w:r>
      <w:r w:rsidR="00F02561" w:rsidRPr="003E2ECE">
        <w:rPr>
          <w:color w:val="000000"/>
          <w:lang w:val="es-ES"/>
        </w:rPr>
        <w:t xml:space="preserve"> registro internacional y su renovación. </w:t>
      </w:r>
      <w:r w:rsidR="00FF5664" w:rsidRPr="003E2ECE">
        <w:rPr>
          <w:lang w:val="es-ES"/>
        </w:rPr>
        <w:t xml:space="preserve"> </w:t>
      </w:r>
      <w:r w:rsidR="00020145" w:rsidRPr="003E2ECE">
        <w:rPr>
          <w:color w:val="000000"/>
          <w:lang w:val="es-ES"/>
        </w:rPr>
        <w:t xml:space="preserve">En aras de la claridad, las cancelaciones parciales deben ser identificadas de forma inequívoca. </w:t>
      </w:r>
      <w:r w:rsidR="00FF5664" w:rsidRPr="003E2ECE">
        <w:rPr>
          <w:lang w:val="es-ES"/>
        </w:rPr>
        <w:t xml:space="preserve">  </w:t>
      </w:r>
    </w:p>
    <w:p w:rsidR="00324286" w:rsidRPr="003E2ECE" w:rsidRDefault="00020145" w:rsidP="0033317A">
      <w:pPr>
        <w:pStyle w:val="Heading2"/>
        <w:rPr>
          <w:lang w:val="es-ES"/>
        </w:rPr>
      </w:pPr>
      <w:r w:rsidRPr="003E2ECE">
        <w:rPr>
          <w:lang w:val="es-ES"/>
        </w:rPr>
        <w:t>FORMA EN LA QUE SE DETERMINÓ LA NECESIDAD</w:t>
      </w:r>
    </w:p>
    <w:p w:rsidR="00324286" w:rsidRPr="003E2ECE" w:rsidRDefault="007C0C21" w:rsidP="007C0C21">
      <w:pPr>
        <w:pStyle w:val="ONUME"/>
        <w:rPr>
          <w:lang w:val="es-ES"/>
        </w:rPr>
      </w:pPr>
      <w:r w:rsidRPr="003E2ECE">
        <w:rPr>
          <w:color w:val="000000"/>
          <w:lang w:val="es-ES"/>
        </w:rPr>
        <w:t>Como parte del esfuerzo por lograr una publicación de datos clara en la Gaceta de la OMPI de Marcas Internacionales y en la base de datos ROMARIN, se tomaron en cuenta las  consideraciones antes mencionadas a la hora de elaborar la presente solicitud de revisión de la Norma ST.60 de la OMPI.</w:t>
      </w:r>
      <w:r w:rsidR="00FF5664" w:rsidRPr="003E2ECE">
        <w:rPr>
          <w:lang w:val="es-ES"/>
        </w:rPr>
        <w:t xml:space="preserve">  </w:t>
      </w:r>
    </w:p>
    <w:p w:rsidR="00324286" w:rsidRPr="003E2ECE" w:rsidRDefault="007C0C21" w:rsidP="0033317A">
      <w:pPr>
        <w:pStyle w:val="Heading2"/>
        <w:rPr>
          <w:lang w:val="es-ES"/>
        </w:rPr>
      </w:pPr>
      <w:r w:rsidRPr="003E2ECE">
        <w:rPr>
          <w:lang w:val="es-ES"/>
        </w:rPr>
        <w:t>SOLUCIONES POSIBLES</w:t>
      </w:r>
    </w:p>
    <w:p w:rsidR="00324286" w:rsidRPr="003E2ECE" w:rsidRDefault="00324286" w:rsidP="00324286">
      <w:pPr>
        <w:pStyle w:val="ONUME"/>
        <w:rPr>
          <w:lang w:val="es-ES"/>
        </w:rPr>
      </w:pPr>
      <w:r w:rsidRPr="003E2ECE">
        <w:rPr>
          <w:color w:val="000000"/>
          <w:lang w:val="es-ES"/>
        </w:rPr>
        <w:t>Para armonizar las d</w:t>
      </w:r>
      <w:r w:rsidR="00682E59" w:rsidRPr="003E2ECE">
        <w:rPr>
          <w:color w:val="000000"/>
          <w:lang w:val="es-ES"/>
        </w:rPr>
        <w:t>escripciones utilizadas en los c</w:t>
      </w:r>
      <w:r w:rsidRPr="003E2ECE">
        <w:rPr>
          <w:color w:val="000000"/>
          <w:lang w:val="es-ES"/>
        </w:rPr>
        <w:t>ódigos INID correspondientes con</w:t>
      </w:r>
      <w:r w:rsidR="00682E59" w:rsidRPr="003E2ECE">
        <w:rPr>
          <w:color w:val="000000"/>
          <w:lang w:val="es-ES"/>
        </w:rPr>
        <w:t xml:space="preserve"> la formulación del Reglamento C</w:t>
      </w:r>
      <w:r w:rsidRPr="003E2ECE">
        <w:rPr>
          <w:color w:val="000000"/>
          <w:lang w:val="es-ES"/>
        </w:rPr>
        <w:t>omún, se debe estudiar la posibilidad de</w:t>
      </w:r>
      <w:r w:rsidR="00682E59" w:rsidRPr="003E2ECE">
        <w:rPr>
          <w:color w:val="000000"/>
          <w:lang w:val="es-ES"/>
        </w:rPr>
        <w:t xml:space="preserve"> cambiar la descripción de los c</w:t>
      </w:r>
      <w:r w:rsidRPr="003E2ECE">
        <w:rPr>
          <w:color w:val="000000"/>
          <w:lang w:val="es-ES"/>
        </w:rPr>
        <w:t>ódigos INID (895), (896), (897) y (898)</w:t>
      </w:r>
      <w:r w:rsidR="005C7403" w:rsidRPr="003E2ECE">
        <w:rPr>
          <w:color w:val="000000"/>
          <w:lang w:val="es-ES"/>
        </w:rPr>
        <w:t>,</w:t>
      </w:r>
      <w:r w:rsidRPr="003E2ECE">
        <w:rPr>
          <w:color w:val="000000"/>
          <w:lang w:val="es-ES"/>
        </w:rPr>
        <w:t xml:space="preserve"> que figuran en la Norma ST.60 de la OMPI. </w:t>
      </w:r>
      <w:r w:rsidR="003916E2" w:rsidRPr="003E2ECE">
        <w:rPr>
          <w:lang w:val="es-ES"/>
        </w:rPr>
        <w:t xml:space="preserve">  </w:t>
      </w:r>
    </w:p>
    <w:p w:rsidR="00324286" w:rsidRPr="003E2ECE" w:rsidRDefault="00F8542B" w:rsidP="00F8542B">
      <w:pPr>
        <w:ind w:left="567"/>
        <w:rPr>
          <w:lang w:val="es-ES"/>
        </w:rPr>
      </w:pPr>
      <w:r w:rsidRPr="003E2ECE">
        <w:rPr>
          <w:lang w:val="es-ES"/>
        </w:rPr>
        <w:t>Código INID (895)</w:t>
      </w:r>
      <w:proofErr w:type="gramStart"/>
      <w:r w:rsidR="005C7403" w:rsidRPr="003E2ECE">
        <w:rPr>
          <w:lang w:val="es-ES"/>
        </w:rPr>
        <w:t>:</w:t>
      </w:r>
      <w:r w:rsidR="0033317A">
        <w:rPr>
          <w:lang w:val="es-ES"/>
        </w:rPr>
        <w:t xml:space="preserve"> </w:t>
      </w:r>
      <w:r w:rsidR="005C7403" w:rsidRPr="003E2ECE">
        <w:rPr>
          <w:lang w:val="es-ES"/>
        </w:rPr>
        <w:t xml:space="preserve"> l</w:t>
      </w:r>
      <w:r w:rsidRPr="003E2ECE">
        <w:rPr>
          <w:lang w:val="es-ES"/>
        </w:rPr>
        <w:t>a</w:t>
      </w:r>
      <w:proofErr w:type="gramEnd"/>
      <w:r w:rsidRPr="003E2ECE">
        <w:rPr>
          <w:lang w:val="es-ES"/>
        </w:rPr>
        <w:t xml:space="preserve"> nueva definición del código INID (895) sería:</w:t>
      </w:r>
      <w:r w:rsidR="00B448E0" w:rsidRPr="003E2ECE">
        <w:rPr>
          <w:lang w:val="es-ES"/>
        </w:rPr>
        <w:t xml:space="preserve">  </w:t>
      </w:r>
    </w:p>
    <w:p w:rsidR="00324286" w:rsidRPr="003E2ECE" w:rsidRDefault="00324286" w:rsidP="00B448E0">
      <w:pPr>
        <w:ind w:left="567"/>
        <w:rPr>
          <w:lang w:val="es-ES"/>
        </w:rPr>
      </w:pPr>
    </w:p>
    <w:p w:rsidR="00324286" w:rsidRPr="003E2ECE" w:rsidRDefault="0033317A" w:rsidP="00510216">
      <w:pPr>
        <w:ind w:left="1134"/>
        <w:rPr>
          <w:lang w:val="es-ES"/>
        </w:rPr>
      </w:pPr>
      <w:r>
        <w:rPr>
          <w:color w:val="000000"/>
          <w:lang w:val="es-ES"/>
        </w:rPr>
        <w:t>“</w:t>
      </w:r>
      <w:r w:rsidR="00510216" w:rsidRPr="003E2ECE">
        <w:rPr>
          <w:color w:val="000000"/>
          <w:lang w:val="es-ES"/>
        </w:rPr>
        <w:t>Declaración en la que const</w:t>
      </w:r>
      <w:r w:rsidR="00682E59" w:rsidRPr="003E2ECE">
        <w:rPr>
          <w:color w:val="000000"/>
          <w:lang w:val="es-ES"/>
        </w:rPr>
        <w:t>a</w:t>
      </w:r>
      <w:r w:rsidR="00510216" w:rsidRPr="003E2ECE">
        <w:rPr>
          <w:color w:val="000000"/>
          <w:lang w:val="es-ES"/>
        </w:rPr>
        <w:t xml:space="preserve"> que se ha retirado la denegación provisional y que se ha concedido la protección de la marca respecto de todos los productos y servicios para los que se ha solicitado protección.</w:t>
      </w:r>
      <w:r>
        <w:rPr>
          <w:color w:val="000000"/>
          <w:lang w:val="es-ES"/>
        </w:rPr>
        <w:t>”</w:t>
      </w:r>
      <w:r w:rsidR="00510216" w:rsidRPr="003E2ECE">
        <w:rPr>
          <w:color w:val="000000"/>
          <w:lang w:val="es-ES"/>
        </w:rPr>
        <w:t xml:space="preserve"> </w:t>
      </w:r>
    </w:p>
    <w:p w:rsidR="00324286" w:rsidRPr="003E2ECE" w:rsidRDefault="00324286" w:rsidP="00B448E0">
      <w:pPr>
        <w:ind w:left="567"/>
        <w:rPr>
          <w:lang w:val="es-ES"/>
        </w:rPr>
      </w:pPr>
    </w:p>
    <w:p w:rsidR="00324286" w:rsidRPr="003E2ECE" w:rsidRDefault="00510216" w:rsidP="00510216">
      <w:pPr>
        <w:ind w:left="567"/>
        <w:rPr>
          <w:lang w:val="es-ES"/>
        </w:rPr>
      </w:pPr>
      <w:r w:rsidRPr="003E2ECE">
        <w:rPr>
          <w:lang w:val="es-ES"/>
        </w:rPr>
        <w:t>Código INID (896)</w:t>
      </w:r>
      <w:proofErr w:type="gramStart"/>
      <w:r w:rsidRPr="003E2ECE">
        <w:rPr>
          <w:lang w:val="es-ES"/>
        </w:rPr>
        <w:t>:</w:t>
      </w:r>
      <w:r w:rsidR="005C7403" w:rsidRPr="003E2ECE">
        <w:rPr>
          <w:lang w:val="es-ES"/>
        </w:rPr>
        <w:t xml:space="preserve"> </w:t>
      </w:r>
      <w:r w:rsidR="0033317A">
        <w:rPr>
          <w:lang w:val="es-ES"/>
        </w:rPr>
        <w:t xml:space="preserve"> </w:t>
      </w:r>
      <w:r w:rsidR="005C7403" w:rsidRPr="003E2ECE">
        <w:rPr>
          <w:lang w:val="es-ES"/>
        </w:rPr>
        <w:t>l</w:t>
      </w:r>
      <w:r w:rsidRPr="003E2ECE">
        <w:rPr>
          <w:lang w:val="es-ES"/>
        </w:rPr>
        <w:t>a</w:t>
      </w:r>
      <w:proofErr w:type="gramEnd"/>
      <w:r w:rsidRPr="003E2ECE">
        <w:rPr>
          <w:lang w:val="es-ES"/>
        </w:rPr>
        <w:t xml:space="preserve"> nueva definición del código INID (896) sería:</w:t>
      </w:r>
      <w:r w:rsidR="00B448E0" w:rsidRPr="003E2ECE">
        <w:rPr>
          <w:lang w:val="es-ES"/>
        </w:rPr>
        <w:t xml:space="preserve">  </w:t>
      </w:r>
    </w:p>
    <w:p w:rsidR="00324286" w:rsidRPr="003E2ECE" w:rsidRDefault="00324286" w:rsidP="00B448E0">
      <w:pPr>
        <w:ind w:left="1134"/>
        <w:rPr>
          <w:lang w:val="es-ES"/>
        </w:rPr>
      </w:pPr>
    </w:p>
    <w:p w:rsidR="00324286" w:rsidRPr="003E2ECE" w:rsidRDefault="00FD20F3" w:rsidP="00510216">
      <w:pPr>
        <w:ind w:left="1134"/>
        <w:rPr>
          <w:lang w:val="es-ES"/>
        </w:rPr>
      </w:pPr>
      <w:r>
        <w:rPr>
          <w:color w:val="000000"/>
          <w:lang w:val="es-ES"/>
        </w:rPr>
        <w:t>“</w:t>
      </w:r>
      <w:r w:rsidR="00510216" w:rsidRPr="003E2ECE">
        <w:rPr>
          <w:color w:val="000000"/>
          <w:lang w:val="es-ES"/>
        </w:rPr>
        <w:t>Confirmación de la denegación provisional total.</w:t>
      </w:r>
      <w:r>
        <w:rPr>
          <w:color w:val="000000"/>
          <w:lang w:val="es-ES"/>
        </w:rPr>
        <w:t>”</w:t>
      </w:r>
    </w:p>
    <w:p w:rsidR="00324286" w:rsidRPr="003E2ECE" w:rsidRDefault="00324286" w:rsidP="00B448E0">
      <w:pPr>
        <w:ind w:left="567"/>
        <w:rPr>
          <w:lang w:val="es-ES"/>
        </w:rPr>
      </w:pPr>
    </w:p>
    <w:p w:rsidR="00324286" w:rsidRPr="003E2ECE" w:rsidRDefault="00510216" w:rsidP="00510216">
      <w:pPr>
        <w:ind w:left="567"/>
        <w:rPr>
          <w:lang w:val="es-ES"/>
        </w:rPr>
      </w:pPr>
      <w:r w:rsidRPr="003E2ECE">
        <w:rPr>
          <w:lang w:val="es-ES"/>
        </w:rPr>
        <w:t>Código INID (897)</w:t>
      </w:r>
      <w:proofErr w:type="gramStart"/>
      <w:r w:rsidRPr="003E2ECE">
        <w:rPr>
          <w:lang w:val="es-ES"/>
        </w:rPr>
        <w:t xml:space="preserve">: </w:t>
      </w:r>
      <w:r w:rsidR="0033317A">
        <w:rPr>
          <w:lang w:val="es-ES"/>
        </w:rPr>
        <w:t xml:space="preserve"> </w:t>
      </w:r>
      <w:r w:rsidRPr="003E2ECE">
        <w:rPr>
          <w:lang w:val="es-ES"/>
        </w:rPr>
        <w:t>la</w:t>
      </w:r>
      <w:proofErr w:type="gramEnd"/>
      <w:r w:rsidRPr="003E2ECE">
        <w:rPr>
          <w:lang w:val="es-ES"/>
        </w:rPr>
        <w:t xml:space="preserve"> nueva definición del código INID (897) sería:</w:t>
      </w:r>
      <w:r w:rsidR="00B448E0" w:rsidRPr="003E2ECE">
        <w:rPr>
          <w:lang w:val="es-ES"/>
        </w:rPr>
        <w:t xml:space="preserve">  </w:t>
      </w:r>
    </w:p>
    <w:p w:rsidR="00324286" w:rsidRPr="003E2ECE" w:rsidRDefault="00324286" w:rsidP="00B448E0">
      <w:pPr>
        <w:ind w:left="1134"/>
        <w:rPr>
          <w:lang w:val="es-ES"/>
        </w:rPr>
      </w:pPr>
    </w:p>
    <w:p w:rsidR="00324286" w:rsidRPr="003E2ECE" w:rsidRDefault="00FD20F3" w:rsidP="00510216">
      <w:pPr>
        <w:ind w:left="1134"/>
        <w:rPr>
          <w:lang w:val="es-ES"/>
        </w:rPr>
      </w:pPr>
      <w:r>
        <w:rPr>
          <w:color w:val="000000"/>
          <w:lang w:val="es-ES"/>
        </w:rPr>
        <w:t>“</w:t>
      </w:r>
      <w:r w:rsidR="00682E59" w:rsidRPr="003E2ECE">
        <w:rPr>
          <w:color w:val="000000"/>
          <w:lang w:val="es-ES"/>
        </w:rPr>
        <w:t>Declaración en la que se indica</w:t>
      </w:r>
      <w:r w:rsidR="00510216" w:rsidRPr="003E2ECE">
        <w:rPr>
          <w:color w:val="000000"/>
          <w:lang w:val="es-ES"/>
        </w:rPr>
        <w:t>n los productos y servicios respecto de los que</w:t>
      </w:r>
      <w:r w:rsidR="008B6939" w:rsidRPr="003E2ECE">
        <w:rPr>
          <w:color w:val="000000"/>
          <w:lang w:val="es-ES"/>
        </w:rPr>
        <w:t xml:space="preserve"> se</w:t>
      </w:r>
      <w:r w:rsidR="00510216" w:rsidRPr="003E2ECE">
        <w:rPr>
          <w:color w:val="000000"/>
          <w:lang w:val="es-ES"/>
        </w:rPr>
        <w:t xml:space="preserve"> concede la protección de la marca, tras una denegación provisional.</w:t>
      </w:r>
      <w:r>
        <w:rPr>
          <w:color w:val="000000"/>
          <w:lang w:val="es-ES"/>
        </w:rPr>
        <w:t>”</w:t>
      </w:r>
    </w:p>
    <w:p w:rsidR="00324286" w:rsidRPr="003E2ECE" w:rsidRDefault="00324286" w:rsidP="00B448E0">
      <w:pPr>
        <w:ind w:left="567"/>
        <w:rPr>
          <w:lang w:val="es-ES"/>
        </w:rPr>
      </w:pPr>
    </w:p>
    <w:p w:rsidR="00E608F6" w:rsidRPr="003E2ECE" w:rsidRDefault="00E608F6" w:rsidP="00B448E0">
      <w:pPr>
        <w:ind w:left="567"/>
        <w:rPr>
          <w:u w:val="single"/>
          <w:lang w:val="es-ES"/>
        </w:rPr>
        <w:sectPr w:rsidR="00E608F6" w:rsidRPr="003E2ECE" w:rsidSect="00315BAB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709" w:left="1418" w:header="510" w:footer="1021" w:gutter="0"/>
          <w:cols w:space="720"/>
          <w:titlePg/>
          <w:docGrid w:linePitch="299"/>
        </w:sectPr>
      </w:pPr>
    </w:p>
    <w:p w:rsidR="00324286" w:rsidRPr="003E2ECE" w:rsidRDefault="00510216" w:rsidP="00510216">
      <w:pPr>
        <w:ind w:left="567"/>
        <w:rPr>
          <w:lang w:val="es-ES"/>
        </w:rPr>
      </w:pPr>
      <w:r w:rsidRPr="003E2ECE">
        <w:rPr>
          <w:lang w:val="es-ES"/>
        </w:rPr>
        <w:lastRenderedPageBreak/>
        <w:t>Código INID (898)</w:t>
      </w:r>
      <w:proofErr w:type="gramStart"/>
      <w:r w:rsidRPr="003E2ECE">
        <w:rPr>
          <w:lang w:val="es-ES"/>
        </w:rPr>
        <w:t>:</w:t>
      </w:r>
      <w:r w:rsidR="0033317A">
        <w:rPr>
          <w:lang w:val="es-ES"/>
        </w:rPr>
        <w:t xml:space="preserve"> </w:t>
      </w:r>
      <w:r w:rsidRPr="003E2ECE">
        <w:rPr>
          <w:lang w:val="es-ES"/>
        </w:rPr>
        <w:t xml:space="preserve"> la</w:t>
      </w:r>
      <w:proofErr w:type="gramEnd"/>
      <w:r w:rsidRPr="003E2ECE">
        <w:rPr>
          <w:lang w:val="es-ES"/>
        </w:rPr>
        <w:t xml:space="preserve"> nueva definición del código INID (898) sería:</w:t>
      </w:r>
      <w:r w:rsidR="00B448E0" w:rsidRPr="003E2ECE">
        <w:rPr>
          <w:lang w:val="es-ES"/>
        </w:rPr>
        <w:t xml:space="preserve">  </w:t>
      </w:r>
    </w:p>
    <w:p w:rsidR="00324286" w:rsidRPr="003E2ECE" w:rsidRDefault="00324286" w:rsidP="00B448E0">
      <w:pPr>
        <w:ind w:left="567"/>
        <w:rPr>
          <w:lang w:val="es-ES"/>
        </w:rPr>
      </w:pPr>
    </w:p>
    <w:p w:rsidR="00324286" w:rsidRPr="003E2ECE" w:rsidRDefault="00FD20F3" w:rsidP="00510216">
      <w:pPr>
        <w:ind w:left="1134"/>
        <w:rPr>
          <w:lang w:val="es-ES"/>
        </w:rPr>
      </w:pPr>
      <w:r>
        <w:rPr>
          <w:color w:val="000000"/>
          <w:lang w:val="es-ES"/>
        </w:rPr>
        <w:t>“</w:t>
      </w:r>
      <w:r w:rsidR="00510216" w:rsidRPr="003E2ECE">
        <w:rPr>
          <w:color w:val="000000"/>
          <w:lang w:val="es-ES"/>
        </w:rPr>
        <w:t>Decisión ulterior que afect</w:t>
      </w:r>
      <w:r w:rsidR="00682E59" w:rsidRPr="003E2ECE">
        <w:rPr>
          <w:color w:val="000000"/>
          <w:lang w:val="es-ES"/>
        </w:rPr>
        <w:t>a</w:t>
      </w:r>
      <w:r w:rsidR="00510216" w:rsidRPr="003E2ECE">
        <w:rPr>
          <w:color w:val="000000"/>
          <w:lang w:val="es-ES"/>
        </w:rPr>
        <w:t xml:space="preserve"> a la protección de la marca</w:t>
      </w:r>
      <w:r w:rsidR="0033317A">
        <w:rPr>
          <w:color w:val="000000"/>
          <w:lang w:val="es-ES"/>
        </w:rPr>
        <w:t>.</w:t>
      </w:r>
      <w:r>
        <w:rPr>
          <w:color w:val="000000"/>
          <w:lang w:val="es-ES"/>
        </w:rPr>
        <w:t>”</w:t>
      </w:r>
      <w:r w:rsidR="00510216" w:rsidRPr="003E2ECE">
        <w:rPr>
          <w:color w:val="000000"/>
          <w:lang w:val="es-ES"/>
        </w:rPr>
        <w:t xml:space="preserve"> </w:t>
      </w:r>
      <w:r w:rsidR="00E608F6" w:rsidRPr="003E2ECE">
        <w:rPr>
          <w:lang w:val="es-ES"/>
        </w:rPr>
        <w:t xml:space="preserve"> </w:t>
      </w:r>
    </w:p>
    <w:p w:rsidR="00324286" w:rsidRPr="003E2ECE" w:rsidRDefault="00324286" w:rsidP="00E608F6">
      <w:pPr>
        <w:ind w:left="1134"/>
        <w:rPr>
          <w:lang w:val="es-ES"/>
        </w:rPr>
      </w:pPr>
    </w:p>
    <w:p w:rsidR="00324286" w:rsidRPr="003E2ECE" w:rsidRDefault="005D2108" w:rsidP="005D2108">
      <w:pPr>
        <w:pStyle w:val="ONUME"/>
        <w:rPr>
          <w:lang w:val="es-ES"/>
        </w:rPr>
      </w:pPr>
      <w:r w:rsidRPr="003E2ECE">
        <w:rPr>
          <w:color w:val="000000"/>
          <w:lang w:val="es-ES"/>
        </w:rPr>
        <w:t xml:space="preserve">Teniendo en cuenta la necesidad de una única indicación de la fecha de la notificación enviada por la Oficina Internacional a las oficinas de las Partes Contratantes designadas, se debe estudiar la posibilidad de introducir un nuevo código INID (581). </w:t>
      </w:r>
      <w:r w:rsidR="00B448E0" w:rsidRPr="003E2ECE">
        <w:rPr>
          <w:lang w:val="es-ES"/>
        </w:rPr>
        <w:t xml:space="preserve">  </w:t>
      </w:r>
    </w:p>
    <w:p w:rsidR="00324286" w:rsidRPr="003E2ECE" w:rsidRDefault="005D2108" w:rsidP="005D2108">
      <w:pPr>
        <w:pStyle w:val="ONUME"/>
        <w:numPr>
          <w:ilvl w:val="0"/>
          <w:numId w:val="0"/>
        </w:numPr>
        <w:ind w:left="567"/>
        <w:rPr>
          <w:lang w:val="es-ES"/>
        </w:rPr>
      </w:pPr>
      <w:r w:rsidRPr="003E2ECE">
        <w:rPr>
          <w:lang w:val="es-ES"/>
        </w:rPr>
        <w:t>Código INID (581)</w:t>
      </w:r>
      <w:proofErr w:type="gramStart"/>
      <w:r w:rsidRPr="003E2ECE">
        <w:rPr>
          <w:lang w:val="es-ES"/>
        </w:rPr>
        <w:t>:</w:t>
      </w:r>
      <w:r w:rsidR="0033317A">
        <w:rPr>
          <w:lang w:val="es-ES"/>
        </w:rPr>
        <w:t xml:space="preserve"> </w:t>
      </w:r>
      <w:r w:rsidRPr="003E2ECE">
        <w:rPr>
          <w:lang w:val="es-ES"/>
        </w:rPr>
        <w:t xml:space="preserve"> la</w:t>
      </w:r>
      <w:proofErr w:type="gramEnd"/>
      <w:r w:rsidRPr="003E2ECE">
        <w:rPr>
          <w:lang w:val="es-ES"/>
        </w:rPr>
        <w:t xml:space="preserve"> nueva definición del código INID (581) sería:</w:t>
      </w:r>
      <w:r w:rsidR="00B448E0" w:rsidRPr="003E2ECE">
        <w:rPr>
          <w:lang w:val="es-ES"/>
        </w:rPr>
        <w:t xml:space="preserve">  </w:t>
      </w:r>
    </w:p>
    <w:p w:rsidR="00324286" w:rsidRPr="003E2ECE" w:rsidRDefault="00FD20F3" w:rsidP="005D2108">
      <w:pPr>
        <w:pStyle w:val="ONUME"/>
        <w:numPr>
          <w:ilvl w:val="0"/>
          <w:numId w:val="0"/>
        </w:numPr>
        <w:ind w:left="1134"/>
        <w:rPr>
          <w:lang w:val="es-ES"/>
        </w:rPr>
      </w:pPr>
      <w:r>
        <w:rPr>
          <w:color w:val="000000"/>
          <w:lang w:val="es-ES"/>
        </w:rPr>
        <w:t>“</w:t>
      </w:r>
      <w:r w:rsidR="005D2108" w:rsidRPr="003E2ECE">
        <w:rPr>
          <w:color w:val="000000"/>
          <w:lang w:val="es-ES"/>
        </w:rPr>
        <w:t>Fecha de notificación por la Oficina Internacional a las Partes Contratantes designadas</w:t>
      </w:r>
      <w:r w:rsidR="0033317A">
        <w:rPr>
          <w:color w:val="000000"/>
          <w:lang w:val="es-ES"/>
        </w:rPr>
        <w:t>.</w:t>
      </w:r>
      <w:r>
        <w:rPr>
          <w:color w:val="000000"/>
          <w:lang w:val="es-ES"/>
        </w:rPr>
        <w:t>”</w:t>
      </w:r>
      <w:r w:rsidR="005D2108" w:rsidRPr="003E2ECE">
        <w:rPr>
          <w:color w:val="000000"/>
          <w:lang w:val="es-ES"/>
        </w:rPr>
        <w:t xml:space="preserve"> </w:t>
      </w:r>
    </w:p>
    <w:p w:rsidR="00324286" w:rsidRPr="003E2ECE" w:rsidRDefault="005D2108" w:rsidP="005D2108">
      <w:pPr>
        <w:pStyle w:val="ONUME"/>
        <w:rPr>
          <w:lang w:val="es-ES"/>
        </w:rPr>
      </w:pPr>
      <w:r w:rsidRPr="003E2ECE">
        <w:rPr>
          <w:color w:val="000000"/>
          <w:lang w:val="es-ES"/>
        </w:rPr>
        <w:t xml:space="preserve">Habida cuenta de la necesidad de una identificación inequívoca de la cancelación parcial de la lista de productos y servicios, se debe estudiar la posibilidad de introducir un nuevo código INID (852). </w:t>
      </w:r>
      <w:r w:rsidR="00B448E0" w:rsidRPr="003E2ECE">
        <w:rPr>
          <w:lang w:val="es-ES"/>
        </w:rPr>
        <w:t xml:space="preserve">  </w:t>
      </w:r>
    </w:p>
    <w:p w:rsidR="00324286" w:rsidRPr="003E2ECE" w:rsidRDefault="005D2108" w:rsidP="005D2108">
      <w:pPr>
        <w:pStyle w:val="ONUME"/>
        <w:numPr>
          <w:ilvl w:val="0"/>
          <w:numId w:val="0"/>
        </w:numPr>
        <w:ind w:left="567"/>
        <w:rPr>
          <w:lang w:val="es-ES"/>
        </w:rPr>
      </w:pPr>
      <w:r w:rsidRPr="003E2ECE">
        <w:rPr>
          <w:lang w:val="es-ES"/>
        </w:rPr>
        <w:t>Código INID (852)</w:t>
      </w:r>
      <w:proofErr w:type="gramStart"/>
      <w:r w:rsidRPr="003E2ECE">
        <w:rPr>
          <w:lang w:val="es-ES"/>
        </w:rPr>
        <w:t>:</w:t>
      </w:r>
      <w:r w:rsidR="0033317A">
        <w:rPr>
          <w:lang w:val="es-ES"/>
        </w:rPr>
        <w:t xml:space="preserve"> </w:t>
      </w:r>
      <w:r w:rsidRPr="003E2ECE">
        <w:rPr>
          <w:lang w:val="es-ES"/>
        </w:rPr>
        <w:t xml:space="preserve"> la</w:t>
      </w:r>
      <w:proofErr w:type="gramEnd"/>
      <w:r w:rsidRPr="003E2ECE">
        <w:rPr>
          <w:lang w:val="es-ES"/>
        </w:rPr>
        <w:t xml:space="preserve"> nueva definición del código INID (852) sería:</w:t>
      </w:r>
      <w:r w:rsidR="00664341" w:rsidRPr="003E2ECE">
        <w:rPr>
          <w:lang w:val="es-ES"/>
        </w:rPr>
        <w:t xml:space="preserve">  </w:t>
      </w:r>
    </w:p>
    <w:p w:rsidR="00324286" w:rsidRPr="003E2ECE" w:rsidRDefault="00FD20F3" w:rsidP="005D2108">
      <w:pPr>
        <w:pStyle w:val="ONUME"/>
        <w:numPr>
          <w:ilvl w:val="0"/>
          <w:numId w:val="0"/>
        </w:numPr>
        <w:ind w:left="1134"/>
        <w:rPr>
          <w:lang w:val="es-ES"/>
        </w:rPr>
      </w:pPr>
      <w:r>
        <w:rPr>
          <w:color w:val="000000"/>
          <w:lang w:val="es-ES"/>
        </w:rPr>
        <w:t>“</w:t>
      </w:r>
      <w:r w:rsidR="005D2108" w:rsidRPr="003E2ECE">
        <w:rPr>
          <w:color w:val="000000"/>
          <w:lang w:val="es-ES"/>
        </w:rPr>
        <w:t>Cancelación parcial</w:t>
      </w:r>
      <w:r w:rsidR="0033317A">
        <w:rPr>
          <w:color w:val="000000"/>
          <w:lang w:val="es-ES"/>
        </w:rPr>
        <w:t>.</w:t>
      </w:r>
      <w:r>
        <w:rPr>
          <w:color w:val="000000"/>
          <w:lang w:val="es-ES"/>
        </w:rPr>
        <w:t>”</w:t>
      </w:r>
    </w:p>
    <w:p w:rsidR="00324286" w:rsidRPr="003E2ECE" w:rsidRDefault="005C7403" w:rsidP="005C7403">
      <w:pPr>
        <w:pStyle w:val="ONUME"/>
        <w:rPr>
          <w:lang w:val="es-ES"/>
        </w:rPr>
      </w:pPr>
      <w:r w:rsidRPr="003E2ECE">
        <w:rPr>
          <w:color w:val="000000"/>
          <w:lang w:val="es-ES"/>
        </w:rPr>
        <w:t xml:space="preserve">Por último, en aras de la coherencia, se debe estudiar la posibilidad de cambiar el título de la </w:t>
      </w:r>
      <w:r w:rsidR="00682E59" w:rsidRPr="003E2ECE">
        <w:rPr>
          <w:color w:val="000000"/>
          <w:lang w:val="es-ES"/>
        </w:rPr>
        <w:t>categoría</w:t>
      </w:r>
      <w:r w:rsidRPr="003E2ECE">
        <w:rPr>
          <w:color w:val="000000"/>
          <w:lang w:val="es-ES"/>
        </w:rPr>
        <w:t xml:space="preserve"> 850 que figura en la Norma ST.60 de la OMPI. </w:t>
      </w:r>
      <w:r w:rsidR="00B448E0" w:rsidRPr="003E2ECE">
        <w:rPr>
          <w:lang w:val="es-ES"/>
        </w:rPr>
        <w:t xml:space="preserve">  </w:t>
      </w:r>
    </w:p>
    <w:p w:rsidR="00324286" w:rsidRPr="003E2ECE" w:rsidRDefault="005C7403" w:rsidP="005C7403">
      <w:pPr>
        <w:spacing w:after="220"/>
        <w:ind w:left="567"/>
        <w:rPr>
          <w:lang w:val="es-ES"/>
        </w:rPr>
      </w:pPr>
      <w:r w:rsidRPr="003E2ECE">
        <w:rPr>
          <w:color w:val="000000"/>
          <w:lang w:val="es-ES"/>
        </w:rPr>
        <w:t xml:space="preserve">La formulación sería: </w:t>
      </w:r>
      <w:r w:rsidR="00B448E0" w:rsidRPr="003E2ECE">
        <w:rPr>
          <w:lang w:val="es-ES"/>
        </w:rPr>
        <w:t xml:space="preserve">  </w:t>
      </w:r>
    </w:p>
    <w:p w:rsidR="00324286" w:rsidRPr="003E2ECE" w:rsidRDefault="00FD20F3" w:rsidP="005C7403">
      <w:pPr>
        <w:spacing w:after="220"/>
        <w:ind w:left="1134"/>
        <w:rPr>
          <w:lang w:val="es-ES"/>
        </w:rPr>
      </w:pPr>
      <w:r>
        <w:rPr>
          <w:color w:val="000000"/>
          <w:lang w:val="es-ES"/>
        </w:rPr>
        <w:t>“</w:t>
      </w:r>
      <w:r w:rsidR="005C7403" w:rsidRPr="003E2ECE">
        <w:rPr>
          <w:color w:val="000000"/>
          <w:lang w:val="es-ES"/>
        </w:rPr>
        <w:t>Datos relativos a la cancelación o limitación de la lista de productos y servicios</w:t>
      </w:r>
      <w:r w:rsidR="0033317A">
        <w:rPr>
          <w:color w:val="000000"/>
          <w:lang w:val="es-ES"/>
        </w:rPr>
        <w:t>.</w:t>
      </w:r>
      <w:r>
        <w:rPr>
          <w:color w:val="000000"/>
          <w:lang w:val="es-ES"/>
        </w:rPr>
        <w:t>”</w:t>
      </w:r>
      <w:r w:rsidR="005C7403" w:rsidRPr="003E2ECE">
        <w:rPr>
          <w:color w:val="000000"/>
          <w:lang w:val="es-ES"/>
        </w:rPr>
        <w:t xml:space="preserve"> </w:t>
      </w:r>
      <w:r w:rsidR="00B448E0" w:rsidRPr="003E2ECE">
        <w:rPr>
          <w:lang w:val="es-ES"/>
        </w:rPr>
        <w:t xml:space="preserve">  </w:t>
      </w:r>
    </w:p>
    <w:p w:rsidR="00324286" w:rsidRPr="003E2ECE" w:rsidRDefault="005C7403" w:rsidP="00FD20F3">
      <w:pPr>
        <w:pStyle w:val="Heading2"/>
        <w:rPr>
          <w:lang w:val="es-ES"/>
        </w:rPr>
      </w:pPr>
      <w:r w:rsidRPr="003E2ECE">
        <w:rPr>
          <w:lang w:val="es-ES"/>
        </w:rPr>
        <w:t>VENTAJAS PREVISTAS</w:t>
      </w:r>
      <w:r w:rsidR="00B448E0" w:rsidRPr="003E2ECE">
        <w:rPr>
          <w:lang w:val="es-ES"/>
        </w:rPr>
        <w:t xml:space="preserve">  </w:t>
      </w:r>
    </w:p>
    <w:p w:rsidR="00324286" w:rsidRPr="003E2ECE" w:rsidRDefault="005C7403" w:rsidP="005C7403">
      <w:pPr>
        <w:pStyle w:val="ONUME"/>
        <w:rPr>
          <w:lang w:val="es-ES"/>
        </w:rPr>
      </w:pPr>
      <w:r w:rsidRPr="003E2ECE">
        <w:rPr>
          <w:color w:val="000000"/>
          <w:lang w:val="es-ES"/>
        </w:rPr>
        <w:t>Gracias a los cambios que se proponen, los datos publicados y notificados en la Gaceta de la OMPI y en ROMARIN ser</w:t>
      </w:r>
      <w:r w:rsidR="008B6939" w:rsidRPr="003E2ECE">
        <w:rPr>
          <w:color w:val="000000"/>
          <w:lang w:val="es-ES"/>
        </w:rPr>
        <w:t>á</w:t>
      </w:r>
      <w:r w:rsidRPr="003E2ECE">
        <w:rPr>
          <w:color w:val="000000"/>
          <w:lang w:val="es-ES"/>
        </w:rPr>
        <w:t xml:space="preserve">n más claros y precisos para beneficio de todos los usuarios del sistema de Madrid. </w:t>
      </w:r>
      <w:r w:rsidR="00B448E0" w:rsidRPr="003E2ECE">
        <w:rPr>
          <w:lang w:val="es-ES"/>
        </w:rPr>
        <w:t xml:space="preserve">  </w:t>
      </w:r>
    </w:p>
    <w:p w:rsidR="00324286" w:rsidRPr="003E2ECE" w:rsidRDefault="00324286" w:rsidP="00B448E0">
      <w:pPr>
        <w:rPr>
          <w:lang w:val="es-ES"/>
        </w:rPr>
      </w:pPr>
    </w:p>
    <w:p w:rsidR="00324286" w:rsidRPr="003E2ECE" w:rsidRDefault="00324286" w:rsidP="00B448E0">
      <w:pPr>
        <w:rPr>
          <w:lang w:val="es-ES"/>
        </w:rPr>
      </w:pPr>
    </w:p>
    <w:p w:rsidR="00324286" w:rsidRPr="003E2ECE" w:rsidRDefault="005C7403" w:rsidP="005C7403">
      <w:pPr>
        <w:pStyle w:val="Endofdocument-Annex"/>
        <w:rPr>
          <w:lang w:val="es-ES"/>
        </w:rPr>
      </w:pPr>
      <w:r w:rsidRPr="003E2ECE">
        <w:rPr>
          <w:lang w:val="es-ES"/>
        </w:rPr>
        <w:t>[Sigue el Anexo II]</w:t>
      </w:r>
    </w:p>
    <w:sectPr w:rsidR="00324286" w:rsidRPr="003E2ECE" w:rsidSect="00E608F6">
      <w:headerReference w:type="first" r:id="rId11"/>
      <w:endnotePr>
        <w:numFmt w:val="decimal"/>
      </w:endnotePr>
      <w:pgSz w:w="11907" w:h="16840" w:code="9"/>
      <w:pgMar w:top="567" w:right="1134" w:bottom="709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97" w:rsidRDefault="00411E97">
      <w:r>
        <w:separator/>
      </w:r>
    </w:p>
  </w:endnote>
  <w:endnote w:type="continuationSeparator" w:id="0">
    <w:p w:rsidR="00411E97" w:rsidRDefault="00411E97" w:rsidP="003B38C1">
      <w:r>
        <w:separator/>
      </w:r>
    </w:p>
    <w:p w:rsidR="00411E97" w:rsidRPr="003B38C1" w:rsidRDefault="00411E9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1E97" w:rsidRPr="003B38C1" w:rsidRDefault="00411E9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97" w:rsidRDefault="00411E97">
      <w:r>
        <w:separator/>
      </w:r>
    </w:p>
  </w:footnote>
  <w:footnote w:type="continuationSeparator" w:id="0">
    <w:p w:rsidR="00411E97" w:rsidRDefault="00411E97" w:rsidP="008B60B2">
      <w:r>
        <w:separator/>
      </w:r>
    </w:p>
    <w:p w:rsidR="00411E97" w:rsidRPr="00ED77FB" w:rsidRDefault="00411E9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1E97" w:rsidRPr="00ED77FB" w:rsidRDefault="00411E9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8E0" w:rsidRDefault="00B448E0" w:rsidP="00477D6B">
    <w:pPr>
      <w:jc w:val="right"/>
    </w:pPr>
    <w:r>
      <w:t>CWS/4/XX</w:t>
    </w:r>
  </w:p>
  <w:p w:rsidR="00B448E0" w:rsidRDefault="005C7403" w:rsidP="005C7403">
    <w:pPr>
      <w:jc w:val="right"/>
    </w:pPr>
    <w:r w:rsidRPr="005C7403">
      <w:rPr>
        <w:color w:val="008000"/>
        <w:lang w:val="es-ES_tradnl"/>
      </w:rPr>
      <w:t>Anexo, página</w:t>
    </w:r>
    <w:r w:rsidR="00B448E0">
      <w:t xml:space="preserve"> </w:t>
    </w:r>
    <w:r w:rsidR="00B448E0">
      <w:fldChar w:fldCharType="begin"/>
    </w:r>
    <w:r w:rsidR="00B448E0">
      <w:instrText xml:space="preserve"> PAGE   \* MERGEFORMAT </w:instrText>
    </w:r>
    <w:r w:rsidR="00B448E0">
      <w:fldChar w:fldCharType="separate"/>
    </w:r>
    <w:r w:rsidR="002875D3">
      <w:rPr>
        <w:noProof/>
      </w:rPr>
      <w:t>2</w:t>
    </w:r>
    <w:r w:rsidR="00B448E0">
      <w:rPr>
        <w:noProof/>
      </w:rPr>
      <w:fldChar w:fldCharType="end"/>
    </w:r>
  </w:p>
  <w:p w:rsidR="00B448E0" w:rsidRDefault="00B448E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E2" w:rsidRDefault="003916E2" w:rsidP="003916E2">
    <w:pPr>
      <w:jc w:val="right"/>
    </w:pPr>
    <w:r>
      <w:t>CWS/4/</w:t>
    </w:r>
    <w:r w:rsidR="0061171A">
      <w:t>9</w:t>
    </w:r>
  </w:p>
  <w:p w:rsidR="003916E2" w:rsidRDefault="003916E2" w:rsidP="003916E2">
    <w:pPr>
      <w:jc w:val="right"/>
    </w:pPr>
    <w:r>
      <w:t>ANEX</w:t>
    </w:r>
    <w:r w:rsidR="008F0F24">
      <w:t>O</w:t>
    </w:r>
    <w:r w:rsidR="0061171A">
      <w:t xml:space="preserve"> I</w:t>
    </w:r>
  </w:p>
  <w:p w:rsidR="003916E2" w:rsidRDefault="003916E2" w:rsidP="003916E2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F6" w:rsidRDefault="00E608F6" w:rsidP="003916E2">
    <w:pPr>
      <w:jc w:val="right"/>
    </w:pPr>
    <w:r>
      <w:t>CWS/4/</w:t>
    </w:r>
    <w:r w:rsidR="00BE6483">
      <w:t>9</w:t>
    </w:r>
  </w:p>
  <w:p w:rsidR="00E608F6" w:rsidRDefault="008F0F24" w:rsidP="003916E2">
    <w:pPr>
      <w:jc w:val="right"/>
    </w:pPr>
    <w:r>
      <w:t>An</w:t>
    </w:r>
    <w:r w:rsidR="00E608F6">
      <w:t>ex</w:t>
    </w:r>
    <w:r>
      <w:t>o</w:t>
    </w:r>
    <w:r w:rsidR="00BE6483">
      <w:t xml:space="preserve"> I</w:t>
    </w:r>
    <w:r w:rsidR="00E608F6">
      <w:t>, p</w:t>
    </w:r>
    <w:r>
      <w:t>ágina</w:t>
    </w:r>
    <w:r w:rsidR="00E608F6">
      <w:t xml:space="preserve"> </w:t>
    </w:r>
    <w:r w:rsidR="00E608F6" w:rsidRPr="00E608F6">
      <w:fldChar w:fldCharType="begin"/>
    </w:r>
    <w:r w:rsidR="00E608F6" w:rsidRPr="00E608F6">
      <w:instrText xml:space="preserve"> PAGE  \* MERGEFORMAT </w:instrText>
    </w:r>
    <w:r w:rsidR="00E608F6" w:rsidRPr="00E608F6">
      <w:fldChar w:fldCharType="separate"/>
    </w:r>
    <w:r w:rsidR="00000FDF">
      <w:rPr>
        <w:noProof/>
      </w:rPr>
      <w:t>2</w:t>
    </w:r>
    <w:r w:rsidR="00E608F6" w:rsidRPr="00E608F6">
      <w:fldChar w:fldCharType="end"/>
    </w:r>
  </w:p>
  <w:p w:rsidR="00E608F6" w:rsidRDefault="00E608F6" w:rsidP="003916E2">
    <w:pPr>
      <w:jc w:val="right"/>
    </w:pPr>
  </w:p>
  <w:p w:rsidR="00396BBE" w:rsidRDefault="00396B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05A5C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292E2E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6F429B"/>
    <w:multiLevelType w:val="hybridMultilevel"/>
    <w:tmpl w:val="E438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232B3"/>
    <w:multiLevelType w:val="hybridMultilevel"/>
    <w:tmpl w:val="952C1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PreTradBeta|WIPONew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Administrative\Meetings|Administrative\Other|Administrative\Publications|Budget and Finance\Meetings|Copyright\Meetings|IP in General\Meetings|Patents\Meetings|Trademarks\Meetings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taff_RR|WorkspaceSTS\EN-ES\Glossaries\EN-E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411E97"/>
    <w:rsid w:val="00000FDF"/>
    <w:rsid w:val="00020145"/>
    <w:rsid w:val="00043CAA"/>
    <w:rsid w:val="000454C1"/>
    <w:rsid w:val="00053647"/>
    <w:rsid w:val="00075432"/>
    <w:rsid w:val="000968ED"/>
    <w:rsid w:val="000F137F"/>
    <w:rsid w:val="000F5E56"/>
    <w:rsid w:val="00101209"/>
    <w:rsid w:val="00107759"/>
    <w:rsid w:val="0012550B"/>
    <w:rsid w:val="001362EE"/>
    <w:rsid w:val="001779C6"/>
    <w:rsid w:val="001832A6"/>
    <w:rsid w:val="001C013D"/>
    <w:rsid w:val="001D17C6"/>
    <w:rsid w:val="00220A07"/>
    <w:rsid w:val="002634C4"/>
    <w:rsid w:val="002875D3"/>
    <w:rsid w:val="002928D3"/>
    <w:rsid w:val="002F1FE6"/>
    <w:rsid w:val="002F4E68"/>
    <w:rsid w:val="00312F7F"/>
    <w:rsid w:val="00315BAB"/>
    <w:rsid w:val="00324286"/>
    <w:rsid w:val="0033317A"/>
    <w:rsid w:val="00361450"/>
    <w:rsid w:val="003673CF"/>
    <w:rsid w:val="003845C1"/>
    <w:rsid w:val="003904BF"/>
    <w:rsid w:val="003916E2"/>
    <w:rsid w:val="00396BBE"/>
    <w:rsid w:val="003A1F16"/>
    <w:rsid w:val="003A6F89"/>
    <w:rsid w:val="003B38C1"/>
    <w:rsid w:val="003D1469"/>
    <w:rsid w:val="003E2ECE"/>
    <w:rsid w:val="00411E97"/>
    <w:rsid w:val="00423E3E"/>
    <w:rsid w:val="00427AF4"/>
    <w:rsid w:val="004647DA"/>
    <w:rsid w:val="00474062"/>
    <w:rsid w:val="00477D6B"/>
    <w:rsid w:val="00477DE1"/>
    <w:rsid w:val="00482C9C"/>
    <w:rsid w:val="004851BB"/>
    <w:rsid w:val="004B3157"/>
    <w:rsid w:val="004B3180"/>
    <w:rsid w:val="004C520C"/>
    <w:rsid w:val="004E5454"/>
    <w:rsid w:val="005019FF"/>
    <w:rsid w:val="00510216"/>
    <w:rsid w:val="0053057A"/>
    <w:rsid w:val="00560A29"/>
    <w:rsid w:val="005979F9"/>
    <w:rsid w:val="005A408B"/>
    <w:rsid w:val="005C6649"/>
    <w:rsid w:val="005C7403"/>
    <w:rsid w:val="005D2108"/>
    <w:rsid w:val="005D5E64"/>
    <w:rsid w:val="00605827"/>
    <w:rsid w:val="0061171A"/>
    <w:rsid w:val="00612FC4"/>
    <w:rsid w:val="0062627A"/>
    <w:rsid w:val="00633E5F"/>
    <w:rsid w:val="00641833"/>
    <w:rsid w:val="00646050"/>
    <w:rsid w:val="00662341"/>
    <w:rsid w:val="00664341"/>
    <w:rsid w:val="006713CA"/>
    <w:rsid w:val="00676C5C"/>
    <w:rsid w:val="00680EFD"/>
    <w:rsid w:val="00682E59"/>
    <w:rsid w:val="007C0C21"/>
    <w:rsid w:val="007D1613"/>
    <w:rsid w:val="00863C5A"/>
    <w:rsid w:val="008B2AD3"/>
    <w:rsid w:val="008B2CC1"/>
    <w:rsid w:val="008B60B2"/>
    <w:rsid w:val="008B6939"/>
    <w:rsid w:val="008F0F24"/>
    <w:rsid w:val="0090731E"/>
    <w:rsid w:val="00916EE2"/>
    <w:rsid w:val="009313E1"/>
    <w:rsid w:val="0096129F"/>
    <w:rsid w:val="00966A22"/>
    <w:rsid w:val="0096722F"/>
    <w:rsid w:val="00980843"/>
    <w:rsid w:val="009851DF"/>
    <w:rsid w:val="009949D0"/>
    <w:rsid w:val="009E2791"/>
    <w:rsid w:val="009E3F6F"/>
    <w:rsid w:val="009F499F"/>
    <w:rsid w:val="009F547E"/>
    <w:rsid w:val="00A42DAF"/>
    <w:rsid w:val="00A45BD8"/>
    <w:rsid w:val="00A869B7"/>
    <w:rsid w:val="00A943C5"/>
    <w:rsid w:val="00A9671E"/>
    <w:rsid w:val="00AC205C"/>
    <w:rsid w:val="00AD7376"/>
    <w:rsid w:val="00AF0A6B"/>
    <w:rsid w:val="00B05A69"/>
    <w:rsid w:val="00B448E0"/>
    <w:rsid w:val="00B57A32"/>
    <w:rsid w:val="00B7760D"/>
    <w:rsid w:val="00B9734B"/>
    <w:rsid w:val="00BA577E"/>
    <w:rsid w:val="00BE6483"/>
    <w:rsid w:val="00C11BFE"/>
    <w:rsid w:val="00C836B2"/>
    <w:rsid w:val="00CA3B6E"/>
    <w:rsid w:val="00D45252"/>
    <w:rsid w:val="00D552B1"/>
    <w:rsid w:val="00D71B4D"/>
    <w:rsid w:val="00D866C7"/>
    <w:rsid w:val="00D93D55"/>
    <w:rsid w:val="00DA4720"/>
    <w:rsid w:val="00DD5B8E"/>
    <w:rsid w:val="00E335FE"/>
    <w:rsid w:val="00E608F6"/>
    <w:rsid w:val="00E84598"/>
    <w:rsid w:val="00EC4E49"/>
    <w:rsid w:val="00EC7936"/>
    <w:rsid w:val="00ED77FB"/>
    <w:rsid w:val="00EE45FA"/>
    <w:rsid w:val="00F013ED"/>
    <w:rsid w:val="00F02561"/>
    <w:rsid w:val="00F4471E"/>
    <w:rsid w:val="00F66152"/>
    <w:rsid w:val="00F731AF"/>
    <w:rsid w:val="00F8542B"/>
    <w:rsid w:val="00FD20F3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11E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FootnoteReference">
    <w:name w:val="footnote reference"/>
    <w:basedOn w:val="DefaultParagraphFont"/>
    <w:rsid w:val="00315BAB"/>
    <w:rPr>
      <w:vertAlign w:val="superscript"/>
    </w:rPr>
  </w:style>
  <w:style w:type="paragraph" w:customStyle="1" w:styleId="Heading2Centered">
    <w:name w:val="Heading 2 Centered"/>
    <w:basedOn w:val="Heading2"/>
    <w:next w:val="Normal"/>
    <w:rsid w:val="009313E1"/>
    <w:pPr>
      <w:keepLines/>
      <w:spacing w:before="170" w:after="170"/>
      <w:jc w:val="center"/>
    </w:pPr>
    <w:rPr>
      <w:rFonts w:eastAsia="Times New Roman" w:cs="Times New Roman"/>
      <w:bCs w:val="0"/>
      <w:iCs w:val="0"/>
      <w:sz w:val="17"/>
      <w:szCs w:val="20"/>
      <w:lang w:eastAsia="en-US"/>
    </w:rPr>
  </w:style>
  <w:style w:type="paragraph" w:customStyle="1" w:styleId="List0">
    <w:name w:val="List0"/>
    <w:basedOn w:val="Normal"/>
    <w:rsid w:val="009313E1"/>
    <w:pPr>
      <w:keepLines/>
      <w:spacing w:after="170"/>
    </w:pPr>
    <w:rPr>
      <w:rFonts w:eastAsia="Times New Roman" w:cs="Times New Roman"/>
      <w:sz w:val="17"/>
      <w:lang w:eastAsia="en-US"/>
    </w:rPr>
  </w:style>
  <w:style w:type="paragraph" w:customStyle="1" w:styleId="List1">
    <w:name w:val="List1"/>
    <w:basedOn w:val="Normal"/>
    <w:rsid w:val="009313E1"/>
    <w:pPr>
      <w:keepLines/>
      <w:spacing w:after="170"/>
      <w:ind w:left="567"/>
    </w:pPr>
    <w:rPr>
      <w:rFonts w:eastAsia="Times New Roman" w:cs="Times New Roman"/>
      <w:sz w:val="17"/>
      <w:lang w:eastAsia="en-US"/>
    </w:rPr>
  </w:style>
  <w:style w:type="paragraph" w:customStyle="1" w:styleId="Heading3Hidden">
    <w:name w:val="Heading 3 Hidden"/>
    <w:basedOn w:val="Heading3"/>
    <w:next w:val="Normal"/>
    <w:rsid w:val="009313E1"/>
    <w:pPr>
      <w:keepLines/>
      <w:spacing w:before="0" w:after="0"/>
    </w:pPr>
    <w:rPr>
      <w:rFonts w:eastAsia="Times New Roman" w:cs="Times New Roman"/>
      <w:bCs w:val="0"/>
      <w:i/>
      <w:color w:val="FFFFFF"/>
      <w:sz w:val="17"/>
      <w:szCs w:val="20"/>
      <w:u w:val="none"/>
      <w:lang w:eastAsia="en-US"/>
    </w:rPr>
  </w:style>
  <w:style w:type="paragraph" w:customStyle="1" w:styleId="ContinueOrEndOfFile">
    <w:name w:val="ContinueOrEndOfFile"/>
    <w:basedOn w:val="Normal"/>
    <w:rsid w:val="009313E1"/>
    <w:pPr>
      <w:spacing w:before="680"/>
      <w:jc w:val="right"/>
    </w:pPr>
    <w:rPr>
      <w:rFonts w:eastAsia="Times New Roman" w:cs="Times New Roman"/>
      <w:sz w:val="17"/>
      <w:lang w:eastAsia="en-US"/>
    </w:rPr>
  </w:style>
  <w:style w:type="paragraph" w:customStyle="1" w:styleId="List0H">
    <w:name w:val="List0H"/>
    <w:basedOn w:val="List0"/>
    <w:rsid w:val="009313E1"/>
    <w:pPr>
      <w:ind w:left="567" w:hanging="567"/>
    </w:pPr>
  </w:style>
  <w:style w:type="character" w:styleId="Hyperlink">
    <w:name w:val="Hyperlink"/>
    <w:basedOn w:val="DefaultParagraphFont"/>
    <w:rsid w:val="009313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11E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FootnoteReference">
    <w:name w:val="footnote reference"/>
    <w:basedOn w:val="DefaultParagraphFont"/>
    <w:rsid w:val="00315BAB"/>
    <w:rPr>
      <w:vertAlign w:val="superscript"/>
    </w:rPr>
  </w:style>
  <w:style w:type="paragraph" w:customStyle="1" w:styleId="Heading2Centered">
    <w:name w:val="Heading 2 Centered"/>
    <w:basedOn w:val="Heading2"/>
    <w:next w:val="Normal"/>
    <w:rsid w:val="009313E1"/>
    <w:pPr>
      <w:keepLines/>
      <w:spacing w:before="170" w:after="170"/>
      <w:jc w:val="center"/>
    </w:pPr>
    <w:rPr>
      <w:rFonts w:eastAsia="Times New Roman" w:cs="Times New Roman"/>
      <w:bCs w:val="0"/>
      <w:iCs w:val="0"/>
      <w:sz w:val="17"/>
      <w:szCs w:val="20"/>
      <w:lang w:eastAsia="en-US"/>
    </w:rPr>
  </w:style>
  <w:style w:type="paragraph" w:customStyle="1" w:styleId="List0">
    <w:name w:val="List0"/>
    <w:basedOn w:val="Normal"/>
    <w:rsid w:val="009313E1"/>
    <w:pPr>
      <w:keepLines/>
      <w:spacing w:after="170"/>
    </w:pPr>
    <w:rPr>
      <w:rFonts w:eastAsia="Times New Roman" w:cs="Times New Roman"/>
      <w:sz w:val="17"/>
      <w:lang w:eastAsia="en-US"/>
    </w:rPr>
  </w:style>
  <w:style w:type="paragraph" w:customStyle="1" w:styleId="List1">
    <w:name w:val="List1"/>
    <w:basedOn w:val="Normal"/>
    <w:rsid w:val="009313E1"/>
    <w:pPr>
      <w:keepLines/>
      <w:spacing w:after="170"/>
      <w:ind w:left="567"/>
    </w:pPr>
    <w:rPr>
      <w:rFonts w:eastAsia="Times New Roman" w:cs="Times New Roman"/>
      <w:sz w:val="17"/>
      <w:lang w:eastAsia="en-US"/>
    </w:rPr>
  </w:style>
  <w:style w:type="paragraph" w:customStyle="1" w:styleId="Heading3Hidden">
    <w:name w:val="Heading 3 Hidden"/>
    <w:basedOn w:val="Heading3"/>
    <w:next w:val="Normal"/>
    <w:rsid w:val="009313E1"/>
    <w:pPr>
      <w:keepLines/>
      <w:spacing w:before="0" w:after="0"/>
    </w:pPr>
    <w:rPr>
      <w:rFonts w:eastAsia="Times New Roman" w:cs="Times New Roman"/>
      <w:bCs w:val="0"/>
      <w:i/>
      <w:color w:val="FFFFFF"/>
      <w:sz w:val="17"/>
      <w:szCs w:val="20"/>
      <w:u w:val="none"/>
      <w:lang w:eastAsia="en-US"/>
    </w:rPr>
  </w:style>
  <w:style w:type="paragraph" w:customStyle="1" w:styleId="ContinueOrEndOfFile">
    <w:name w:val="ContinueOrEndOfFile"/>
    <w:basedOn w:val="Normal"/>
    <w:rsid w:val="009313E1"/>
    <w:pPr>
      <w:spacing w:before="680"/>
      <w:jc w:val="right"/>
    </w:pPr>
    <w:rPr>
      <w:rFonts w:eastAsia="Times New Roman" w:cs="Times New Roman"/>
      <w:sz w:val="17"/>
      <w:lang w:eastAsia="en-US"/>
    </w:rPr>
  </w:style>
  <w:style w:type="paragraph" w:customStyle="1" w:styleId="List0H">
    <w:name w:val="List0H"/>
    <w:basedOn w:val="List0"/>
    <w:rsid w:val="009313E1"/>
    <w:pPr>
      <w:ind w:left="567" w:hanging="567"/>
    </w:pPr>
  </w:style>
  <w:style w:type="character" w:styleId="Hyperlink">
    <w:name w:val="Hyperlink"/>
    <w:basedOn w:val="DefaultParagraphFont"/>
    <w:rsid w:val="00931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40632-439B-42DB-ADDE-49162628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38</TotalTime>
  <Pages>2</Pages>
  <Words>738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CWS/4/9 Anexo I (in Spanish)</vt:lpstr>
    </vt:vector>
  </TitlesOfParts>
  <Manager/>
  <Company>OMPI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CWS/4/9 Anexo I (en Español)</dc:title>
  <dc:subject>Solicitud de revisión de la norma ST.60 de la OMPI</dc:subject>
  <dc:creator>OMPI</dc:creator>
  <dc:description/>
  <cp:lastModifiedBy>Geraldine Rodriguez</cp:lastModifiedBy>
  <cp:revision>5</cp:revision>
  <cp:lastPrinted>2014-03-17T08:40:00Z</cp:lastPrinted>
  <dcterms:created xsi:type="dcterms:W3CDTF">2014-03-19T12:05:00Z</dcterms:created>
  <dcterms:modified xsi:type="dcterms:W3CDTF">2014-03-21T14:41:00Z</dcterms:modified>
</cp:coreProperties>
</file>