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161" w:rsidRPr="00FF2BDC" w:rsidRDefault="00FF2BDC" w:rsidP="005E6161">
      <w:pPr>
        <w:keepNext/>
        <w:spacing w:before="240" w:after="60" w:line="240" w:lineRule="auto"/>
        <w:ind w:left="0" w:right="-287"/>
        <w:outlineLvl w:val="0"/>
        <w:rPr>
          <w:rFonts w:eastAsia="SimSun" w:cs="Arial"/>
          <w:b/>
          <w:bCs/>
          <w:caps/>
          <w:kern w:val="32"/>
          <w:sz w:val="22"/>
          <w:szCs w:val="32"/>
          <w:lang w:val="es-ES" w:eastAsia="zh-CN"/>
        </w:rPr>
      </w:pPr>
      <w:r w:rsidRPr="00FF2BDC">
        <w:rPr>
          <w:rFonts w:eastAsia="SimSun" w:cs="Arial"/>
          <w:b/>
          <w:bCs/>
          <w:caps/>
          <w:kern w:val="32"/>
          <w:sz w:val="22"/>
          <w:szCs w:val="32"/>
          <w:lang w:val="es-ES" w:eastAsia="zh-CN"/>
        </w:rPr>
        <w:t>INFORME SOBRE LA PREPARACIÓN DE UNA NUEVA NORMA TÉCNICA DE LA OMPI RELATIVA A LA PRESENTACIÓN DE LISTAS DE S</w:t>
      </w:r>
      <w:bookmarkStart w:id="0" w:name="_GoBack"/>
      <w:bookmarkEnd w:id="0"/>
      <w:r w:rsidRPr="00FF2BDC">
        <w:rPr>
          <w:rFonts w:eastAsia="SimSun" w:cs="Arial"/>
          <w:b/>
          <w:bCs/>
          <w:caps/>
          <w:kern w:val="32"/>
          <w:sz w:val="22"/>
          <w:szCs w:val="32"/>
          <w:lang w:val="es-ES" w:eastAsia="zh-CN"/>
        </w:rPr>
        <w:t>ECUENCIAS DE NUCLEÓTIDOS Y AMINOÁCIDOS MEDIANTE EL LENGUAJE EXTENSIBLE DE MARCADO (XML)</w:t>
      </w:r>
    </w:p>
    <w:p w:rsidR="005E6161" w:rsidRPr="005E6161" w:rsidRDefault="005E6161" w:rsidP="005E6161">
      <w:pPr>
        <w:ind w:left="0"/>
        <w:rPr>
          <w:sz w:val="22"/>
          <w:lang w:val="es-ES_tradnl"/>
        </w:rPr>
      </w:pPr>
    </w:p>
    <w:p w:rsidR="005E6161" w:rsidRPr="005E6161" w:rsidRDefault="005E6161" w:rsidP="005E6161">
      <w:pPr>
        <w:ind w:left="0"/>
        <w:rPr>
          <w:i/>
          <w:sz w:val="22"/>
          <w:szCs w:val="22"/>
          <w:lang w:val="es-ES_tradnl"/>
        </w:rPr>
      </w:pPr>
      <w:r w:rsidRPr="005E6161">
        <w:rPr>
          <w:i/>
          <w:sz w:val="22"/>
          <w:szCs w:val="22"/>
          <w:lang w:val="es-ES_tradnl"/>
        </w:rPr>
        <w:t>Documento preparado por la Oficina Europea de Patentes (OEP)</w:t>
      </w:r>
      <w:r w:rsidRPr="00BF14FB">
        <w:rPr>
          <w:i/>
          <w:sz w:val="22"/>
          <w:szCs w:val="22"/>
          <w:lang w:val="es-ES_tradnl"/>
        </w:rPr>
        <w:t xml:space="preserve"> </w:t>
      </w:r>
    </w:p>
    <w:p w:rsidR="00511886" w:rsidRPr="00BF14FB" w:rsidRDefault="00511886" w:rsidP="00F4719C">
      <w:pPr>
        <w:ind w:left="0"/>
        <w:rPr>
          <w:sz w:val="22"/>
          <w:szCs w:val="22"/>
          <w:lang w:val="es-ES_tradnl"/>
        </w:rPr>
      </w:pPr>
    </w:p>
    <w:p w:rsidR="007A1228" w:rsidRPr="00CC783E" w:rsidRDefault="007A1228" w:rsidP="00CC783E">
      <w:pPr>
        <w:pStyle w:val="Heading2"/>
        <w:ind w:left="0"/>
        <w:rPr>
          <w:bCs w:val="0"/>
          <w:iCs w:val="0"/>
          <w:sz w:val="22"/>
          <w:lang w:val="es-ES_tradnl"/>
        </w:rPr>
      </w:pPr>
      <w:r w:rsidRPr="00CC783E">
        <w:rPr>
          <w:bCs w:val="0"/>
          <w:iCs w:val="0"/>
          <w:sz w:val="22"/>
          <w:lang w:val="es-ES_tradnl"/>
        </w:rPr>
        <w:t>ANTECEDENTES</w:t>
      </w:r>
    </w:p>
    <w:p w:rsidR="007A1228" w:rsidRPr="007A1228" w:rsidRDefault="007A1228" w:rsidP="007A1228">
      <w:pPr>
        <w:pStyle w:val="ONUME"/>
        <w:rPr>
          <w:rFonts w:eastAsia="SimSun"/>
          <w:sz w:val="22"/>
          <w:lang w:val="es-ES_tradnl" w:eastAsia="zh-CN"/>
        </w:rPr>
      </w:pPr>
      <w:r w:rsidRPr="007A1228">
        <w:rPr>
          <w:rFonts w:eastAsia="SimSun"/>
          <w:sz w:val="22"/>
          <w:lang w:val="es-ES_tradnl" w:eastAsia="zh-CN"/>
        </w:rPr>
        <w:t>En su primera sesión (25 a 29 de octubre de 2010), el Comité de Normas Técnicas de la OMPI (CWS) constituyó el Equipo Técnico sobre listas de secuencias encargado de elaborar la Tarea Nº 44</w:t>
      </w:r>
      <w:r w:rsidRPr="00BF14FB">
        <w:rPr>
          <w:rFonts w:eastAsia="SimSun"/>
          <w:sz w:val="22"/>
          <w:lang w:val="es-ES_tradnl" w:eastAsia="zh-CN"/>
        </w:rPr>
        <w:t xml:space="preserve"> (véase el párrafo 29 del documento CWS/1/10)</w:t>
      </w:r>
      <w:r w:rsidRPr="007A1228">
        <w:rPr>
          <w:rFonts w:eastAsia="SimSun"/>
          <w:sz w:val="22"/>
          <w:lang w:val="es-ES_tradnl" w:eastAsia="zh-CN"/>
        </w:rPr>
        <w:t>:</w:t>
      </w:r>
    </w:p>
    <w:p w:rsidR="007A1228" w:rsidRPr="00BF14FB" w:rsidRDefault="007A1228" w:rsidP="007A1228">
      <w:pPr>
        <w:pStyle w:val="ONUME"/>
        <w:numPr>
          <w:ilvl w:val="0"/>
          <w:numId w:val="0"/>
        </w:numPr>
        <w:spacing w:line="240" w:lineRule="auto"/>
        <w:ind w:left="567"/>
        <w:rPr>
          <w:sz w:val="22"/>
          <w:szCs w:val="22"/>
          <w:lang w:val="es-ES_tradnl"/>
        </w:rPr>
      </w:pPr>
      <w:r w:rsidRPr="00BF14FB">
        <w:rPr>
          <w:sz w:val="22"/>
          <w:szCs w:val="22"/>
          <w:lang w:val="es-ES_tradnl"/>
        </w:rPr>
        <w:t>“Preparar una recomendación sobre la presentación de listas de secuencias de nucleótidos y aminoácidos en lenguaje extensible de marcado (XML) para su adopción como norma técnica de la OMPI.  Además de la propuesta de una nueva norma técnica de la OMPI, debe presentarse un informe sobre el efecto de dicha norma en la actual Norma ST.25 de la OMPI, además de los cambios necesarios propuestos de dicha Norma ST.25.”</w:t>
      </w:r>
    </w:p>
    <w:p w:rsidR="007A1228" w:rsidRPr="00BF14FB" w:rsidRDefault="007A1228" w:rsidP="007A1228">
      <w:pPr>
        <w:pStyle w:val="ONUME"/>
        <w:rPr>
          <w:rFonts w:eastAsia="SimSun"/>
          <w:sz w:val="22"/>
          <w:lang w:val="es-ES_tradnl" w:eastAsia="zh-CN"/>
        </w:rPr>
      </w:pPr>
      <w:r w:rsidRPr="00BF14FB">
        <w:rPr>
          <w:rFonts w:eastAsia="SimSun"/>
          <w:sz w:val="22"/>
          <w:lang w:val="es-ES_tradnl" w:eastAsia="zh-CN"/>
        </w:rPr>
        <w:t>Asimismo, se pidió al Equipo Técnico que:</w:t>
      </w:r>
    </w:p>
    <w:p w:rsidR="007A1228" w:rsidRPr="00BF14FB" w:rsidRDefault="007A1228" w:rsidP="007A1228">
      <w:pPr>
        <w:pStyle w:val="ONUME"/>
        <w:numPr>
          <w:ilvl w:val="0"/>
          <w:numId w:val="0"/>
        </w:numPr>
        <w:spacing w:line="240" w:lineRule="auto"/>
        <w:ind w:left="567"/>
        <w:rPr>
          <w:sz w:val="22"/>
          <w:lang w:val="es-ES_tradnl"/>
        </w:rPr>
      </w:pPr>
      <w:r w:rsidRPr="00BF14FB">
        <w:rPr>
          <w:sz w:val="22"/>
          <w:lang w:val="es-ES_tradnl"/>
        </w:rPr>
        <w:t xml:space="preserve">“establezca contacto con el órgano pertinente del PCT teniendo en cuenta la posible incidencia de la nueva norma en el Anexo C de las Instrucciones Administrativas del PCT”. </w:t>
      </w:r>
    </w:p>
    <w:p w:rsidR="00511886" w:rsidRPr="000D1720" w:rsidRDefault="000D1720" w:rsidP="000D1720">
      <w:pPr>
        <w:pStyle w:val="ONUME"/>
        <w:rPr>
          <w:rFonts w:eastAsia="SimSun"/>
          <w:sz w:val="22"/>
          <w:lang w:val="es-ES_tradnl" w:eastAsia="zh-CN"/>
        </w:rPr>
      </w:pPr>
      <w:r>
        <w:rPr>
          <w:rFonts w:eastAsia="SimSun"/>
          <w:sz w:val="22"/>
          <w:lang w:val="es-ES_tradnl" w:eastAsia="zh-CN"/>
        </w:rPr>
        <w:t xml:space="preserve">Se asignó a la Oficina Europea de Patentes (OEP) la función de responsable del Equipo Técnico y desde entonces se han celebrado seis rondas de debates en </w:t>
      </w:r>
      <w:r w:rsidR="003B0577">
        <w:rPr>
          <w:rFonts w:eastAsia="SimSun"/>
          <w:sz w:val="22"/>
          <w:lang w:val="es-ES_tradnl" w:eastAsia="zh-CN"/>
        </w:rPr>
        <w:t>e</w:t>
      </w:r>
      <w:r>
        <w:rPr>
          <w:rFonts w:eastAsia="SimSun"/>
          <w:sz w:val="22"/>
          <w:lang w:val="es-ES_tradnl" w:eastAsia="zh-CN"/>
        </w:rPr>
        <w:t>l</w:t>
      </w:r>
      <w:r w:rsidR="003B0577">
        <w:rPr>
          <w:rFonts w:eastAsia="SimSun"/>
          <w:sz w:val="22"/>
          <w:lang w:val="es-ES_tradnl" w:eastAsia="zh-CN"/>
        </w:rPr>
        <w:t xml:space="preserve"> espacio</w:t>
      </w:r>
      <w:r>
        <w:rPr>
          <w:rFonts w:eastAsia="SimSun"/>
          <w:sz w:val="22"/>
          <w:lang w:val="es-ES_tradnl" w:eastAsia="zh-CN"/>
        </w:rPr>
        <w:t xml:space="preserve"> </w:t>
      </w:r>
      <w:r w:rsidR="003B0577">
        <w:rPr>
          <w:rFonts w:eastAsia="SimSun"/>
          <w:sz w:val="22"/>
          <w:lang w:val="es-ES_tradnl" w:eastAsia="zh-CN"/>
        </w:rPr>
        <w:t>w</w:t>
      </w:r>
      <w:r>
        <w:rPr>
          <w:rFonts w:eastAsia="SimSun"/>
          <w:sz w:val="22"/>
          <w:lang w:val="es-ES_tradnl" w:eastAsia="zh-CN"/>
        </w:rPr>
        <w:t>iki de la OMPI y se ha presentado un proyecto final a consulta pública.  Se llegó a un acuerdo sobre el principio de diferenciar los aspectos técnicos de la Norma ST.25 del Anexo</w:t>
      </w:r>
      <w:r w:rsidR="003B0577">
        <w:rPr>
          <w:rFonts w:eastAsia="SimSun"/>
          <w:sz w:val="22"/>
          <w:lang w:val="es-ES_tradnl" w:eastAsia="zh-CN"/>
        </w:rPr>
        <w:t> </w:t>
      </w:r>
      <w:r>
        <w:rPr>
          <w:rFonts w:eastAsia="SimSun"/>
          <w:sz w:val="22"/>
          <w:lang w:val="es-ES_tradnl" w:eastAsia="zh-CN"/>
        </w:rPr>
        <w:t xml:space="preserve">C (Instrucciones Administrativas del PCT) en la decimoctava Reunión de las Administraciones Internacionales del PCT en febrero de 2011 (véanse los párrafos 88 a 92 del documento </w:t>
      </w:r>
      <w:r w:rsidR="00511886" w:rsidRPr="000D1720">
        <w:rPr>
          <w:rFonts w:eastAsia="SimSun"/>
          <w:sz w:val="22"/>
          <w:lang w:val="es-ES_tradnl" w:eastAsia="zh-CN"/>
        </w:rPr>
        <w:t xml:space="preserve">PCT/MIA/18/16) </w:t>
      </w:r>
      <w:r>
        <w:rPr>
          <w:rFonts w:eastAsia="SimSun"/>
          <w:sz w:val="22"/>
          <w:lang w:val="es-ES_tradnl" w:eastAsia="zh-CN"/>
        </w:rPr>
        <w:t>y en la cuarta reunión del Grupo de Trabajo del PCT en junio de 2011</w:t>
      </w:r>
      <w:r w:rsidR="00511886" w:rsidRPr="000D1720">
        <w:rPr>
          <w:rFonts w:eastAsia="SimSun"/>
          <w:sz w:val="22"/>
          <w:lang w:val="es-ES_tradnl" w:eastAsia="zh-CN"/>
        </w:rPr>
        <w:t xml:space="preserve"> (</w:t>
      </w:r>
      <w:r w:rsidRPr="000D1720">
        <w:rPr>
          <w:rFonts w:eastAsia="SimSun"/>
          <w:sz w:val="22"/>
          <w:lang w:val="es-ES_tradnl" w:eastAsia="zh-CN"/>
        </w:rPr>
        <w:t xml:space="preserve">véanse los párrafos </w:t>
      </w:r>
      <w:r w:rsidR="00511886" w:rsidRPr="000D1720">
        <w:rPr>
          <w:rFonts w:eastAsia="SimSun"/>
          <w:sz w:val="22"/>
          <w:lang w:val="es-ES_tradnl" w:eastAsia="zh-CN"/>
        </w:rPr>
        <w:t xml:space="preserve">180 </w:t>
      </w:r>
      <w:r>
        <w:rPr>
          <w:rFonts w:eastAsia="SimSun"/>
          <w:sz w:val="22"/>
          <w:lang w:val="es-ES_tradnl" w:eastAsia="zh-CN"/>
        </w:rPr>
        <w:t>a</w:t>
      </w:r>
      <w:r w:rsidR="00511886" w:rsidRPr="000D1720">
        <w:rPr>
          <w:rFonts w:eastAsia="SimSun"/>
          <w:sz w:val="22"/>
          <w:lang w:val="es-ES_tradnl" w:eastAsia="zh-CN"/>
        </w:rPr>
        <w:t xml:space="preserve"> 188 </w:t>
      </w:r>
      <w:r>
        <w:rPr>
          <w:rFonts w:eastAsia="SimSun"/>
          <w:sz w:val="22"/>
          <w:lang w:val="es-ES_tradnl" w:eastAsia="zh-CN"/>
        </w:rPr>
        <w:t xml:space="preserve">del </w:t>
      </w:r>
      <w:r w:rsidR="00511886" w:rsidRPr="000D1720">
        <w:rPr>
          <w:rFonts w:eastAsia="SimSun"/>
          <w:sz w:val="22"/>
          <w:lang w:val="es-ES_tradnl" w:eastAsia="zh-CN"/>
        </w:rPr>
        <w:t>document</w:t>
      </w:r>
      <w:r>
        <w:rPr>
          <w:rFonts w:eastAsia="SimSun"/>
          <w:sz w:val="22"/>
          <w:lang w:val="es-ES_tradnl" w:eastAsia="zh-CN"/>
        </w:rPr>
        <w:t>o</w:t>
      </w:r>
      <w:r w:rsidR="00F4719C" w:rsidRPr="000D1720">
        <w:rPr>
          <w:rFonts w:eastAsia="SimSun"/>
          <w:sz w:val="22"/>
          <w:lang w:val="es-ES_tradnl" w:eastAsia="zh-CN"/>
        </w:rPr>
        <w:t> </w:t>
      </w:r>
      <w:r w:rsidR="00511886" w:rsidRPr="000D1720">
        <w:rPr>
          <w:rFonts w:eastAsia="SimSun"/>
          <w:sz w:val="22"/>
          <w:lang w:val="es-ES_tradnl" w:eastAsia="zh-CN"/>
        </w:rPr>
        <w:t>PCT/WG/4/17).</w:t>
      </w:r>
    </w:p>
    <w:p w:rsidR="00511886" w:rsidRPr="00BF14FB" w:rsidRDefault="00DA6EE7" w:rsidP="00511886">
      <w:pPr>
        <w:pStyle w:val="ONUME"/>
        <w:rPr>
          <w:rFonts w:eastAsia="SimSun"/>
          <w:sz w:val="22"/>
          <w:lang w:val="es-ES_tradnl" w:eastAsia="zh-CN"/>
        </w:rPr>
      </w:pPr>
      <w:r>
        <w:rPr>
          <w:rFonts w:eastAsia="SimSun"/>
          <w:sz w:val="22"/>
          <w:lang w:val="es-ES_tradnl" w:eastAsia="zh-CN"/>
        </w:rPr>
        <w:t>Sobre la base de los comentarios recibidos de los miembros del Equipo Técnico, se celebró una ronda final de debates con el fin de lograr el acuerdo común sobre los requisitos de la Norma.</w:t>
      </w:r>
    </w:p>
    <w:p w:rsidR="00511886" w:rsidRPr="00BF14FB" w:rsidRDefault="00BF14FB" w:rsidP="00511886">
      <w:pPr>
        <w:pStyle w:val="Heading2"/>
        <w:ind w:left="0"/>
        <w:rPr>
          <w:bCs w:val="0"/>
          <w:iCs w:val="0"/>
          <w:sz w:val="22"/>
          <w:lang w:val="es-ES_tradnl"/>
        </w:rPr>
      </w:pPr>
      <w:r w:rsidRPr="00BF14FB">
        <w:rPr>
          <w:bCs w:val="0"/>
          <w:iCs w:val="0"/>
          <w:sz w:val="22"/>
          <w:lang w:val="es-ES_tradnl"/>
        </w:rPr>
        <w:t>INFORME SOBRE LA MARCHA DE LA LABOR</w:t>
      </w:r>
    </w:p>
    <w:p w:rsidR="00BF14FB" w:rsidRPr="00BF14FB" w:rsidRDefault="00BF14FB" w:rsidP="00BF14FB">
      <w:pPr>
        <w:pStyle w:val="ONUME"/>
        <w:rPr>
          <w:rFonts w:eastAsia="SimSun"/>
          <w:sz w:val="22"/>
          <w:lang w:val="es-ES_tradnl" w:eastAsia="zh-CN"/>
        </w:rPr>
      </w:pPr>
      <w:r w:rsidRPr="00BF14FB">
        <w:rPr>
          <w:rFonts w:eastAsia="SimSun"/>
          <w:sz w:val="22"/>
          <w:lang w:val="es-ES_tradnl" w:eastAsia="zh-CN"/>
        </w:rPr>
        <w:t xml:space="preserve">El Equipo Técnico inició su trabajo en febrero de 2011 basándose en los borradores preparados por la OEP.  Muchas Oficinas participaron en el proceso publicando útiles comentarios en el espacio </w:t>
      </w:r>
      <w:r w:rsidRPr="003B0577">
        <w:rPr>
          <w:rFonts w:eastAsia="SimSun"/>
          <w:sz w:val="22"/>
          <w:lang w:val="es-ES_tradnl" w:eastAsia="zh-CN"/>
        </w:rPr>
        <w:t>wiki</w:t>
      </w:r>
      <w:r w:rsidRPr="00BF14FB">
        <w:rPr>
          <w:rFonts w:eastAsia="SimSun"/>
          <w:i/>
          <w:sz w:val="22"/>
          <w:lang w:val="es-ES_tradnl" w:eastAsia="zh-CN"/>
        </w:rPr>
        <w:t xml:space="preserve"> </w:t>
      </w:r>
      <w:r w:rsidRPr="00BF14FB">
        <w:rPr>
          <w:rFonts w:eastAsia="SimSun"/>
          <w:sz w:val="22"/>
          <w:lang w:val="es-ES_tradnl" w:eastAsia="zh-CN"/>
        </w:rPr>
        <w:t>de la OMPI.</w:t>
      </w:r>
    </w:p>
    <w:p w:rsidR="00BF14FB" w:rsidRPr="00BF14FB" w:rsidRDefault="00BF14FB" w:rsidP="00BF14FB">
      <w:pPr>
        <w:pStyle w:val="ONUME"/>
        <w:rPr>
          <w:rFonts w:eastAsia="SimSun"/>
          <w:sz w:val="22"/>
          <w:lang w:val="es-ES_tradnl" w:eastAsia="zh-CN"/>
        </w:rPr>
      </w:pPr>
      <w:r w:rsidRPr="00BF14FB">
        <w:rPr>
          <w:rFonts w:eastAsia="SimSun"/>
          <w:sz w:val="22"/>
          <w:lang w:val="es-ES_tradnl" w:eastAsia="zh-CN"/>
        </w:rPr>
        <w:t>En marzo de 2012, el Equipo Técnico finalizó un proyecto de norma que pudieran utilizar las oficinas para celebrar consultas con sus usuarios respectivos.  Se plantearon varias cuestiones importantes en los comentarios públicos y se han examinado en cooperación con los proveedores de bases de datos DDBJ, EBI, NCBI.</w:t>
      </w:r>
    </w:p>
    <w:p w:rsidR="00511886" w:rsidRPr="00BF14FB" w:rsidRDefault="00E82936" w:rsidP="00E82936">
      <w:pPr>
        <w:pStyle w:val="ONUME"/>
        <w:rPr>
          <w:rFonts w:eastAsia="SimSun"/>
          <w:sz w:val="22"/>
          <w:lang w:val="es-ES_tradnl" w:eastAsia="zh-CN"/>
        </w:rPr>
      </w:pPr>
      <w:r>
        <w:rPr>
          <w:rFonts w:eastAsia="SimSun"/>
          <w:sz w:val="22"/>
          <w:lang w:val="es-ES_tradnl" w:eastAsia="zh-CN"/>
        </w:rPr>
        <w:t>La sexta ronda de debates finalizó en septiembre de 2013 y el proyecto que incorporaba las mejoras resultantes de la consulta pública y los debates ulteriores entre los miembros del Equipo Técnico y los proveedores de bases de datos se publicó en el espacio wiki de la OMPI para su examen final.</w:t>
      </w:r>
    </w:p>
    <w:p w:rsidR="00511886" w:rsidRPr="00BF14FB" w:rsidRDefault="00EA3FF1" w:rsidP="00EA3FF1">
      <w:pPr>
        <w:pStyle w:val="ONUME"/>
        <w:rPr>
          <w:rFonts w:eastAsia="SimSun"/>
          <w:sz w:val="22"/>
          <w:lang w:val="es-ES_tradnl" w:eastAsia="zh-CN"/>
        </w:rPr>
      </w:pPr>
      <w:r w:rsidRPr="00EA3FF1">
        <w:rPr>
          <w:rFonts w:eastAsia="SimSun"/>
          <w:sz w:val="22"/>
          <w:lang w:val="es-ES_tradnl" w:eastAsia="zh-CN"/>
        </w:rPr>
        <w:lastRenderedPageBreak/>
        <w:t>Sobre la base de los comentarios recibidos de los miembros del Equipo Técnico, se celebró una ronda final de debates con el fin de lograr el acuerdo común sobre los requisitos de la Norma.</w:t>
      </w:r>
      <w:r>
        <w:rPr>
          <w:rFonts w:eastAsia="SimSun"/>
          <w:sz w:val="22"/>
          <w:lang w:val="es-ES_tradnl" w:eastAsia="zh-CN"/>
        </w:rPr>
        <w:t xml:space="preserve">  De modo provisional, el Equipo Técnico </w:t>
      </w:r>
      <w:r w:rsidR="003852A6">
        <w:rPr>
          <w:rFonts w:eastAsia="SimSun"/>
          <w:sz w:val="22"/>
          <w:lang w:val="es-ES_tradnl" w:eastAsia="zh-CN"/>
        </w:rPr>
        <w:t xml:space="preserve">utilizó la denominación </w:t>
      </w:r>
      <w:r>
        <w:rPr>
          <w:rFonts w:eastAsia="SimSun"/>
          <w:sz w:val="22"/>
          <w:lang w:val="es-ES_tradnl" w:eastAsia="zh-CN"/>
        </w:rPr>
        <w:t>Norma ST.26</w:t>
      </w:r>
      <w:r w:rsidR="003852A6">
        <w:rPr>
          <w:rFonts w:eastAsia="SimSun"/>
          <w:sz w:val="22"/>
          <w:lang w:val="es-ES_tradnl" w:eastAsia="zh-CN"/>
        </w:rPr>
        <w:t xml:space="preserve"> para esa norma</w:t>
      </w:r>
      <w:r>
        <w:rPr>
          <w:rFonts w:eastAsia="SimSun"/>
          <w:sz w:val="22"/>
          <w:lang w:val="es-ES_tradnl" w:eastAsia="zh-CN"/>
        </w:rPr>
        <w:t>.  Se han introducido las mejoras siguientes en el cuerpo principal y en los anexos propuestos por el Equipo Técnico a fin de que sean examinadas y aprobadas por el CWS</w:t>
      </w:r>
      <w:r w:rsidR="00511886" w:rsidRPr="00BF14FB">
        <w:rPr>
          <w:rFonts w:eastAsia="SimSun"/>
          <w:sz w:val="22"/>
          <w:lang w:val="es-ES_tradnl" w:eastAsia="zh-CN"/>
        </w:rPr>
        <w:t>:</w:t>
      </w:r>
    </w:p>
    <w:p w:rsidR="00A01F37" w:rsidRPr="00740008" w:rsidRDefault="00740008" w:rsidP="00740008">
      <w:pPr>
        <w:pStyle w:val="ONUME"/>
        <w:numPr>
          <w:ilvl w:val="0"/>
          <w:numId w:val="0"/>
        </w:numPr>
        <w:ind w:left="567"/>
        <w:rPr>
          <w:sz w:val="22"/>
          <w:lang w:val="es-ES_tradnl"/>
        </w:rPr>
      </w:pPr>
      <w:r>
        <w:rPr>
          <w:sz w:val="22"/>
          <w:lang w:val="es-ES_tradnl"/>
        </w:rPr>
        <w:t>a)</w:t>
      </w:r>
      <w:r>
        <w:rPr>
          <w:sz w:val="22"/>
          <w:lang w:val="es-ES_tradnl"/>
        </w:rPr>
        <w:tab/>
      </w:r>
      <w:r w:rsidR="00A01F37" w:rsidRPr="008231D4">
        <w:rPr>
          <w:sz w:val="22"/>
          <w:lang w:val="es-ES_tradnl"/>
        </w:rPr>
        <w:t>Todas las cuestiones de procedimiento (PCT) se transfieren a las Instrucciones Administrativas del PCT</w:t>
      </w:r>
      <w:proofErr w:type="gramStart"/>
      <w:r w:rsidR="00A01F37" w:rsidRPr="008231D4">
        <w:rPr>
          <w:sz w:val="22"/>
          <w:lang w:val="es-ES_tradnl"/>
        </w:rPr>
        <w:t>:  la</w:t>
      </w:r>
      <w:proofErr w:type="gramEnd"/>
      <w:r w:rsidR="00A01F37" w:rsidRPr="008231D4">
        <w:rPr>
          <w:sz w:val="22"/>
          <w:lang w:val="es-ES_tradnl"/>
        </w:rPr>
        <w:t xml:space="preserve"> nueva norma tratará únicamente </w:t>
      </w:r>
      <w:r w:rsidR="003852A6">
        <w:rPr>
          <w:sz w:val="22"/>
          <w:lang w:val="es-ES_tradnl"/>
        </w:rPr>
        <w:t xml:space="preserve">de </w:t>
      </w:r>
      <w:r w:rsidR="00A01F37" w:rsidRPr="008231D4">
        <w:rPr>
          <w:sz w:val="22"/>
          <w:lang w:val="es-ES_tradnl"/>
        </w:rPr>
        <w:t>aspectos técnicos que permiten una presentación óptima de las listas de secuencias (la parte relacionada con la biotecnología) y el formato adecuado de la presentación (XML).</w:t>
      </w:r>
    </w:p>
    <w:p w:rsidR="00A01F37" w:rsidRPr="00740008" w:rsidRDefault="00740008" w:rsidP="00740008">
      <w:pPr>
        <w:pStyle w:val="ONUME"/>
        <w:numPr>
          <w:ilvl w:val="0"/>
          <w:numId w:val="0"/>
        </w:numPr>
        <w:ind w:left="567"/>
        <w:rPr>
          <w:sz w:val="22"/>
          <w:szCs w:val="22"/>
          <w:lang w:val="es-ES_tradnl"/>
        </w:rPr>
      </w:pPr>
      <w:r>
        <w:rPr>
          <w:sz w:val="22"/>
          <w:szCs w:val="22"/>
          <w:lang w:val="es-ES_tradnl"/>
        </w:rPr>
        <w:t>b)</w:t>
      </w:r>
      <w:r>
        <w:rPr>
          <w:sz w:val="22"/>
          <w:szCs w:val="22"/>
          <w:lang w:val="es-ES_tradnl"/>
        </w:rPr>
        <w:tab/>
      </w:r>
      <w:r w:rsidR="00A01F37" w:rsidRPr="008231D4">
        <w:rPr>
          <w:sz w:val="22"/>
          <w:szCs w:val="22"/>
          <w:lang w:val="es-ES_tradnl"/>
        </w:rPr>
        <w:t>Se ha mejorado considerablemente la parte relacionada con la biotecnología a fin de reflejar las normas vigentes en dicho sector, por ejemplo:</w:t>
      </w:r>
    </w:p>
    <w:p w:rsidR="00511886" w:rsidRPr="008231D4" w:rsidRDefault="008231D4" w:rsidP="008231D4">
      <w:pPr>
        <w:pStyle w:val="ONUME"/>
        <w:numPr>
          <w:ilvl w:val="1"/>
          <w:numId w:val="10"/>
        </w:numPr>
        <w:spacing w:line="240" w:lineRule="auto"/>
        <w:ind w:hanging="306"/>
        <w:rPr>
          <w:sz w:val="22"/>
          <w:szCs w:val="22"/>
          <w:lang w:val="es-ES_tradnl"/>
        </w:rPr>
      </w:pPr>
      <w:r w:rsidRPr="008231D4">
        <w:rPr>
          <w:sz w:val="22"/>
          <w:szCs w:val="22"/>
          <w:lang w:val="es-ES_tradnl"/>
        </w:rPr>
        <w:t>inclusió</w:t>
      </w:r>
      <w:r w:rsidR="00511886" w:rsidRPr="008231D4">
        <w:rPr>
          <w:sz w:val="22"/>
          <w:szCs w:val="22"/>
          <w:lang w:val="es-ES_tradnl"/>
        </w:rPr>
        <w:t xml:space="preserve">n </w:t>
      </w:r>
      <w:r w:rsidRPr="008231D4">
        <w:rPr>
          <w:sz w:val="22"/>
          <w:szCs w:val="22"/>
          <w:lang w:val="es-ES_tradnl"/>
        </w:rPr>
        <w:t>de nucleótidos y aminoácidos modificados no contemplados previamente (por ejemplo, D-aminoácidos, ácidos nucleicos péptidos, morfolinos, etc.) que al haber cobrado importancia en el sector tienen que poder buscarse electrónicamente</w:t>
      </w:r>
      <w:r w:rsidR="00511886" w:rsidRPr="008231D4">
        <w:rPr>
          <w:sz w:val="22"/>
          <w:szCs w:val="22"/>
          <w:lang w:val="es-ES_tradnl"/>
        </w:rPr>
        <w:t>;</w:t>
      </w:r>
    </w:p>
    <w:p w:rsidR="00511886" w:rsidRPr="008231D4" w:rsidRDefault="00A01F37" w:rsidP="00EB3F84">
      <w:pPr>
        <w:pStyle w:val="ONUME"/>
        <w:numPr>
          <w:ilvl w:val="1"/>
          <w:numId w:val="10"/>
        </w:numPr>
        <w:spacing w:line="240" w:lineRule="auto"/>
        <w:ind w:hanging="306"/>
        <w:rPr>
          <w:sz w:val="22"/>
          <w:szCs w:val="22"/>
          <w:lang w:val="es-ES_tradnl"/>
        </w:rPr>
      </w:pPr>
      <w:r w:rsidRPr="008231D4">
        <w:rPr>
          <w:sz w:val="22"/>
          <w:szCs w:val="22"/>
          <w:lang w:val="es-ES_tradnl"/>
        </w:rPr>
        <w:t>Instrucciones precisas para las secuencias con espacios y las variantes de secuencias</w:t>
      </w:r>
      <w:r w:rsidR="00511886" w:rsidRPr="008231D4">
        <w:rPr>
          <w:sz w:val="22"/>
          <w:szCs w:val="22"/>
          <w:lang w:val="es-ES_tradnl"/>
        </w:rPr>
        <w:t>;</w:t>
      </w:r>
    </w:p>
    <w:p w:rsidR="00511886" w:rsidRPr="008231D4" w:rsidRDefault="00A01F37" w:rsidP="00EB3F84">
      <w:pPr>
        <w:pStyle w:val="ONUME"/>
        <w:numPr>
          <w:ilvl w:val="1"/>
          <w:numId w:val="10"/>
        </w:numPr>
        <w:spacing w:line="240" w:lineRule="auto"/>
        <w:ind w:hanging="306"/>
        <w:rPr>
          <w:sz w:val="22"/>
          <w:szCs w:val="22"/>
          <w:lang w:val="es-ES_tradnl"/>
        </w:rPr>
      </w:pPr>
      <w:r w:rsidRPr="008231D4">
        <w:rPr>
          <w:sz w:val="22"/>
          <w:szCs w:val="22"/>
          <w:lang w:val="es-ES_tradnl"/>
        </w:rPr>
        <w:t>aclaraciones con respecto a características y anotaciones</w:t>
      </w:r>
      <w:r w:rsidR="00511886" w:rsidRPr="008231D4">
        <w:rPr>
          <w:sz w:val="22"/>
          <w:szCs w:val="22"/>
          <w:lang w:val="es-ES_tradnl"/>
        </w:rPr>
        <w:t>;</w:t>
      </w:r>
    </w:p>
    <w:p w:rsidR="00511886" w:rsidRPr="008231D4" w:rsidRDefault="00A01F37" w:rsidP="00EB3F84">
      <w:pPr>
        <w:pStyle w:val="ONUME"/>
        <w:numPr>
          <w:ilvl w:val="1"/>
          <w:numId w:val="10"/>
        </w:numPr>
        <w:spacing w:line="240" w:lineRule="auto"/>
        <w:ind w:hanging="306"/>
        <w:rPr>
          <w:sz w:val="22"/>
          <w:szCs w:val="22"/>
          <w:lang w:val="es-ES_tradnl"/>
        </w:rPr>
      </w:pPr>
      <w:r w:rsidRPr="008231D4">
        <w:rPr>
          <w:sz w:val="22"/>
          <w:szCs w:val="22"/>
          <w:lang w:val="es-ES_tradnl"/>
        </w:rPr>
        <w:t>coherencia con los requisitos de los consorcios públicos más recientes de bancos de secuencias biológicas (INSDC y Uniprot</w:t>
      </w:r>
      <w:r w:rsidR="00511886" w:rsidRPr="008231D4">
        <w:rPr>
          <w:sz w:val="22"/>
          <w:szCs w:val="22"/>
          <w:lang w:val="es-ES_tradnl"/>
        </w:rPr>
        <w:t>);</w:t>
      </w:r>
      <w:r w:rsidR="00B30CAD" w:rsidRPr="008231D4">
        <w:rPr>
          <w:sz w:val="22"/>
          <w:szCs w:val="22"/>
          <w:lang w:val="es-ES_tradnl"/>
        </w:rPr>
        <w:t xml:space="preserve">  </w:t>
      </w:r>
      <w:r w:rsidRPr="008231D4">
        <w:rPr>
          <w:sz w:val="22"/>
          <w:szCs w:val="22"/>
          <w:lang w:val="es-ES_tradnl"/>
        </w:rPr>
        <w:t>y</w:t>
      </w:r>
      <w:r w:rsidR="00B30CAD" w:rsidRPr="008231D4">
        <w:rPr>
          <w:sz w:val="22"/>
          <w:szCs w:val="22"/>
          <w:lang w:val="es-ES_tradnl"/>
        </w:rPr>
        <w:t xml:space="preserve"> </w:t>
      </w:r>
    </w:p>
    <w:p w:rsidR="00511886" w:rsidRPr="00BF14FB" w:rsidRDefault="008231D4" w:rsidP="00EB3F84">
      <w:pPr>
        <w:pStyle w:val="ONUME"/>
        <w:numPr>
          <w:ilvl w:val="1"/>
          <w:numId w:val="10"/>
        </w:numPr>
        <w:spacing w:line="240" w:lineRule="auto"/>
        <w:ind w:hanging="306"/>
        <w:rPr>
          <w:sz w:val="22"/>
          <w:szCs w:val="22"/>
          <w:lang w:val="es-ES_tradnl"/>
        </w:rPr>
      </w:pPr>
      <w:r>
        <w:rPr>
          <w:sz w:val="22"/>
          <w:szCs w:val="22"/>
          <w:lang w:val="es-ES_tradnl"/>
        </w:rPr>
        <w:t xml:space="preserve">la definición de </w:t>
      </w:r>
      <w:r w:rsidR="00511886" w:rsidRPr="00BF14FB">
        <w:rPr>
          <w:sz w:val="22"/>
          <w:szCs w:val="22"/>
          <w:lang w:val="es-ES_tradnl"/>
        </w:rPr>
        <w:t xml:space="preserve">XML </w:t>
      </w:r>
      <w:r>
        <w:rPr>
          <w:sz w:val="22"/>
          <w:szCs w:val="22"/>
          <w:lang w:val="es-ES_tradnl"/>
        </w:rPr>
        <w:t xml:space="preserve">será completa y no dependerá de la Norma </w:t>
      </w:r>
      <w:r w:rsidR="00511886" w:rsidRPr="00BF14FB">
        <w:rPr>
          <w:sz w:val="22"/>
          <w:szCs w:val="22"/>
          <w:lang w:val="es-ES_tradnl"/>
        </w:rPr>
        <w:t xml:space="preserve">ST.36 </w:t>
      </w:r>
      <w:r w:rsidR="00CC1273">
        <w:rPr>
          <w:sz w:val="22"/>
          <w:szCs w:val="22"/>
          <w:lang w:val="es-ES_tradnl"/>
        </w:rPr>
        <w:t>ni</w:t>
      </w:r>
      <w:r w:rsidR="00511886" w:rsidRPr="00BF14FB">
        <w:rPr>
          <w:sz w:val="22"/>
          <w:szCs w:val="22"/>
          <w:lang w:val="es-ES_tradnl"/>
        </w:rPr>
        <w:t xml:space="preserve"> </w:t>
      </w:r>
      <w:r w:rsidR="00CC1273">
        <w:rPr>
          <w:sz w:val="22"/>
          <w:szCs w:val="22"/>
          <w:lang w:val="es-ES_tradnl"/>
        </w:rPr>
        <w:t xml:space="preserve">de la Norma </w:t>
      </w:r>
      <w:r w:rsidR="00511886" w:rsidRPr="00BF14FB">
        <w:rPr>
          <w:sz w:val="22"/>
          <w:szCs w:val="22"/>
          <w:lang w:val="es-ES_tradnl"/>
        </w:rPr>
        <w:t>ST.96.</w:t>
      </w:r>
    </w:p>
    <w:p w:rsidR="008231D4" w:rsidRDefault="00740008" w:rsidP="00740008">
      <w:pPr>
        <w:pStyle w:val="ONUME"/>
        <w:numPr>
          <w:ilvl w:val="0"/>
          <w:numId w:val="0"/>
        </w:numPr>
        <w:ind w:left="567"/>
        <w:rPr>
          <w:rFonts w:cs="Arial"/>
          <w:sz w:val="22"/>
          <w:lang w:val="es-ES_tradnl"/>
        </w:rPr>
      </w:pPr>
      <w:r>
        <w:rPr>
          <w:rFonts w:cs="Arial"/>
          <w:sz w:val="22"/>
          <w:lang w:val="es-ES_tradnl"/>
        </w:rPr>
        <w:t>c)</w:t>
      </w:r>
      <w:r>
        <w:rPr>
          <w:rFonts w:cs="Arial"/>
          <w:sz w:val="22"/>
          <w:lang w:val="es-ES_tradnl"/>
        </w:rPr>
        <w:tab/>
      </w:r>
      <w:r w:rsidR="008231D4">
        <w:rPr>
          <w:rFonts w:cs="Arial"/>
          <w:sz w:val="22"/>
          <w:lang w:val="es-ES_tradnl"/>
        </w:rPr>
        <w:t>La sintaxis proporcionada por la definición de tipo de documento (DTD) utilizada en la Norma ST.26 fomenta la exactitud de los datos y permite efectuar automáticamente el control de calidad.</w:t>
      </w:r>
    </w:p>
    <w:p w:rsidR="00511886" w:rsidRPr="008231D4" w:rsidRDefault="008231D4" w:rsidP="008231D4">
      <w:pPr>
        <w:pStyle w:val="ONUME"/>
        <w:rPr>
          <w:rFonts w:eastAsia="SimSun"/>
          <w:sz w:val="22"/>
          <w:lang w:val="es-ES_tradnl" w:eastAsia="zh-CN"/>
        </w:rPr>
      </w:pPr>
      <w:r>
        <w:rPr>
          <w:rFonts w:eastAsia="SimSun"/>
          <w:sz w:val="22"/>
          <w:lang w:val="es-ES_tradnl" w:eastAsia="zh-CN"/>
        </w:rPr>
        <w:t xml:space="preserve">El Equipo Técnico seguirá trabajando en los aspectos relativos a la transición en 2014 y 2015 con el objetivo de someter a consideración y aprobación del CWS, en su quinta sesión, las recomendaciones para la transición de la Norma </w:t>
      </w:r>
      <w:r w:rsidR="00511886" w:rsidRPr="008231D4">
        <w:rPr>
          <w:rFonts w:eastAsia="SimSun"/>
          <w:sz w:val="22"/>
          <w:lang w:val="es-ES_tradnl" w:eastAsia="zh-CN"/>
        </w:rPr>
        <w:t xml:space="preserve">ST.25 </w:t>
      </w:r>
      <w:r w:rsidRPr="008231D4">
        <w:rPr>
          <w:rFonts w:eastAsia="SimSun"/>
          <w:sz w:val="22"/>
          <w:lang w:val="es-ES_tradnl" w:eastAsia="zh-CN"/>
        </w:rPr>
        <w:t xml:space="preserve">a la Norma </w:t>
      </w:r>
      <w:r w:rsidR="00511886" w:rsidRPr="008231D4">
        <w:rPr>
          <w:rFonts w:eastAsia="SimSun"/>
          <w:sz w:val="22"/>
          <w:lang w:val="es-ES_tradnl" w:eastAsia="zh-CN"/>
        </w:rPr>
        <w:t>ST</w:t>
      </w:r>
      <w:r w:rsidR="004370F1" w:rsidRPr="008231D4">
        <w:rPr>
          <w:rFonts w:eastAsia="SimSun"/>
          <w:sz w:val="22"/>
          <w:lang w:val="es-ES_tradnl" w:eastAsia="zh-CN"/>
        </w:rPr>
        <w:t>.</w:t>
      </w:r>
      <w:r w:rsidR="00511886" w:rsidRPr="008231D4">
        <w:rPr>
          <w:rFonts w:eastAsia="SimSun"/>
          <w:sz w:val="22"/>
          <w:lang w:val="es-ES_tradnl" w:eastAsia="zh-CN"/>
        </w:rPr>
        <w:t>26.</w:t>
      </w:r>
    </w:p>
    <w:p w:rsidR="00511886" w:rsidRPr="00BF14FB" w:rsidRDefault="00511886" w:rsidP="00357A3D">
      <w:pPr>
        <w:pStyle w:val="Heading2"/>
        <w:ind w:left="0"/>
        <w:rPr>
          <w:bCs w:val="0"/>
          <w:iCs w:val="0"/>
          <w:sz w:val="22"/>
          <w:lang w:val="es-ES_tradnl"/>
        </w:rPr>
      </w:pPr>
      <w:r w:rsidRPr="00BF14FB">
        <w:rPr>
          <w:bCs w:val="0"/>
          <w:iCs w:val="0"/>
          <w:sz w:val="22"/>
          <w:lang w:val="es-ES_tradnl"/>
        </w:rPr>
        <w:t>P</w:t>
      </w:r>
      <w:r w:rsidR="009F79D3">
        <w:rPr>
          <w:bCs w:val="0"/>
          <w:iCs w:val="0"/>
          <w:sz w:val="22"/>
          <w:lang w:val="es-ES_tradnl"/>
        </w:rPr>
        <w:t>LAN DE TRABAJO</w:t>
      </w:r>
    </w:p>
    <w:p w:rsidR="00511886" w:rsidRPr="008231D4" w:rsidRDefault="008231D4" w:rsidP="008231D4">
      <w:pPr>
        <w:pStyle w:val="ONUME"/>
        <w:rPr>
          <w:rFonts w:eastAsia="SimSun"/>
          <w:sz w:val="22"/>
          <w:lang w:val="es-ES_tradnl" w:eastAsia="zh-CN"/>
        </w:rPr>
      </w:pPr>
      <w:r>
        <w:rPr>
          <w:rFonts w:eastAsia="SimSun"/>
          <w:sz w:val="22"/>
          <w:lang w:val="es-ES_tradnl" w:eastAsia="zh-CN"/>
        </w:rPr>
        <w:t>Después de la cuarta sesión del CWS tendrá lugar una nueva ronda de debates, centrados en la preparación de las recomendaciones relativas a la fase de transición que se han de presentar en la sesión del CWS en 2015</w:t>
      </w:r>
      <w:r w:rsidR="00511886" w:rsidRPr="008231D4">
        <w:rPr>
          <w:rFonts w:eastAsia="SimSun"/>
          <w:sz w:val="22"/>
          <w:lang w:val="es-ES_tradnl" w:eastAsia="zh-CN"/>
        </w:rPr>
        <w:t>.</w:t>
      </w:r>
    </w:p>
    <w:p w:rsidR="00511886" w:rsidRPr="00BF14FB" w:rsidRDefault="00511886" w:rsidP="00511886">
      <w:pPr>
        <w:rPr>
          <w:lang w:val="es-ES_tradnl"/>
        </w:rPr>
      </w:pPr>
    </w:p>
    <w:p w:rsidR="00511886" w:rsidRPr="00BF14FB" w:rsidRDefault="00511886" w:rsidP="00511886">
      <w:pPr>
        <w:rPr>
          <w:lang w:val="es-ES_tradnl"/>
        </w:rPr>
      </w:pPr>
    </w:p>
    <w:p w:rsidR="00511886" w:rsidRPr="00BF14FB" w:rsidRDefault="00511886" w:rsidP="00511886">
      <w:pPr>
        <w:rPr>
          <w:lang w:val="es-ES_tradnl"/>
        </w:rPr>
      </w:pPr>
    </w:p>
    <w:p w:rsidR="00511886" w:rsidRPr="00BF14FB" w:rsidRDefault="00511886" w:rsidP="00357A3D">
      <w:pPr>
        <w:pStyle w:val="Endofdocument-Annex"/>
        <w:rPr>
          <w:sz w:val="22"/>
          <w:szCs w:val="22"/>
          <w:lang w:val="es-ES_tradnl"/>
        </w:rPr>
      </w:pPr>
      <w:r w:rsidRPr="00BF14FB">
        <w:rPr>
          <w:sz w:val="22"/>
          <w:szCs w:val="22"/>
          <w:lang w:val="es-ES_tradnl"/>
        </w:rPr>
        <w:t>[</w:t>
      </w:r>
      <w:r w:rsidR="009F79D3">
        <w:rPr>
          <w:sz w:val="22"/>
          <w:szCs w:val="22"/>
          <w:lang w:val="es-ES_tradnl"/>
        </w:rPr>
        <w:t>Sigue el Anexo II</w:t>
      </w:r>
      <w:r w:rsidRPr="00BF14FB">
        <w:rPr>
          <w:sz w:val="22"/>
          <w:szCs w:val="22"/>
          <w:lang w:val="es-ES_tradnl"/>
        </w:rPr>
        <w:t>]</w:t>
      </w:r>
    </w:p>
    <w:p w:rsidR="006A67F1" w:rsidRPr="00BF14FB" w:rsidRDefault="006A67F1" w:rsidP="006A67F1">
      <w:pPr>
        <w:pStyle w:val="ListParagraph"/>
        <w:ind w:left="5534"/>
        <w:rPr>
          <w:lang w:val="es-ES_tradnl"/>
        </w:rPr>
      </w:pPr>
    </w:p>
    <w:sectPr w:rsidR="006A67F1" w:rsidRPr="00BF14FB" w:rsidSect="00945EF6">
      <w:headerReference w:type="default" r:id="rId8"/>
      <w:footerReference w:type="default" r:id="rId9"/>
      <w:headerReference w:type="first" r:id="rId10"/>
      <w:footerReference w:type="first" r:id="rId11"/>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1BA" w:rsidRDefault="009911BA" w:rsidP="009911BA">
      <w:r>
        <w:separator/>
      </w:r>
    </w:p>
  </w:endnote>
  <w:endnote w:type="continuationSeparator" w:id="0">
    <w:p w:rsidR="009911BA" w:rsidRDefault="009911BA" w:rsidP="0099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BA" w:rsidRDefault="009911BA">
    <w:pPr>
      <w:pStyle w:val="Footer"/>
      <w:jc w:val="center"/>
    </w:pPr>
  </w:p>
  <w:p w:rsidR="009911BA" w:rsidRDefault="00991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BA" w:rsidRDefault="009911BA">
    <w:pPr>
      <w:pStyle w:val="Footer"/>
      <w:jc w:val="center"/>
    </w:pPr>
  </w:p>
  <w:p w:rsidR="009911BA" w:rsidRDefault="00991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1BA" w:rsidRDefault="009911BA" w:rsidP="009911BA">
      <w:r>
        <w:separator/>
      </w:r>
    </w:p>
  </w:footnote>
  <w:footnote w:type="continuationSeparator" w:id="0">
    <w:p w:rsidR="009911BA" w:rsidRDefault="009911BA" w:rsidP="00991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FD" w:rsidRPr="00511886" w:rsidRDefault="00C94FFD" w:rsidP="00C94FFD">
    <w:pPr>
      <w:jc w:val="right"/>
      <w:rPr>
        <w:sz w:val="22"/>
        <w:szCs w:val="22"/>
      </w:rPr>
    </w:pPr>
    <w:r w:rsidRPr="00511886">
      <w:rPr>
        <w:sz w:val="22"/>
        <w:szCs w:val="22"/>
      </w:rPr>
      <w:t>CWS/4/</w:t>
    </w:r>
    <w:r w:rsidR="00511886">
      <w:rPr>
        <w:sz w:val="22"/>
        <w:szCs w:val="22"/>
      </w:rPr>
      <w:t>7</w:t>
    </w:r>
  </w:p>
  <w:p w:rsidR="00C94FFD" w:rsidRPr="00511886" w:rsidRDefault="0050566B" w:rsidP="00C94FFD">
    <w:pPr>
      <w:jc w:val="right"/>
      <w:rPr>
        <w:sz w:val="22"/>
        <w:szCs w:val="22"/>
      </w:rPr>
    </w:pPr>
    <w:r>
      <w:rPr>
        <w:sz w:val="22"/>
        <w:szCs w:val="22"/>
      </w:rPr>
      <w:t>An</w:t>
    </w:r>
    <w:r w:rsidR="00C94FFD" w:rsidRPr="00511886">
      <w:rPr>
        <w:sz w:val="22"/>
        <w:szCs w:val="22"/>
      </w:rPr>
      <w:t>ex</w:t>
    </w:r>
    <w:r>
      <w:rPr>
        <w:sz w:val="22"/>
        <w:szCs w:val="22"/>
      </w:rPr>
      <w:t>o</w:t>
    </w:r>
    <w:r w:rsidR="00C94FFD" w:rsidRPr="00511886">
      <w:rPr>
        <w:sz w:val="22"/>
        <w:szCs w:val="22"/>
      </w:rPr>
      <w:t xml:space="preserve"> I, </w:t>
    </w:r>
    <w:r>
      <w:rPr>
        <w:sz w:val="22"/>
        <w:szCs w:val="22"/>
      </w:rPr>
      <w:t>página</w:t>
    </w:r>
    <w:r w:rsidR="00C94FFD" w:rsidRPr="00511886">
      <w:rPr>
        <w:sz w:val="22"/>
        <w:szCs w:val="22"/>
      </w:rPr>
      <w:t xml:space="preserve"> </w:t>
    </w:r>
    <w:r w:rsidR="00C94FFD" w:rsidRPr="00511886">
      <w:rPr>
        <w:rStyle w:val="PageNumber"/>
        <w:sz w:val="22"/>
        <w:szCs w:val="22"/>
      </w:rPr>
      <w:fldChar w:fldCharType="begin"/>
    </w:r>
    <w:r w:rsidR="00C94FFD" w:rsidRPr="00511886">
      <w:rPr>
        <w:rStyle w:val="PageNumber"/>
        <w:sz w:val="22"/>
        <w:szCs w:val="22"/>
      </w:rPr>
      <w:instrText xml:space="preserve"> PAGE </w:instrText>
    </w:r>
    <w:r w:rsidR="00C94FFD" w:rsidRPr="00511886">
      <w:rPr>
        <w:rStyle w:val="PageNumber"/>
        <w:sz w:val="22"/>
        <w:szCs w:val="22"/>
      </w:rPr>
      <w:fldChar w:fldCharType="separate"/>
    </w:r>
    <w:r w:rsidR="00FF2BDC">
      <w:rPr>
        <w:rStyle w:val="PageNumber"/>
        <w:noProof/>
        <w:sz w:val="22"/>
        <w:szCs w:val="22"/>
      </w:rPr>
      <w:t>2</w:t>
    </w:r>
    <w:r w:rsidR="00C94FFD" w:rsidRPr="00511886">
      <w:rPr>
        <w:rStyle w:val="PageNumber"/>
        <w:sz w:val="22"/>
        <w:szCs w:val="22"/>
      </w:rPr>
      <w:fldChar w:fldCharType="end"/>
    </w:r>
  </w:p>
  <w:p w:rsidR="00C94FFD" w:rsidRDefault="00C94FFD" w:rsidP="00C94FFD">
    <w:pPr>
      <w:jc w:val="right"/>
    </w:pPr>
  </w:p>
  <w:p w:rsidR="009911BA" w:rsidRPr="00C94FFD" w:rsidRDefault="009911BA" w:rsidP="00C94F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FFD" w:rsidRPr="00511886" w:rsidRDefault="00C94FFD" w:rsidP="00C94FFD">
    <w:pPr>
      <w:jc w:val="right"/>
      <w:rPr>
        <w:sz w:val="22"/>
        <w:szCs w:val="22"/>
      </w:rPr>
    </w:pPr>
    <w:r w:rsidRPr="00511886">
      <w:rPr>
        <w:sz w:val="22"/>
        <w:szCs w:val="22"/>
      </w:rPr>
      <w:t>CWS/4/</w:t>
    </w:r>
    <w:r w:rsidR="00511886" w:rsidRPr="00511886">
      <w:rPr>
        <w:sz w:val="22"/>
        <w:szCs w:val="22"/>
      </w:rPr>
      <w:t>7</w:t>
    </w:r>
  </w:p>
  <w:p w:rsidR="00C94FFD" w:rsidRPr="00511886" w:rsidRDefault="005E6161" w:rsidP="00C94FFD">
    <w:pPr>
      <w:jc w:val="right"/>
      <w:rPr>
        <w:sz w:val="22"/>
        <w:szCs w:val="22"/>
      </w:rPr>
    </w:pPr>
    <w:r>
      <w:rPr>
        <w:sz w:val="22"/>
        <w:szCs w:val="22"/>
      </w:rPr>
      <w:t>AN</w:t>
    </w:r>
    <w:r w:rsidR="00C94FFD" w:rsidRPr="00511886">
      <w:rPr>
        <w:sz w:val="22"/>
        <w:szCs w:val="22"/>
      </w:rPr>
      <w:t>EX</w:t>
    </w:r>
    <w:r>
      <w:rPr>
        <w:sz w:val="22"/>
        <w:szCs w:val="22"/>
      </w:rPr>
      <w:t>O</w:t>
    </w:r>
    <w:r w:rsidR="00C94FFD" w:rsidRPr="00511886">
      <w:rPr>
        <w:sz w:val="22"/>
        <w:szCs w:val="22"/>
      </w:rPr>
      <w:t xml:space="preserve"> I</w:t>
    </w:r>
  </w:p>
  <w:p w:rsidR="00C94FFD" w:rsidRDefault="00C94FFD" w:rsidP="00C94FFD">
    <w:pPr>
      <w:jc w:val="right"/>
    </w:pPr>
  </w:p>
  <w:p w:rsidR="009911BA" w:rsidRPr="00C94FFD" w:rsidRDefault="009911BA" w:rsidP="00C94F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EAD00F1"/>
    <w:multiLevelType w:val="hybridMultilevel"/>
    <w:tmpl w:val="AFE4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92E95"/>
    <w:multiLevelType w:val="hybridMultilevel"/>
    <w:tmpl w:val="7A048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FF24ED"/>
    <w:multiLevelType w:val="hybridMultilevel"/>
    <w:tmpl w:val="8F66C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F76AC"/>
    <w:multiLevelType w:val="hybridMultilevel"/>
    <w:tmpl w:val="D4C4236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4"/>
  </w:num>
  <w:num w:numId="3">
    <w:abstractNumId w:val="9"/>
  </w:num>
  <w:num w:numId="4">
    <w:abstractNumId w:val="8"/>
  </w:num>
  <w:num w:numId="5">
    <w:abstractNumId w:val="0"/>
  </w:num>
  <w:num w:numId="6">
    <w:abstractNumId w:val="5"/>
  </w:num>
  <w:num w:numId="7">
    <w:abstractNumId w:val="2"/>
  </w:num>
  <w:num w:numId="8">
    <w:abstractNumId w:val="6"/>
  </w:num>
  <w:num w:numId="9">
    <w:abstractNumId w:val="3"/>
  </w:num>
  <w:num w:numId="10">
    <w:abstractNumId w:val="7"/>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10"/>
    <w:rsid w:val="000308E9"/>
    <w:rsid w:val="00043439"/>
    <w:rsid w:val="00044C4B"/>
    <w:rsid w:val="000A00C2"/>
    <w:rsid w:val="000D1720"/>
    <w:rsid w:val="000E17C3"/>
    <w:rsid w:val="000E7EDE"/>
    <w:rsid w:val="000F5E56"/>
    <w:rsid w:val="00113F26"/>
    <w:rsid w:val="001F4FF4"/>
    <w:rsid w:val="00224B73"/>
    <w:rsid w:val="00272A59"/>
    <w:rsid w:val="002C7A8F"/>
    <w:rsid w:val="00357A3D"/>
    <w:rsid w:val="00367344"/>
    <w:rsid w:val="0037089F"/>
    <w:rsid w:val="003852A6"/>
    <w:rsid w:val="003B0577"/>
    <w:rsid w:val="003B4D75"/>
    <w:rsid w:val="003D2B58"/>
    <w:rsid w:val="00414DFA"/>
    <w:rsid w:val="00431118"/>
    <w:rsid w:val="00436497"/>
    <w:rsid w:val="004370F1"/>
    <w:rsid w:val="0045028B"/>
    <w:rsid w:val="004F184F"/>
    <w:rsid w:val="004F19B4"/>
    <w:rsid w:val="0050566B"/>
    <w:rsid w:val="00511886"/>
    <w:rsid w:val="005176DF"/>
    <w:rsid w:val="00524FD9"/>
    <w:rsid w:val="00564AB2"/>
    <w:rsid w:val="005C315A"/>
    <w:rsid w:val="005D7374"/>
    <w:rsid w:val="005E6161"/>
    <w:rsid w:val="00616B5D"/>
    <w:rsid w:val="006975DF"/>
    <w:rsid w:val="006A67F1"/>
    <w:rsid w:val="00704633"/>
    <w:rsid w:val="00712A2F"/>
    <w:rsid w:val="00740008"/>
    <w:rsid w:val="00753F6E"/>
    <w:rsid w:val="00772A58"/>
    <w:rsid w:val="00795FFA"/>
    <w:rsid w:val="007A1228"/>
    <w:rsid w:val="007A13F8"/>
    <w:rsid w:val="007B240C"/>
    <w:rsid w:val="007D53C7"/>
    <w:rsid w:val="007E6270"/>
    <w:rsid w:val="007F351C"/>
    <w:rsid w:val="00804DB7"/>
    <w:rsid w:val="00810E3D"/>
    <w:rsid w:val="008231D4"/>
    <w:rsid w:val="008260C4"/>
    <w:rsid w:val="00897F8A"/>
    <w:rsid w:val="008B483F"/>
    <w:rsid w:val="0092251A"/>
    <w:rsid w:val="0094098A"/>
    <w:rsid w:val="00945EF6"/>
    <w:rsid w:val="0096204D"/>
    <w:rsid w:val="00963B8C"/>
    <w:rsid w:val="009911BA"/>
    <w:rsid w:val="009A191C"/>
    <w:rsid w:val="009F79D3"/>
    <w:rsid w:val="00A01F37"/>
    <w:rsid w:val="00A1653F"/>
    <w:rsid w:val="00A33AF8"/>
    <w:rsid w:val="00A5737B"/>
    <w:rsid w:val="00A97025"/>
    <w:rsid w:val="00AF084E"/>
    <w:rsid w:val="00B30CAD"/>
    <w:rsid w:val="00B426F1"/>
    <w:rsid w:val="00B76057"/>
    <w:rsid w:val="00BF14FB"/>
    <w:rsid w:val="00C11C89"/>
    <w:rsid w:val="00C11DCA"/>
    <w:rsid w:val="00C30B10"/>
    <w:rsid w:val="00C34025"/>
    <w:rsid w:val="00C5553E"/>
    <w:rsid w:val="00C707B0"/>
    <w:rsid w:val="00C747F9"/>
    <w:rsid w:val="00C94FFD"/>
    <w:rsid w:val="00CC1273"/>
    <w:rsid w:val="00CC783E"/>
    <w:rsid w:val="00CD43C6"/>
    <w:rsid w:val="00D42971"/>
    <w:rsid w:val="00D50603"/>
    <w:rsid w:val="00DA140D"/>
    <w:rsid w:val="00DA6EE7"/>
    <w:rsid w:val="00DB568A"/>
    <w:rsid w:val="00DE3030"/>
    <w:rsid w:val="00DE3B77"/>
    <w:rsid w:val="00E05A96"/>
    <w:rsid w:val="00E33604"/>
    <w:rsid w:val="00E34DD7"/>
    <w:rsid w:val="00E402A9"/>
    <w:rsid w:val="00E41C5F"/>
    <w:rsid w:val="00E73A77"/>
    <w:rsid w:val="00E819DC"/>
    <w:rsid w:val="00E82936"/>
    <w:rsid w:val="00EA3FF1"/>
    <w:rsid w:val="00EA75E4"/>
    <w:rsid w:val="00EB3F84"/>
    <w:rsid w:val="00EC6C8B"/>
    <w:rsid w:val="00F4719C"/>
    <w:rsid w:val="00F659B3"/>
    <w:rsid w:val="00FE7D96"/>
    <w:rsid w:val="00FF2B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886"/>
    <w:pPr>
      <w:spacing w:line="260" w:lineRule="atLeast"/>
      <w:ind w:left="1021"/>
    </w:pPr>
    <w:rPr>
      <w:rFonts w:ascii="Arial" w:hAnsi="Arial"/>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DE3030"/>
    <w:rPr>
      <w:rFonts w:ascii="Arial" w:eastAsia="SimSun" w:hAnsi="Arial" w:cs="Arial"/>
      <w:b/>
      <w:bCs/>
      <w:caps/>
      <w:kern w:val="32"/>
      <w:sz w:val="22"/>
      <w:szCs w:val="32"/>
    </w:rPr>
  </w:style>
  <w:style w:type="character" w:customStyle="1" w:styleId="Heading2Char">
    <w:name w:val="Heading 2 Char"/>
    <w:basedOn w:val="DefaultParagraphFont"/>
    <w:link w:val="Heading2"/>
    <w:rsid w:val="00DE3030"/>
    <w:rPr>
      <w:rFonts w:ascii="Arial" w:eastAsia="SimSun" w:hAnsi="Arial" w:cs="Arial"/>
      <w:bCs/>
      <w:iCs/>
      <w:caps/>
      <w:sz w:val="22"/>
      <w:szCs w:val="28"/>
    </w:rPr>
  </w:style>
  <w:style w:type="table" w:styleId="TableGrid">
    <w:name w:val="Table Grid"/>
    <w:basedOn w:val="TableNormal"/>
    <w:rsid w:val="00DE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B73"/>
    <w:pPr>
      <w:ind w:left="720"/>
      <w:contextualSpacing/>
    </w:pPr>
  </w:style>
  <w:style w:type="paragraph" w:styleId="BalloonText">
    <w:name w:val="Balloon Text"/>
    <w:basedOn w:val="Normal"/>
    <w:link w:val="BalloonTextChar"/>
    <w:rsid w:val="00AF084E"/>
    <w:rPr>
      <w:rFonts w:ascii="Tahoma" w:hAnsi="Tahoma" w:cs="Tahoma"/>
      <w:sz w:val="16"/>
      <w:szCs w:val="16"/>
    </w:rPr>
  </w:style>
  <w:style w:type="character" w:customStyle="1" w:styleId="BalloonTextChar">
    <w:name w:val="Balloon Text Char"/>
    <w:basedOn w:val="DefaultParagraphFont"/>
    <w:link w:val="BalloonText"/>
    <w:rsid w:val="00AF084E"/>
    <w:rPr>
      <w:rFonts w:ascii="Tahoma" w:hAnsi="Tahoma" w:cs="Tahoma"/>
      <w:sz w:val="16"/>
      <w:szCs w:val="16"/>
    </w:rPr>
  </w:style>
  <w:style w:type="character" w:customStyle="1" w:styleId="FooterChar">
    <w:name w:val="Footer Char"/>
    <w:basedOn w:val="DefaultParagraphFont"/>
    <w:link w:val="Footer"/>
    <w:uiPriority w:val="99"/>
    <w:rsid w:val="009911BA"/>
    <w:rPr>
      <w:rFonts w:ascii="Arial" w:hAnsi="Arial" w:cs="Arial"/>
      <w:sz w:val="22"/>
    </w:rPr>
  </w:style>
  <w:style w:type="character" w:styleId="PageNumber">
    <w:name w:val="page number"/>
    <w:basedOn w:val="DefaultParagraphFont"/>
    <w:rsid w:val="00C94FFD"/>
  </w:style>
  <w:style w:type="paragraph" w:customStyle="1" w:styleId="Endofdocument-Annex">
    <w:name w:val="[End of document - Annex]"/>
    <w:basedOn w:val="Normal"/>
    <w:rsid w:val="006A67F1"/>
    <w:pPr>
      <w:ind w:left="5534"/>
    </w:pPr>
    <w:rPr>
      <w:rFonts w:eastAsia="SimSun"/>
      <w:lang w:eastAsia="zh-CN"/>
    </w:rPr>
  </w:style>
  <w:style w:type="character" w:customStyle="1" w:styleId="ONUMEChar">
    <w:name w:val="ONUM E Char"/>
    <w:link w:val="ONUME"/>
    <w:rsid w:val="00511886"/>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1886"/>
    <w:pPr>
      <w:spacing w:line="260" w:lineRule="atLeast"/>
      <w:ind w:left="1021"/>
    </w:pPr>
    <w:rPr>
      <w:rFonts w:ascii="Arial" w:hAnsi="Arial"/>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basedOn w:val="DefaultParagraphFont"/>
    <w:link w:val="Heading1"/>
    <w:rsid w:val="00DE3030"/>
    <w:rPr>
      <w:rFonts w:ascii="Arial" w:eastAsia="SimSun" w:hAnsi="Arial" w:cs="Arial"/>
      <w:b/>
      <w:bCs/>
      <w:caps/>
      <w:kern w:val="32"/>
      <w:sz w:val="22"/>
      <w:szCs w:val="32"/>
    </w:rPr>
  </w:style>
  <w:style w:type="character" w:customStyle="1" w:styleId="Heading2Char">
    <w:name w:val="Heading 2 Char"/>
    <w:basedOn w:val="DefaultParagraphFont"/>
    <w:link w:val="Heading2"/>
    <w:rsid w:val="00DE3030"/>
    <w:rPr>
      <w:rFonts w:ascii="Arial" w:eastAsia="SimSun" w:hAnsi="Arial" w:cs="Arial"/>
      <w:bCs/>
      <w:iCs/>
      <w:caps/>
      <w:sz w:val="22"/>
      <w:szCs w:val="28"/>
    </w:rPr>
  </w:style>
  <w:style w:type="table" w:styleId="TableGrid">
    <w:name w:val="Table Grid"/>
    <w:basedOn w:val="TableNormal"/>
    <w:rsid w:val="00DE3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4B73"/>
    <w:pPr>
      <w:ind w:left="720"/>
      <w:contextualSpacing/>
    </w:pPr>
  </w:style>
  <w:style w:type="paragraph" w:styleId="BalloonText">
    <w:name w:val="Balloon Text"/>
    <w:basedOn w:val="Normal"/>
    <w:link w:val="BalloonTextChar"/>
    <w:rsid w:val="00AF084E"/>
    <w:rPr>
      <w:rFonts w:ascii="Tahoma" w:hAnsi="Tahoma" w:cs="Tahoma"/>
      <w:sz w:val="16"/>
      <w:szCs w:val="16"/>
    </w:rPr>
  </w:style>
  <w:style w:type="character" w:customStyle="1" w:styleId="BalloonTextChar">
    <w:name w:val="Balloon Text Char"/>
    <w:basedOn w:val="DefaultParagraphFont"/>
    <w:link w:val="BalloonText"/>
    <w:rsid w:val="00AF084E"/>
    <w:rPr>
      <w:rFonts w:ascii="Tahoma" w:hAnsi="Tahoma" w:cs="Tahoma"/>
      <w:sz w:val="16"/>
      <w:szCs w:val="16"/>
    </w:rPr>
  </w:style>
  <w:style w:type="character" w:customStyle="1" w:styleId="FooterChar">
    <w:name w:val="Footer Char"/>
    <w:basedOn w:val="DefaultParagraphFont"/>
    <w:link w:val="Footer"/>
    <w:uiPriority w:val="99"/>
    <w:rsid w:val="009911BA"/>
    <w:rPr>
      <w:rFonts w:ascii="Arial" w:hAnsi="Arial" w:cs="Arial"/>
      <w:sz w:val="22"/>
    </w:rPr>
  </w:style>
  <w:style w:type="character" w:styleId="PageNumber">
    <w:name w:val="page number"/>
    <w:basedOn w:val="DefaultParagraphFont"/>
    <w:rsid w:val="00C94FFD"/>
  </w:style>
  <w:style w:type="paragraph" w:customStyle="1" w:styleId="Endofdocument-Annex">
    <w:name w:val="[End of document - Annex]"/>
    <w:basedOn w:val="Normal"/>
    <w:rsid w:val="006A67F1"/>
    <w:pPr>
      <w:ind w:left="5534"/>
    </w:pPr>
    <w:rPr>
      <w:rFonts w:eastAsia="SimSun"/>
      <w:lang w:eastAsia="zh-CN"/>
    </w:rPr>
  </w:style>
  <w:style w:type="character" w:customStyle="1" w:styleId="ONUMEChar">
    <w:name w:val="ONUM E Char"/>
    <w:link w:val="ONUME"/>
    <w:rsid w:val="0051188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6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842</Words>
  <Characters>4244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CWS/4/7 Anexo I (en Español)</vt:lpstr>
    </vt:vector>
  </TitlesOfParts>
  <Manager/>
  <Company>OMPI</Company>
  <LinksUpToDate>false</LinksUpToDate>
  <CharactersWithSpaces>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CWS/4/7 Anexo I (en Español)</dc:title>
  <dc:subject>Informe sobre la preparación de una nueva norma técnica de la OMPI relativa a la presentación de listas de secuencias de nucleótidos y aminoácidos mediante el lenguaje extensible de marcado (XML)</dc:subject>
  <dc:creator>OMPI</dc:creator>
  <dc:description/>
  <cp:lastModifiedBy>Geraldine Rodriguez</cp:lastModifiedBy>
  <cp:revision>3</cp:revision>
  <cp:lastPrinted>2014-04-01T13:16:00Z</cp:lastPrinted>
  <dcterms:created xsi:type="dcterms:W3CDTF">2014-05-02T08:49:00Z</dcterms:created>
  <dcterms:modified xsi:type="dcterms:W3CDTF">2014-05-02T09:11:00Z</dcterms:modified>
</cp:coreProperties>
</file>