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617D8" w:rsidRPr="005617D8" w:rsidTr="005C6842">
        <w:tc>
          <w:tcPr>
            <w:tcW w:w="4513" w:type="dxa"/>
            <w:tcBorders>
              <w:bottom w:val="single" w:sz="4" w:space="0" w:color="auto"/>
            </w:tcBorders>
            <w:tcMar>
              <w:bottom w:w="170" w:type="dxa"/>
            </w:tcMar>
          </w:tcPr>
          <w:p w:rsidR="00EC4E49" w:rsidRPr="005617D8" w:rsidRDefault="00EC4E49" w:rsidP="00916EE2">
            <w:pPr>
              <w:rPr>
                <w:lang w:val="es-ES_tradnl"/>
              </w:rPr>
            </w:pPr>
          </w:p>
        </w:tc>
        <w:tc>
          <w:tcPr>
            <w:tcW w:w="4337" w:type="dxa"/>
            <w:tcBorders>
              <w:bottom w:val="single" w:sz="4" w:space="0" w:color="auto"/>
            </w:tcBorders>
            <w:tcMar>
              <w:left w:w="0" w:type="dxa"/>
              <w:right w:w="0" w:type="dxa"/>
            </w:tcMar>
          </w:tcPr>
          <w:p w:rsidR="00EC4E49" w:rsidRPr="005617D8" w:rsidRDefault="005C6842" w:rsidP="00916EE2">
            <w:pPr>
              <w:rPr>
                <w:lang w:val="es-ES_tradnl"/>
              </w:rPr>
            </w:pPr>
            <w:r w:rsidRPr="005617D8">
              <w:rPr>
                <w:noProof/>
              </w:rPr>
              <w:drawing>
                <wp:inline distT="0" distB="0" distL="0" distR="0" wp14:anchorId="123F47CB" wp14:editId="20B1F4A8">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5617D8" w:rsidRDefault="00FF532C" w:rsidP="00916EE2">
            <w:pPr>
              <w:jc w:val="right"/>
              <w:rPr>
                <w:lang w:val="es-ES_tradnl"/>
              </w:rPr>
            </w:pPr>
            <w:r w:rsidRPr="005617D8">
              <w:rPr>
                <w:b/>
                <w:sz w:val="40"/>
                <w:szCs w:val="40"/>
                <w:lang w:val="es-ES_tradnl"/>
              </w:rPr>
              <w:t>S</w:t>
            </w:r>
          </w:p>
        </w:tc>
      </w:tr>
      <w:tr w:rsidR="005617D8" w:rsidRPr="005617D8" w:rsidTr="00A75820">
        <w:trPr>
          <w:trHeight w:hRule="exact" w:val="340"/>
        </w:trPr>
        <w:tc>
          <w:tcPr>
            <w:tcW w:w="9356" w:type="dxa"/>
            <w:gridSpan w:val="3"/>
            <w:tcBorders>
              <w:top w:val="single" w:sz="4" w:space="0" w:color="auto"/>
            </w:tcBorders>
            <w:tcMar>
              <w:top w:w="170" w:type="dxa"/>
              <w:left w:w="0" w:type="dxa"/>
              <w:right w:w="0" w:type="dxa"/>
            </w:tcMar>
            <w:vAlign w:val="bottom"/>
          </w:tcPr>
          <w:p w:rsidR="005C6842" w:rsidRPr="005617D8" w:rsidRDefault="005C6842" w:rsidP="00A75820">
            <w:pPr>
              <w:jc w:val="right"/>
              <w:rPr>
                <w:rFonts w:ascii="Arial Black" w:hAnsi="Arial Black"/>
                <w:caps/>
                <w:sz w:val="15"/>
                <w:lang w:val="es-ES_tradnl"/>
              </w:rPr>
            </w:pPr>
            <w:r w:rsidRPr="005617D8">
              <w:rPr>
                <w:rFonts w:ascii="Arial Black" w:hAnsi="Arial Black"/>
                <w:sz w:val="15"/>
                <w:lang w:val="es-ES_tradnl"/>
              </w:rPr>
              <w:t>CWS/4/2</w:t>
            </w:r>
            <w:r w:rsidRPr="005617D8">
              <w:rPr>
                <w:rFonts w:ascii="Arial Black" w:hAnsi="Arial Black"/>
                <w:caps/>
                <w:sz w:val="15"/>
                <w:lang w:val="es-ES_tradnl"/>
              </w:rPr>
              <w:t xml:space="preserve">    </w:t>
            </w:r>
          </w:p>
        </w:tc>
      </w:tr>
      <w:tr w:rsidR="005617D8" w:rsidRPr="005617D8" w:rsidTr="00A75820">
        <w:trPr>
          <w:trHeight w:hRule="exact" w:val="170"/>
        </w:trPr>
        <w:tc>
          <w:tcPr>
            <w:tcW w:w="9356" w:type="dxa"/>
            <w:gridSpan w:val="3"/>
            <w:noWrap/>
            <w:tcMar>
              <w:left w:w="0" w:type="dxa"/>
              <w:right w:w="0" w:type="dxa"/>
            </w:tcMar>
            <w:vAlign w:val="bottom"/>
          </w:tcPr>
          <w:p w:rsidR="005C6842" w:rsidRPr="005617D8" w:rsidRDefault="005C6842" w:rsidP="00A75820">
            <w:pPr>
              <w:jc w:val="right"/>
              <w:rPr>
                <w:rFonts w:ascii="Arial Black" w:hAnsi="Arial Black"/>
                <w:caps/>
                <w:sz w:val="15"/>
                <w:lang w:val="es-ES_tradnl"/>
              </w:rPr>
            </w:pPr>
            <w:r w:rsidRPr="005617D8">
              <w:rPr>
                <w:rFonts w:ascii="Arial Black" w:hAnsi="Arial Black"/>
                <w:sz w:val="15"/>
                <w:lang w:val="es-ES_tradnl"/>
              </w:rPr>
              <w:t>ORIGINAL:  INGLÉS</w:t>
            </w:r>
          </w:p>
        </w:tc>
      </w:tr>
      <w:tr w:rsidR="005617D8" w:rsidRPr="005617D8" w:rsidTr="00A75820">
        <w:trPr>
          <w:trHeight w:hRule="exact" w:val="198"/>
        </w:trPr>
        <w:tc>
          <w:tcPr>
            <w:tcW w:w="9356" w:type="dxa"/>
            <w:gridSpan w:val="3"/>
            <w:tcMar>
              <w:left w:w="0" w:type="dxa"/>
              <w:right w:w="0" w:type="dxa"/>
            </w:tcMar>
            <w:vAlign w:val="bottom"/>
          </w:tcPr>
          <w:p w:rsidR="005C6842" w:rsidRPr="005617D8" w:rsidRDefault="00006043" w:rsidP="00A75820">
            <w:pPr>
              <w:jc w:val="right"/>
              <w:rPr>
                <w:rFonts w:ascii="Arial Black" w:hAnsi="Arial Black"/>
                <w:caps/>
                <w:sz w:val="15"/>
                <w:lang w:val="es-ES_tradnl"/>
              </w:rPr>
            </w:pPr>
            <w:r w:rsidRPr="005617D8">
              <w:rPr>
                <w:rFonts w:ascii="Arial Black" w:hAnsi="Arial Black"/>
                <w:sz w:val="15"/>
                <w:lang w:val="es-ES_tradnl"/>
              </w:rPr>
              <w:t>FECHA</w:t>
            </w:r>
            <w:r w:rsidR="005C6842" w:rsidRPr="005617D8">
              <w:rPr>
                <w:rFonts w:ascii="Arial Black" w:hAnsi="Arial Black"/>
                <w:sz w:val="15"/>
                <w:lang w:val="es-ES_tradnl"/>
              </w:rPr>
              <w:t>:  21 DE MARZO DE 2014</w:t>
            </w:r>
          </w:p>
        </w:tc>
      </w:tr>
    </w:tbl>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b/>
          <w:sz w:val="28"/>
          <w:szCs w:val="28"/>
          <w:lang w:val="es-ES_tradnl"/>
        </w:rPr>
      </w:pPr>
      <w:r w:rsidRPr="005617D8">
        <w:rPr>
          <w:b/>
          <w:sz w:val="28"/>
          <w:szCs w:val="28"/>
          <w:lang w:val="es-ES_tradnl"/>
        </w:rPr>
        <w:t>Comité de Normas Técnicas de la OMPI (CWS)</w:t>
      </w: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b/>
          <w:sz w:val="24"/>
          <w:szCs w:val="24"/>
          <w:lang w:val="es-ES_tradnl"/>
        </w:rPr>
      </w:pPr>
      <w:r w:rsidRPr="005617D8">
        <w:rPr>
          <w:b/>
          <w:sz w:val="24"/>
          <w:szCs w:val="24"/>
          <w:lang w:val="es-ES_tradnl"/>
        </w:rPr>
        <w:t>Cuarta sesión</w:t>
      </w:r>
    </w:p>
    <w:p w:rsidR="005C6842" w:rsidRPr="005617D8" w:rsidRDefault="005C6842" w:rsidP="005C6842">
      <w:pPr>
        <w:rPr>
          <w:b/>
          <w:sz w:val="24"/>
          <w:szCs w:val="24"/>
          <w:lang w:val="es-ES_tradnl"/>
        </w:rPr>
      </w:pPr>
      <w:r w:rsidRPr="005617D8">
        <w:rPr>
          <w:b/>
          <w:sz w:val="24"/>
          <w:szCs w:val="24"/>
          <w:lang w:val="es-ES_tradnl"/>
        </w:rPr>
        <w:t>Ginebra, 12 a 16 de mayo de 2014</w:t>
      </w: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caps/>
          <w:sz w:val="24"/>
          <w:lang w:val="es-ES_tradnl"/>
        </w:rPr>
      </w:pPr>
      <w:bookmarkStart w:id="0" w:name="TitleOfDoc"/>
      <w:bookmarkEnd w:id="0"/>
      <w:r w:rsidRPr="005617D8">
        <w:rPr>
          <w:sz w:val="24"/>
          <w:lang w:val="es-ES_tradnl"/>
        </w:rPr>
        <w:t>DECISIÓN DEL 44º PERÍODO DE SESIONES DE LA ASAMBLEA GENERAL DE LA OMPI EN RELACIÓN CON EL CWS</w:t>
      </w:r>
    </w:p>
    <w:p w:rsidR="005C6842" w:rsidRPr="005617D8" w:rsidRDefault="005C6842" w:rsidP="005C6842">
      <w:pPr>
        <w:rPr>
          <w:lang w:val="es-ES_tradnl"/>
        </w:rPr>
      </w:pPr>
    </w:p>
    <w:p w:rsidR="005C6842" w:rsidRPr="005617D8" w:rsidRDefault="005C6842" w:rsidP="005C6842">
      <w:pPr>
        <w:rPr>
          <w:i/>
          <w:lang w:val="es-ES_tradnl"/>
        </w:rPr>
      </w:pPr>
      <w:bookmarkStart w:id="1" w:name="Prepared"/>
      <w:bookmarkEnd w:id="1"/>
      <w:r w:rsidRPr="005617D8">
        <w:rPr>
          <w:i/>
          <w:lang w:val="es-ES_tradnl"/>
        </w:rPr>
        <w:t>Documento preparado por la Secretaría</w:t>
      </w: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5C6842">
      <w:pPr>
        <w:rPr>
          <w:lang w:val="es-ES_tradnl"/>
        </w:rPr>
      </w:pPr>
    </w:p>
    <w:p w:rsidR="005C6842" w:rsidRPr="005617D8" w:rsidRDefault="005C6842" w:rsidP="00763FD4">
      <w:pPr>
        <w:pStyle w:val="ONUMFS"/>
        <w:rPr>
          <w:lang w:val="es-ES_tradnl"/>
        </w:rPr>
      </w:pPr>
      <w:r w:rsidRPr="005617D8">
        <w:rPr>
          <w:lang w:val="es-ES_tradnl"/>
        </w:rPr>
        <w:t>E</w:t>
      </w:r>
      <w:r w:rsidR="00FF532C" w:rsidRPr="005617D8">
        <w:rPr>
          <w:lang w:val="es-ES_tradnl"/>
        </w:rPr>
        <w:t>n su tercera sesión, celebrada del 15 al 19 de abril de 2013, e</w:t>
      </w:r>
      <w:r w:rsidRPr="005617D8">
        <w:rPr>
          <w:lang w:val="es-ES_tradnl"/>
        </w:rPr>
        <w:t xml:space="preserve">l CWS acordó que </w:t>
      </w:r>
      <w:r w:rsidR="00FF532C" w:rsidRPr="005617D8">
        <w:rPr>
          <w:lang w:val="es-ES_tradnl"/>
        </w:rPr>
        <w:t>“</w:t>
      </w:r>
      <w:r w:rsidRPr="005617D8">
        <w:rPr>
          <w:lang w:val="es-ES_tradnl"/>
        </w:rPr>
        <w:t>la Presidenta del Comité pida a la Secretaría que prepare y presente el informe del CWS, y que transmita el pedido del CWS a la Asamblea General de modo que ésta instruya al CWS en relación con la labor futura en torno a los asuntos pendientes, conforme a la última frase del pá</w:t>
      </w:r>
      <w:r w:rsidR="00FF532C" w:rsidRPr="005617D8">
        <w:rPr>
          <w:lang w:val="es-ES_tradnl"/>
        </w:rPr>
        <w:t>rrafo 5 del documento CWS/2/13” (véase el párrafo 22 del documento CWS/3/14).</w:t>
      </w:r>
    </w:p>
    <w:p w:rsidR="005C6842" w:rsidRPr="005617D8" w:rsidRDefault="00931618" w:rsidP="00763FD4">
      <w:pPr>
        <w:pStyle w:val="ONUMFS"/>
        <w:rPr>
          <w:lang w:val="es-ES_tradnl"/>
        </w:rPr>
      </w:pPr>
      <w:r w:rsidRPr="005617D8">
        <w:rPr>
          <w:lang w:val="es-ES_tradnl"/>
        </w:rPr>
        <w:t>La Secretaría</w:t>
      </w:r>
      <w:r w:rsidR="005C6842" w:rsidRPr="005617D8">
        <w:rPr>
          <w:lang w:val="es-ES_tradnl"/>
        </w:rPr>
        <w:t xml:space="preserve"> </w:t>
      </w:r>
      <w:r w:rsidR="00E555E7" w:rsidRPr="005617D8">
        <w:rPr>
          <w:lang w:val="es-ES_tradnl"/>
        </w:rPr>
        <w:t xml:space="preserve">preparó y presentó el informe del CWS y transmitió la petición del CWS a la Asamblea General, según lo indicado anteriormente, en el documento </w:t>
      </w:r>
      <w:r w:rsidR="005C6842" w:rsidRPr="005617D8">
        <w:rPr>
          <w:lang w:val="es-ES_tradnl"/>
        </w:rPr>
        <w:t xml:space="preserve">WO/GA/43/16.  </w:t>
      </w:r>
      <w:r w:rsidR="00E555E7" w:rsidRPr="005617D8">
        <w:rPr>
          <w:lang w:val="es-ES_tradnl"/>
        </w:rPr>
        <w:t>En el Anexo del presente documento figura el extracto del documento mencionado en relación con el CWS</w:t>
      </w:r>
      <w:r w:rsidR="005C6842" w:rsidRPr="005617D8">
        <w:rPr>
          <w:lang w:val="es-ES_tradnl"/>
        </w:rPr>
        <w:t>.</w:t>
      </w:r>
    </w:p>
    <w:p w:rsidR="005C6842" w:rsidRPr="005617D8" w:rsidRDefault="00E555E7" w:rsidP="00763FD4">
      <w:pPr>
        <w:pStyle w:val="ONUMFS"/>
        <w:rPr>
          <w:lang w:val="es-ES_tradnl"/>
        </w:rPr>
      </w:pPr>
      <w:r w:rsidRPr="005617D8">
        <w:rPr>
          <w:lang w:val="es-ES_tradnl"/>
        </w:rPr>
        <w:t xml:space="preserve">A raíz de la decisión de la 51ª serie de reuniones de las Asambleas de concluir las deliberaciones sobre ese punto del orden del día en la siguiente sesión, en la 52ª serie de reuniones </w:t>
      </w:r>
      <w:r w:rsidR="00F836AB" w:rsidRPr="005617D8">
        <w:rPr>
          <w:lang w:val="es-ES_tradnl"/>
        </w:rPr>
        <w:t xml:space="preserve">de las Asambleas </w:t>
      </w:r>
      <w:r w:rsidRPr="005617D8">
        <w:rPr>
          <w:lang w:val="es-ES_tradnl"/>
        </w:rPr>
        <w:t>se decidió lo siguiente (véase el párrafo</w:t>
      </w:r>
      <w:r w:rsidR="00690283">
        <w:rPr>
          <w:lang w:val="es-ES_tradnl"/>
        </w:rPr>
        <w:t> </w:t>
      </w:r>
      <w:r w:rsidRPr="005617D8">
        <w:rPr>
          <w:lang w:val="es-ES_tradnl"/>
        </w:rPr>
        <w:t xml:space="preserve">100 del documento </w:t>
      </w:r>
      <w:r w:rsidR="005C6842" w:rsidRPr="005617D8">
        <w:rPr>
          <w:lang w:val="es-ES_tradnl"/>
        </w:rPr>
        <w:t>WO/GA/44/6):</w:t>
      </w:r>
    </w:p>
    <w:p w:rsidR="005C6842" w:rsidRPr="005617D8" w:rsidRDefault="00DE066C" w:rsidP="005C6842">
      <w:pPr>
        <w:pStyle w:val="BodyText"/>
        <w:ind w:firstLine="567"/>
        <w:rPr>
          <w:lang w:val="es-ES_tradnl"/>
        </w:rPr>
      </w:pPr>
      <w:r>
        <w:rPr>
          <w:lang w:val="es-ES_tradnl"/>
        </w:rPr>
        <w:t>“</w:t>
      </w:r>
      <w:r w:rsidR="005C6842" w:rsidRPr="005617D8">
        <w:rPr>
          <w:lang w:val="es-ES_tradnl"/>
        </w:rPr>
        <w:t xml:space="preserve">La Asamblea General de la OMPI: </w:t>
      </w:r>
    </w:p>
    <w:p w:rsidR="005C6842" w:rsidRPr="005617D8" w:rsidRDefault="005C6842" w:rsidP="00763FD4">
      <w:pPr>
        <w:pStyle w:val="ONUMFS"/>
        <w:numPr>
          <w:ilvl w:val="0"/>
          <w:numId w:val="12"/>
        </w:numPr>
        <w:ind w:left="1134" w:firstLine="0"/>
        <w:rPr>
          <w:lang w:val="es-ES_tradnl"/>
        </w:rPr>
      </w:pPr>
      <w:r w:rsidRPr="005617D8">
        <w:rPr>
          <w:lang w:val="es-ES_tradnl"/>
        </w:rPr>
        <w:t>tomó nota de la información contenida en el documento WO/GA/43/16 en relación con el Comité de Normas Técnicas de la OMPI (CWS);</w:t>
      </w:r>
    </w:p>
    <w:p w:rsidR="005C6842" w:rsidRPr="005617D8" w:rsidRDefault="005C6842" w:rsidP="00763FD4">
      <w:pPr>
        <w:pStyle w:val="ONUMFS"/>
        <w:numPr>
          <w:ilvl w:val="0"/>
          <w:numId w:val="12"/>
        </w:numPr>
        <w:ind w:left="1134" w:firstLine="0"/>
        <w:rPr>
          <w:lang w:val="es-ES_tradnl"/>
        </w:rPr>
      </w:pPr>
      <w:r w:rsidRPr="005617D8">
        <w:rPr>
          <w:lang w:val="es-ES_tradnl"/>
        </w:rPr>
        <w:t xml:space="preserve">tomó nota de las declaraciones formuladas por las delegaciones en el cuadragésimo tercero y cuadragésimo cuarto períodos de sesiones de la Asamblea General de la OMPI en 2013;  y </w:t>
      </w:r>
    </w:p>
    <w:p w:rsidR="005C6842" w:rsidRPr="005617D8" w:rsidRDefault="005C6842" w:rsidP="00763FD4">
      <w:pPr>
        <w:pStyle w:val="ONUMFS"/>
        <w:numPr>
          <w:ilvl w:val="0"/>
          <w:numId w:val="12"/>
        </w:numPr>
        <w:ind w:left="1134" w:firstLine="0"/>
        <w:rPr>
          <w:lang w:val="es-ES_tradnl"/>
        </w:rPr>
      </w:pPr>
      <w:r w:rsidRPr="005617D8">
        <w:rPr>
          <w:lang w:val="es-ES_tradnl"/>
        </w:rPr>
        <w:lastRenderedPageBreak/>
        <w:t>pidió al CWS que prosiga la labor relativa a las cuestiones sobre las que se da cuenta en dicho documento.</w:t>
      </w:r>
      <w:r w:rsidR="00DE066C">
        <w:rPr>
          <w:lang w:val="es-ES_tradnl"/>
        </w:rPr>
        <w:t>”</w:t>
      </w:r>
      <w:bookmarkStart w:id="2" w:name="_GoBack"/>
      <w:bookmarkEnd w:id="2"/>
    </w:p>
    <w:p w:rsidR="00D33385" w:rsidRPr="00D32A13" w:rsidRDefault="00E555E7" w:rsidP="00690283">
      <w:pPr>
        <w:pStyle w:val="ONUMFS"/>
        <w:ind w:left="5534"/>
        <w:rPr>
          <w:i/>
          <w:lang w:val="es-ES_tradnl"/>
        </w:rPr>
      </w:pPr>
      <w:r w:rsidRPr="00D32A13">
        <w:rPr>
          <w:i/>
          <w:lang w:val="es-ES_tradnl"/>
        </w:rPr>
        <w:t>Se invita al</w:t>
      </w:r>
      <w:r w:rsidR="00D33385" w:rsidRPr="00D32A13">
        <w:rPr>
          <w:i/>
          <w:lang w:val="es-ES_tradnl"/>
        </w:rPr>
        <w:t xml:space="preserve"> CWS </w:t>
      </w:r>
      <w:r w:rsidRPr="00D32A13">
        <w:rPr>
          <w:i/>
          <w:lang w:val="es-ES_tradnl"/>
        </w:rPr>
        <w:t xml:space="preserve">a tomar nota de la decisión del </w:t>
      </w:r>
      <w:r w:rsidR="00D33385" w:rsidRPr="00D32A13">
        <w:rPr>
          <w:i/>
          <w:lang w:val="es-ES_tradnl"/>
        </w:rPr>
        <w:t>44</w:t>
      </w:r>
      <w:r w:rsidRPr="00D32A13">
        <w:rPr>
          <w:i/>
          <w:vertAlign w:val="superscript"/>
          <w:lang w:val="es-ES_tradnl"/>
        </w:rPr>
        <w:t xml:space="preserve">º </w:t>
      </w:r>
      <w:r w:rsidRPr="00D32A13">
        <w:rPr>
          <w:i/>
          <w:lang w:val="es-ES_tradnl"/>
        </w:rPr>
        <w:t xml:space="preserve">período de sesiones de la Asamblea General de la OMPI en relación con el </w:t>
      </w:r>
      <w:r w:rsidR="00D33385" w:rsidRPr="00D32A13">
        <w:rPr>
          <w:i/>
          <w:lang w:val="es-ES_tradnl"/>
        </w:rPr>
        <w:t xml:space="preserve">CWS </w:t>
      </w:r>
      <w:r w:rsidRPr="00D32A13">
        <w:rPr>
          <w:i/>
          <w:lang w:val="es-ES_tradnl"/>
        </w:rPr>
        <w:t>y de adoptar las medidas apropiadas al respecto</w:t>
      </w:r>
      <w:r w:rsidR="00D33385" w:rsidRPr="00D32A13">
        <w:rPr>
          <w:i/>
          <w:lang w:val="es-ES_tradnl"/>
        </w:rPr>
        <w:t>.</w:t>
      </w:r>
    </w:p>
    <w:p w:rsidR="00D33385" w:rsidRPr="005617D8" w:rsidRDefault="00D33385" w:rsidP="00D33385">
      <w:pPr>
        <w:pStyle w:val="ONUME"/>
        <w:rPr>
          <w:lang w:val="es-ES_tradnl"/>
        </w:rPr>
      </w:pPr>
    </w:p>
    <w:p w:rsidR="00D33385" w:rsidRPr="005617D8" w:rsidRDefault="00D33385" w:rsidP="00D33385">
      <w:pPr>
        <w:pStyle w:val="ONUME"/>
        <w:rPr>
          <w:lang w:val="es-ES_tradnl"/>
        </w:rPr>
      </w:pPr>
    </w:p>
    <w:p w:rsidR="00D33385" w:rsidRPr="005617D8" w:rsidRDefault="00D33385" w:rsidP="00855FAD">
      <w:pPr>
        <w:pStyle w:val="Endofdocument-Annex"/>
        <w:rPr>
          <w:lang w:val="es-ES_tradnl"/>
        </w:rPr>
      </w:pPr>
      <w:r w:rsidRPr="005617D8">
        <w:rPr>
          <w:lang w:val="es-ES_tradnl"/>
        </w:rPr>
        <w:t>[</w:t>
      </w:r>
      <w:r w:rsidR="00E555E7" w:rsidRPr="005617D8">
        <w:rPr>
          <w:lang w:val="es-ES_tradnl"/>
        </w:rPr>
        <w:t>Sigue el Anexo</w:t>
      </w:r>
      <w:r w:rsidRPr="005617D8">
        <w:rPr>
          <w:lang w:val="es-ES_tradnl"/>
        </w:rPr>
        <w:t>]</w:t>
      </w:r>
    </w:p>
    <w:sectPr w:rsidR="00D33385" w:rsidRPr="005617D8" w:rsidSect="00F858D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68" w:rsidRDefault="00C72568">
      <w:r>
        <w:separator/>
      </w:r>
    </w:p>
  </w:endnote>
  <w:endnote w:type="continuationSeparator" w:id="0">
    <w:p w:rsidR="00C72568" w:rsidRDefault="00C72568" w:rsidP="003B38C1">
      <w:r>
        <w:separator/>
      </w:r>
    </w:p>
    <w:p w:rsidR="00C72568" w:rsidRPr="003B38C1" w:rsidRDefault="00C72568" w:rsidP="003B38C1">
      <w:pPr>
        <w:spacing w:after="60"/>
        <w:rPr>
          <w:sz w:val="17"/>
        </w:rPr>
      </w:pPr>
      <w:r>
        <w:rPr>
          <w:sz w:val="17"/>
        </w:rPr>
        <w:t>[Endnote continued from previous page]</w:t>
      </w:r>
    </w:p>
  </w:endnote>
  <w:endnote w:type="continuationNotice" w:id="1">
    <w:p w:rsidR="00C72568" w:rsidRPr="003B38C1" w:rsidRDefault="00C725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68" w:rsidRDefault="00C72568">
      <w:r>
        <w:separator/>
      </w:r>
    </w:p>
  </w:footnote>
  <w:footnote w:type="continuationSeparator" w:id="0">
    <w:p w:rsidR="00C72568" w:rsidRDefault="00C72568" w:rsidP="008B60B2">
      <w:r>
        <w:separator/>
      </w:r>
    </w:p>
    <w:p w:rsidR="00C72568" w:rsidRPr="00ED77FB" w:rsidRDefault="00C72568" w:rsidP="008B60B2">
      <w:pPr>
        <w:spacing w:after="60"/>
        <w:rPr>
          <w:sz w:val="17"/>
          <w:szCs w:val="17"/>
        </w:rPr>
      </w:pPr>
      <w:r w:rsidRPr="00ED77FB">
        <w:rPr>
          <w:sz w:val="17"/>
          <w:szCs w:val="17"/>
        </w:rPr>
        <w:t>[Footnote continued from previous page]</w:t>
      </w:r>
    </w:p>
  </w:footnote>
  <w:footnote w:type="continuationNotice" w:id="1">
    <w:p w:rsidR="00C72568" w:rsidRPr="00ED77FB" w:rsidRDefault="00C7256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858DC" w:rsidP="00477D6B">
    <w:pPr>
      <w:jc w:val="right"/>
    </w:pPr>
    <w:bookmarkStart w:id="3" w:name="Code2"/>
    <w:bookmarkEnd w:id="3"/>
    <w:r>
      <w:t>CWS/4/2</w:t>
    </w:r>
  </w:p>
  <w:p w:rsidR="00EC4E49" w:rsidRDefault="00006043" w:rsidP="00477D6B">
    <w:pPr>
      <w:jc w:val="right"/>
    </w:pPr>
    <w:proofErr w:type="spellStart"/>
    <w:proofErr w:type="gramStart"/>
    <w:r>
      <w:t>página</w:t>
    </w:r>
    <w:proofErr w:type="spellEnd"/>
    <w:proofErr w:type="gramEnd"/>
    <w:r w:rsidR="00EC4E49">
      <w:t xml:space="preserve"> </w:t>
    </w:r>
    <w:r w:rsidR="00EC4E49">
      <w:fldChar w:fldCharType="begin"/>
    </w:r>
    <w:r w:rsidR="00EC4E49">
      <w:instrText xml:space="preserve"> PAGE  \* MERGEFORMAT </w:instrText>
    </w:r>
    <w:r w:rsidR="00EC4E49">
      <w:fldChar w:fldCharType="separate"/>
    </w:r>
    <w:r w:rsidR="00DE066C">
      <w:rPr>
        <w:noProof/>
      </w:rPr>
      <w:t>2</w:t>
    </w:r>
    <w:r w:rsidR="00EC4E49">
      <w:fldChar w:fldCharType="end"/>
    </w:r>
  </w:p>
  <w:p w:rsidR="00EC4E49" w:rsidRDefault="00EC4E49" w:rsidP="00477D6B">
    <w:pPr>
      <w:jc w:val="right"/>
    </w:pPr>
  </w:p>
  <w:p w:rsidR="00D33385" w:rsidRDefault="00D3338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9F28F4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5A80458"/>
    <w:multiLevelType w:val="hybridMultilevel"/>
    <w:tmpl w:val="91E6C582"/>
    <w:lvl w:ilvl="0" w:tplc="5ECC0ED2">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5"/>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DC"/>
    <w:rsid w:val="00006043"/>
    <w:rsid w:val="000318D4"/>
    <w:rsid w:val="00043CAA"/>
    <w:rsid w:val="00075432"/>
    <w:rsid w:val="000968ED"/>
    <w:rsid w:val="000F5E56"/>
    <w:rsid w:val="0011442A"/>
    <w:rsid w:val="001362EE"/>
    <w:rsid w:val="00171C74"/>
    <w:rsid w:val="001832A6"/>
    <w:rsid w:val="002634C4"/>
    <w:rsid w:val="00270406"/>
    <w:rsid w:val="002928D3"/>
    <w:rsid w:val="002F1FE6"/>
    <w:rsid w:val="002F4E68"/>
    <w:rsid w:val="00312F7F"/>
    <w:rsid w:val="00361450"/>
    <w:rsid w:val="003622D8"/>
    <w:rsid w:val="003673CF"/>
    <w:rsid w:val="003845C1"/>
    <w:rsid w:val="003A6F89"/>
    <w:rsid w:val="003B38C1"/>
    <w:rsid w:val="0041203E"/>
    <w:rsid w:val="00414FEF"/>
    <w:rsid w:val="00423E3E"/>
    <w:rsid w:val="00427AF4"/>
    <w:rsid w:val="00433290"/>
    <w:rsid w:val="004647DA"/>
    <w:rsid w:val="00474062"/>
    <w:rsid w:val="00477D6B"/>
    <w:rsid w:val="004C08BB"/>
    <w:rsid w:val="005019FF"/>
    <w:rsid w:val="0053057A"/>
    <w:rsid w:val="00560A29"/>
    <w:rsid w:val="005617D8"/>
    <w:rsid w:val="005C6649"/>
    <w:rsid w:val="005C6842"/>
    <w:rsid w:val="00605827"/>
    <w:rsid w:val="00646050"/>
    <w:rsid w:val="00662341"/>
    <w:rsid w:val="006713CA"/>
    <w:rsid w:val="00676C5C"/>
    <w:rsid w:val="00690283"/>
    <w:rsid w:val="007251B0"/>
    <w:rsid w:val="00763FD4"/>
    <w:rsid w:val="007D1613"/>
    <w:rsid w:val="00855FAD"/>
    <w:rsid w:val="008B2CC1"/>
    <w:rsid w:val="008B60B2"/>
    <w:rsid w:val="0090731E"/>
    <w:rsid w:val="00916EE2"/>
    <w:rsid w:val="00931618"/>
    <w:rsid w:val="00966A22"/>
    <w:rsid w:val="0096722F"/>
    <w:rsid w:val="00980843"/>
    <w:rsid w:val="00991A0F"/>
    <w:rsid w:val="009A16D6"/>
    <w:rsid w:val="009E2791"/>
    <w:rsid w:val="009E3F6F"/>
    <w:rsid w:val="009F499F"/>
    <w:rsid w:val="00A06DF4"/>
    <w:rsid w:val="00A42DAF"/>
    <w:rsid w:val="00A45BD8"/>
    <w:rsid w:val="00A869B7"/>
    <w:rsid w:val="00A9671E"/>
    <w:rsid w:val="00AC205C"/>
    <w:rsid w:val="00AF0A6B"/>
    <w:rsid w:val="00B05A69"/>
    <w:rsid w:val="00B9734B"/>
    <w:rsid w:val="00C11BFE"/>
    <w:rsid w:val="00C72568"/>
    <w:rsid w:val="00D32A13"/>
    <w:rsid w:val="00D33385"/>
    <w:rsid w:val="00D45252"/>
    <w:rsid w:val="00D70DA2"/>
    <w:rsid w:val="00D71B4D"/>
    <w:rsid w:val="00D93D55"/>
    <w:rsid w:val="00DE066C"/>
    <w:rsid w:val="00E335FE"/>
    <w:rsid w:val="00E555E7"/>
    <w:rsid w:val="00E84598"/>
    <w:rsid w:val="00EA138E"/>
    <w:rsid w:val="00EC4E49"/>
    <w:rsid w:val="00ED77FB"/>
    <w:rsid w:val="00EE45FA"/>
    <w:rsid w:val="00F356BD"/>
    <w:rsid w:val="00F43A3F"/>
    <w:rsid w:val="00F44D98"/>
    <w:rsid w:val="00F66152"/>
    <w:rsid w:val="00F836AB"/>
    <w:rsid w:val="00F858DC"/>
    <w:rsid w:val="00F92271"/>
    <w:rsid w:val="00FF532C"/>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11442A"/>
    <w:pPr>
      <w:ind w:left="567"/>
    </w:pPr>
    <w:rPr>
      <w:rFonts w:eastAsia="MS Mincho"/>
      <w:lang w:eastAsia="ja-JP"/>
    </w:rPr>
  </w:style>
  <w:style w:type="character" w:customStyle="1" w:styleId="BodyTextChar">
    <w:name w:val="Body Text Char"/>
    <w:link w:val="BodyText"/>
    <w:rsid w:val="00D3338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link w:val="BalloonText"/>
    <w:rsid w:val="00A9671E"/>
    <w:rPr>
      <w:rFonts w:ascii="Tahoma" w:eastAsia="SimSun" w:hAnsi="Tahoma" w:cs="Tahoma"/>
      <w:sz w:val="16"/>
      <w:szCs w:val="16"/>
      <w:lang w:eastAsia="zh-CN"/>
    </w:rPr>
  </w:style>
  <w:style w:type="paragraph" w:styleId="ListParagraph">
    <w:name w:val="List Paragraph"/>
    <w:basedOn w:val="Normal"/>
    <w:uiPriority w:val="34"/>
    <w:qFormat/>
    <w:rsid w:val="0011442A"/>
    <w:pPr>
      <w:ind w:left="567"/>
    </w:pPr>
    <w:rPr>
      <w:rFonts w:eastAsia="MS Mincho"/>
      <w:lang w:eastAsia="ja-JP"/>
    </w:rPr>
  </w:style>
  <w:style w:type="character" w:customStyle="1" w:styleId="BodyTextChar">
    <w:name w:val="Body Text Char"/>
    <w:link w:val="BodyText"/>
    <w:rsid w:val="00D3338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15</TotalTime>
  <Pages>2</Pages>
  <Words>347</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CWS/4/2 (in Spanish)</vt:lpstr>
    </vt:vector>
  </TitlesOfParts>
  <Company>OMPI</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CWS/4/2 (en Español)</dc:title>
  <dc:subject>Decisión del 44º período de sesiones de la Asamblea General de la OMPI en relación con el CWS</dc:subject>
  <dc:creator>OMPI</dc:creator>
  <cp:lastModifiedBy>Geraldine Rodriguez</cp:lastModifiedBy>
  <cp:revision>5</cp:revision>
  <cp:lastPrinted>2014-03-25T08:29:00Z</cp:lastPrinted>
  <dcterms:created xsi:type="dcterms:W3CDTF">2014-04-01T08:05:00Z</dcterms:created>
  <dcterms:modified xsi:type="dcterms:W3CDTF">2014-04-11T09:23:00Z</dcterms:modified>
</cp:coreProperties>
</file>