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285E6" w14:textId="77777777" w:rsidR="008B2CC1" w:rsidRPr="006B5240" w:rsidRDefault="008B14EA" w:rsidP="008B14EA">
      <w:pPr>
        <w:spacing w:after="120"/>
        <w:jc w:val="right"/>
        <w:rPr>
          <w:lang w:val="es-419"/>
        </w:rPr>
      </w:pPr>
      <w:r w:rsidRPr="006B5240">
        <w:rPr>
          <w:noProof/>
          <w:lang w:val="es-419" w:eastAsia="en-US"/>
        </w:rPr>
        <w:drawing>
          <wp:inline distT="0" distB="0" distL="0" distR="0" wp14:anchorId="5C38A47F" wp14:editId="040B8112">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1">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6B5240">
        <w:rPr>
          <w:rFonts w:ascii="Arial Black" w:hAnsi="Arial Black"/>
          <w:caps/>
          <w:noProof/>
          <w:sz w:val="15"/>
          <w:szCs w:val="15"/>
          <w:lang w:val="es-419" w:eastAsia="en-US"/>
        </w:rPr>
        <mc:AlternateContent>
          <mc:Choice Requires="wps">
            <w:drawing>
              <wp:inline distT="0" distB="0" distL="0" distR="0" wp14:anchorId="4863365A" wp14:editId="2128F7FC">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A9B7DD0"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4687B14E" w14:textId="4A198ED3" w:rsidR="008B2CC1" w:rsidRPr="006B5240" w:rsidRDefault="0066216D" w:rsidP="008B14EA">
      <w:pPr>
        <w:jc w:val="right"/>
        <w:rPr>
          <w:rFonts w:ascii="Arial Black" w:hAnsi="Arial Black"/>
          <w:caps/>
          <w:sz w:val="15"/>
          <w:lang w:val="es-419"/>
        </w:rPr>
      </w:pPr>
      <w:r w:rsidRPr="006B5240">
        <w:rPr>
          <w:rFonts w:ascii="Arial Black" w:hAnsi="Arial Black"/>
          <w:caps/>
          <w:sz w:val="15"/>
          <w:lang w:val="es-419"/>
        </w:rPr>
        <w:t>CWS/</w:t>
      </w:r>
      <w:r w:rsidR="00CF0B9D" w:rsidRPr="006B5240">
        <w:rPr>
          <w:rFonts w:ascii="Arial Black" w:hAnsi="Arial Black"/>
          <w:caps/>
          <w:sz w:val="15"/>
          <w:lang w:val="es-419"/>
        </w:rPr>
        <w:t>14</w:t>
      </w:r>
      <w:r w:rsidRPr="006B5240">
        <w:rPr>
          <w:rFonts w:ascii="Arial Black" w:hAnsi="Arial Black"/>
          <w:caps/>
          <w:sz w:val="15"/>
          <w:lang w:val="es-419"/>
        </w:rPr>
        <w:t>/</w:t>
      </w:r>
      <w:bookmarkStart w:id="0" w:name="Code"/>
      <w:bookmarkEnd w:id="0"/>
      <w:r w:rsidR="006B5240" w:rsidRPr="006B5240">
        <w:rPr>
          <w:rFonts w:ascii="Arial Black" w:hAnsi="Arial Black"/>
          <w:caps/>
          <w:sz w:val="15"/>
          <w:lang w:val="es-419"/>
        </w:rPr>
        <w:t>25</w:t>
      </w:r>
    </w:p>
    <w:p w14:paraId="5EA9D4A0" w14:textId="518919BB" w:rsidR="008B2CC1" w:rsidRPr="006B5240" w:rsidRDefault="008B14EA" w:rsidP="008B14EA">
      <w:pPr>
        <w:jc w:val="right"/>
        <w:rPr>
          <w:rFonts w:ascii="Arial Black" w:hAnsi="Arial Black"/>
          <w:caps/>
          <w:sz w:val="15"/>
          <w:lang w:val="es-419"/>
        </w:rPr>
      </w:pPr>
      <w:r w:rsidRPr="006B5240">
        <w:rPr>
          <w:rFonts w:ascii="Arial Black" w:hAnsi="Arial Black"/>
          <w:caps/>
          <w:sz w:val="15"/>
          <w:lang w:val="es-419"/>
        </w:rPr>
        <w:t xml:space="preserve">ORIGINAL: </w:t>
      </w:r>
      <w:bookmarkStart w:id="1" w:name="Original"/>
      <w:r w:rsidR="006B5240" w:rsidRPr="006B5240">
        <w:rPr>
          <w:rFonts w:ascii="Arial Black" w:hAnsi="Arial Black"/>
          <w:caps/>
          <w:sz w:val="15"/>
          <w:lang w:val="es-419"/>
        </w:rPr>
        <w:t>INGLÉS</w:t>
      </w:r>
    </w:p>
    <w:bookmarkEnd w:id="1"/>
    <w:p w14:paraId="344EEF6B" w14:textId="13ACF60D" w:rsidR="008B2CC1" w:rsidRPr="006B5240" w:rsidRDefault="008B14EA" w:rsidP="008B14EA">
      <w:pPr>
        <w:spacing w:after="1200"/>
        <w:jc w:val="right"/>
        <w:rPr>
          <w:rFonts w:ascii="Arial Black" w:hAnsi="Arial Black"/>
          <w:caps/>
          <w:sz w:val="15"/>
          <w:lang w:val="es-419"/>
        </w:rPr>
      </w:pPr>
      <w:r w:rsidRPr="006B5240">
        <w:rPr>
          <w:rFonts w:ascii="Arial Black" w:hAnsi="Arial Black"/>
          <w:caps/>
          <w:sz w:val="15"/>
          <w:lang w:val="es-419"/>
        </w:rPr>
        <w:t xml:space="preserve">FECHA: </w:t>
      </w:r>
      <w:bookmarkStart w:id="2" w:name="Date"/>
      <w:r w:rsidR="006B5240" w:rsidRPr="006B5240">
        <w:rPr>
          <w:rFonts w:ascii="Arial Black" w:hAnsi="Arial Black"/>
          <w:caps/>
          <w:sz w:val="15"/>
          <w:lang w:val="es-419"/>
        </w:rPr>
        <w:t>6 DE OCTUBRE DE 2026</w:t>
      </w:r>
    </w:p>
    <w:bookmarkEnd w:id="2"/>
    <w:p w14:paraId="5343A7EC" w14:textId="77777777" w:rsidR="008B2CC1" w:rsidRPr="006B5240" w:rsidRDefault="0066216D" w:rsidP="008B14EA">
      <w:pPr>
        <w:spacing w:after="600"/>
        <w:rPr>
          <w:b/>
          <w:sz w:val="28"/>
          <w:szCs w:val="28"/>
          <w:lang w:val="es-419"/>
        </w:rPr>
      </w:pPr>
      <w:r w:rsidRPr="006B5240">
        <w:rPr>
          <w:b/>
          <w:sz w:val="28"/>
          <w:szCs w:val="28"/>
          <w:lang w:val="es-419"/>
        </w:rPr>
        <w:t>Comité de Normas Técnicas de la OMPI (CWS)</w:t>
      </w:r>
    </w:p>
    <w:p w14:paraId="658DF095" w14:textId="77777777" w:rsidR="00511D0C" w:rsidRPr="006B5240" w:rsidRDefault="00CF0B9D" w:rsidP="00511D0C">
      <w:pPr>
        <w:rPr>
          <w:b/>
          <w:sz w:val="28"/>
          <w:szCs w:val="24"/>
          <w:lang w:val="es-419"/>
        </w:rPr>
      </w:pPr>
      <w:r w:rsidRPr="006B5240">
        <w:rPr>
          <w:b/>
          <w:sz w:val="24"/>
          <w:lang w:val="es-419"/>
        </w:rPr>
        <w:t>Decimocuarta</w:t>
      </w:r>
      <w:r w:rsidR="0066216D" w:rsidRPr="006B5240">
        <w:rPr>
          <w:b/>
          <w:sz w:val="24"/>
          <w:lang w:val="es-419"/>
        </w:rPr>
        <w:t xml:space="preserve"> sesión</w:t>
      </w:r>
    </w:p>
    <w:p w14:paraId="11537AE5" w14:textId="77777777" w:rsidR="008B2CC1" w:rsidRPr="006B5240" w:rsidRDefault="0066216D" w:rsidP="008B14EA">
      <w:pPr>
        <w:spacing w:after="720"/>
        <w:rPr>
          <w:b/>
          <w:sz w:val="28"/>
          <w:szCs w:val="24"/>
          <w:lang w:val="es-419"/>
        </w:rPr>
      </w:pPr>
      <w:r w:rsidRPr="006B5240">
        <w:rPr>
          <w:b/>
          <w:sz w:val="24"/>
          <w:lang w:val="es-419"/>
        </w:rPr>
        <w:t xml:space="preserve">Ginebra, </w:t>
      </w:r>
      <w:r w:rsidR="00CF0B9D" w:rsidRPr="006B5240">
        <w:rPr>
          <w:b/>
          <w:sz w:val="24"/>
          <w:lang w:val="es-419"/>
        </w:rPr>
        <w:t>23</w:t>
      </w:r>
      <w:r w:rsidR="00970F3D" w:rsidRPr="006B5240">
        <w:rPr>
          <w:b/>
          <w:sz w:val="24"/>
          <w:lang w:val="es-419"/>
        </w:rPr>
        <w:t xml:space="preserve"> a </w:t>
      </w:r>
      <w:r w:rsidR="00CF0B9D" w:rsidRPr="006B5240">
        <w:rPr>
          <w:b/>
          <w:sz w:val="24"/>
          <w:lang w:val="es-419"/>
        </w:rPr>
        <w:t>27</w:t>
      </w:r>
      <w:r w:rsidR="00970F3D" w:rsidRPr="006B5240">
        <w:rPr>
          <w:b/>
          <w:sz w:val="24"/>
          <w:lang w:val="es-419"/>
        </w:rPr>
        <w:t xml:space="preserve"> de </w:t>
      </w:r>
      <w:r w:rsidR="00CF0B9D" w:rsidRPr="006B5240">
        <w:rPr>
          <w:b/>
          <w:sz w:val="24"/>
          <w:lang w:val="es-419"/>
        </w:rPr>
        <w:t>noviembre</w:t>
      </w:r>
      <w:r w:rsidR="00970F3D" w:rsidRPr="006B5240">
        <w:rPr>
          <w:b/>
          <w:sz w:val="24"/>
          <w:lang w:val="es-419"/>
        </w:rPr>
        <w:t xml:space="preserve"> de 202</w:t>
      </w:r>
      <w:r w:rsidR="00CF0B9D" w:rsidRPr="006B5240">
        <w:rPr>
          <w:b/>
          <w:sz w:val="24"/>
          <w:lang w:val="es-419"/>
        </w:rPr>
        <w:t>6</w:t>
      </w:r>
    </w:p>
    <w:p w14:paraId="4A9E52D8" w14:textId="0138033E" w:rsidR="008B2CC1" w:rsidRPr="006B5240" w:rsidRDefault="006B5240" w:rsidP="008B14EA">
      <w:pPr>
        <w:spacing w:after="360"/>
        <w:rPr>
          <w:caps/>
          <w:sz w:val="24"/>
          <w:lang w:val="es-419"/>
        </w:rPr>
      </w:pPr>
      <w:bookmarkStart w:id="3" w:name="TitleOfDoc"/>
      <w:r w:rsidRPr="006B5240">
        <w:rPr>
          <w:caps/>
          <w:sz w:val="24"/>
          <w:lang w:val="es-419"/>
        </w:rPr>
        <w:t>Informes técnicos anuales de 2025</w:t>
      </w:r>
    </w:p>
    <w:p w14:paraId="36DD1664" w14:textId="0257722C" w:rsidR="008B2CC1" w:rsidRPr="006B5240" w:rsidRDefault="006B5240" w:rsidP="008B14EA">
      <w:pPr>
        <w:spacing w:after="960"/>
        <w:rPr>
          <w:i/>
          <w:lang w:val="es-419"/>
        </w:rPr>
      </w:pPr>
      <w:bookmarkStart w:id="4" w:name="Prepared"/>
      <w:bookmarkEnd w:id="3"/>
      <w:r w:rsidRPr="006B5240">
        <w:rPr>
          <w:i/>
          <w:lang w:val="es-419"/>
        </w:rPr>
        <w:t>Documento preparado por la Secretaría</w:t>
      </w:r>
    </w:p>
    <w:bookmarkEnd w:id="4"/>
    <w:p w14:paraId="449CD5A8" w14:textId="77777777" w:rsidR="006B5240" w:rsidRPr="006B5240" w:rsidRDefault="006B5240" w:rsidP="006B5240">
      <w:pPr>
        <w:pStyle w:val="Heading2"/>
        <w:rPr>
          <w:lang w:val="es-419"/>
        </w:rPr>
      </w:pPr>
      <w:r w:rsidRPr="006B5240">
        <w:rPr>
          <w:lang w:val="es-419"/>
        </w:rPr>
        <w:t>Resumen</w:t>
      </w:r>
    </w:p>
    <w:p w14:paraId="4FBD76DB" w14:textId="1574A5A5" w:rsidR="006B5240" w:rsidRPr="006B5240" w:rsidRDefault="006B5240" w:rsidP="006B5240">
      <w:pPr>
        <w:pStyle w:val="ONUMFS"/>
        <w:rPr>
          <w:lang w:val="es-419"/>
        </w:rPr>
      </w:pPr>
      <w:r w:rsidRPr="006B5240">
        <w:rPr>
          <w:lang w:val="es-419"/>
        </w:rPr>
        <w:t>El presente documento presenta el análisis de los Informes Técnicos Anuales (ATR) sobre las actividades técnicas llevadas a cabo por las oficinas de propiedad intelectual (PI) en 2025, el estado de aplicación de las normas técnicas de la OMPI relativas a las patentes, las marcas y los diseños (dibujos y modelos) industriales, así como las plantillas revisadas de los ATR. El documento presenta asimismo una propuesta para actualizar la parte 7.12 del Manual de la OMPI sobre información y documentación en materia de propiedad intelectual con la información recopilada a través de los ATR.</w:t>
      </w:r>
    </w:p>
    <w:p w14:paraId="32858DD2" w14:textId="77777777" w:rsidR="006B5240" w:rsidRPr="006B5240" w:rsidRDefault="006B5240" w:rsidP="006B5240">
      <w:pPr>
        <w:pStyle w:val="Heading2"/>
        <w:rPr>
          <w:lang w:val="es-419"/>
        </w:rPr>
      </w:pPr>
      <w:r w:rsidRPr="006B5240">
        <w:rPr>
          <w:lang w:val="es-419"/>
        </w:rPr>
        <w:t>Antecedentes</w:t>
      </w:r>
    </w:p>
    <w:p w14:paraId="489E7819" w14:textId="77777777" w:rsidR="006B5240" w:rsidRPr="006B5240" w:rsidRDefault="006B5240" w:rsidP="006B5240">
      <w:pPr>
        <w:pStyle w:val="ONUMFS"/>
        <w:rPr>
          <w:lang w:val="es-419"/>
        </w:rPr>
      </w:pPr>
      <w:r w:rsidRPr="006B5240">
        <w:rPr>
          <w:lang w:val="es-419"/>
        </w:rPr>
        <w:t xml:space="preserve">La Oficina Internacional recopila los informes técnicos anuales desde 1978 y los publica en el sitio web de la OMPI desde 1998. Se sigue invitando a las oficinas de PI a presentar sus informes técnicos anuales anual en el marco de la Tarea N.º 24, cuya descripción es la siguiente: </w:t>
      </w:r>
    </w:p>
    <w:p w14:paraId="02722383" w14:textId="77777777" w:rsidR="006B5240" w:rsidRPr="006B5240" w:rsidRDefault="006B5240" w:rsidP="006B5240">
      <w:pPr>
        <w:pStyle w:val="ONUMFS"/>
        <w:numPr>
          <w:ilvl w:val="0"/>
          <w:numId w:val="0"/>
        </w:numPr>
        <w:ind w:firstLine="567"/>
        <w:rPr>
          <w:i/>
          <w:iCs/>
          <w:lang w:val="es-419"/>
        </w:rPr>
      </w:pPr>
      <w:r w:rsidRPr="006B5240">
        <w:rPr>
          <w:i/>
          <w:lang w:val="es-419"/>
        </w:rPr>
        <w:t>“Compilar y publicar informes técnicos anuales sobre las actividades de los miembros del CWS (ATR/PI, ATR/TM, ATR/ID) relativas a información en materia de patentes, marcas y diseños industriales.”</w:t>
      </w:r>
    </w:p>
    <w:p w14:paraId="6FC9168E" w14:textId="77777777" w:rsidR="006B5240" w:rsidRPr="006B5240" w:rsidRDefault="006B5240" w:rsidP="006B5240">
      <w:pPr>
        <w:pStyle w:val="ONUMFS"/>
        <w:rPr>
          <w:lang w:val="es-419"/>
        </w:rPr>
      </w:pPr>
      <w:r w:rsidRPr="006B5240">
        <w:rPr>
          <w:lang w:val="es-419"/>
        </w:rPr>
        <w:t xml:space="preserve">En su duodécima sesión, celebrada en 2024, el CWS aprobó la inclusión de una nueva sección en la plantilla para informar sobre la aplicación de las normas técnicas de la OMPI por parte de las oficinas de PI. El nuevo apartado se titula: </w:t>
      </w:r>
    </w:p>
    <w:p w14:paraId="107327BF" w14:textId="77777777" w:rsidR="006B5240" w:rsidRPr="006B5240" w:rsidRDefault="006B5240" w:rsidP="00E967EF">
      <w:pPr>
        <w:pStyle w:val="ONUMFS"/>
        <w:numPr>
          <w:ilvl w:val="0"/>
          <w:numId w:val="0"/>
        </w:numPr>
        <w:ind w:firstLine="567"/>
        <w:rPr>
          <w:i/>
          <w:iCs/>
          <w:lang w:val="es-419"/>
        </w:rPr>
      </w:pPr>
      <w:r w:rsidRPr="006B5240">
        <w:rPr>
          <w:i/>
          <w:lang w:val="es-419"/>
        </w:rPr>
        <w:t>“Actividades de aplicación de las normas técnicas de la OMPI relativas a información en materia de patentes (marcas o dibujos y modelos industriales)”.</w:t>
      </w:r>
    </w:p>
    <w:p w14:paraId="2CC892FE" w14:textId="77777777" w:rsidR="006B5240" w:rsidRPr="006B5240" w:rsidRDefault="006B5240" w:rsidP="006B5240">
      <w:pPr>
        <w:pStyle w:val="ONUMFS"/>
        <w:numPr>
          <w:ilvl w:val="0"/>
          <w:numId w:val="0"/>
        </w:numPr>
        <w:rPr>
          <w:lang w:val="es-419"/>
        </w:rPr>
      </w:pPr>
      <w:r w:rsidRPr="006B5240">
        <w:rPr>
          <w:lang w:val="es-419"/>
        </w:rPr>
        <w:lastRenderedPageBreak/>
        <w:t>(Véase el párrafo 156 del documento CWS/12/29.)</w:t>
      </w:r>
    </w:p>
    <w:p w14:paraId="25BBF47D" w14:textId="77777777" w:rsidR="006B5240" w:rsidRPr="006B5240" w:rsidRDefault="006B5240" w:rsidP="006B5240">
      <w:pPr>
        <w:pStyle w:val="ONUMFS"/>
        <w:rPr>
          <w:lang w:val="es-419"/>
        </w:rPr>
      </w:pPr>
      <w:r w:rsidRPr="006B5240">
        <w:rPr>
          <w:lang w:val="es-419"/>
        </w:rPr>
        <w:t>En su decimotercera sesión, celebrada en 2025, el CWS tomó nota del informe presentado por la Secretaría, en particular de las estadísticas relativas a la aplicación de las normas técnicas de la OMPI, recopiladas por medio de los ATR. El CWS también examinó las normas técnicas de la OMPI enumeradas y las opciones incluidas en las plantillas de los ATR, y solicitó a la Secretaría que revisara y actualizara la plantilla en caso necesario (véase el párrafo 225 del documento CWS/13/33).</w:t>
      </w:r>
    </w:p>
    <w:p w14:paraId="369F2D90" w14:textId="77777777" w:rsidR="006B5240" w:rsidRPr="006B5240" w:rsidRDefault="006B5240" w:rsidP="006B5240">
      <w:pPr>
        <w:pStyle w:val="Heading2"/>
        <w:rPr>
          <w:lang w:val="es-419"/>
        </w:rPr>
      </w:pPr>
      <w:r w:rsidRPr="006B5240">
        <w:rPr>
          <w:lang w:val="es-419"/>
        </w:rPr>
        <w:t>Informe de actividades de 2025</w:t>
      </w:r>
    </w:p>
    <w:p w14:paraId="13A3B21A" w14:textId="77777777" w:rsidR="006B5240" w:rsidRPr="006B5240" w:rsidRDefault="006B5240" w:rsidP="006B5240">
      <w:pPr>
        <w:pStyle w:val="ONUMFS"/>
        <w:rPr>
          <w:lang w:val="es-419"/>
        </w:rPr>
      </w:pPr>
      <w:r w:rsidRPr="006B5240">
        <w:rPr>
          <w:lang w:val="es-419"/>
        </w:rPr>
        <w:t>A raíz de la decisión adoptada por el CWS en su decimotercera sesión, la Secretaría revisó la sección VII de las plantillas de los ATR para patentes, marcas y diseños industriales, incluidas las normas técnicas de la OMPI aplicables y las opciones aplicadas en cuanto al estado de aplicación. La revisión tenía por objeto facilitar la recopilación y el análisis de la información sobre la aplicación de las normas técnicas de la OMPI por parte de las Oficinas, así como reconocer aquellas normas que ya no se utilizan y que, por lo tanto, podrían archivarse.</w:t>
      </w:r>
    </w:p>
    <w:p w14:paraId="09F4392F" w14:textId="12DE59AD" w:rsidR="006B5240" w:rsidRPr="006B5240" w:rsidRDefault="006B5240" w:rsidP="006B5240">
      <w:pPr>
        <w:pStyle w:val="ONUMFS"/>
        <w:rPr>
          <w:lang w:val="es-419"/>
        </w:rPr>
      </w:pPr>
      <w:r w:rsidRPr="006B5240">
        <w:rPr>
          <w:lang w:val="es-419"/>
        </w:rPr>
        <w:t xml:space="preserve">Las plantillas revisadas incluían una lista exhaustiva de las normas técnicas de la OMPI aplicables a las patentes (ATR/PI), las marcas (ATR/TM) y los diseños industriales (ATR/ID), tal y como se expone a continuación. Se puede consultar más información sobre el alcance y el contenido de cada norma técnica de la OMPI en el sitio web de la OMPI, en </w:t>
      </w:r>
      <w:hyperlink r:id="rId12" w:history="1">
        <w:r w:rsidRPr="006B5240">
          <w:rPr>
            <w:rStyle w:val="Hyperlink"/>
            <w:lang w:val="es-419"/>
          </w:rPr>
          <w:t>https://www.wipo.int/es/web/standards/part_03_standards</w:t>
        </w:r>
      </w:hyperlink>
      <w:r w:rsidRPr="006B5240">
        <w:rPr>
          <w:lang w:val="es-419"/>
        </w:rPr>
        <w:t>.</w:t>
      </w:r>
    </w:p>
    <w:p w14:paraId="79427A37" w14:textId="77777777" w:rsidR="006B5240" w:rsidRPr="00BF257A" w:rsidRDefault="006B5240" w:rsidP="006B5240">
      <w:pPr>
        <w:numPr>
          <w:ilvl w:val="0"/>
          <w:numId w:val="7"/>
        </w:numPr>
        <w:spacing w:after="220"/>
        <w:ind w:left="918" w:hanging="357"/>
        <w:rPr>
          <w:lang w:val="en-US"/>
        </w:rPr>
      </w:pPr>
      <w:r w:rsidRPr="00BF257A">
        <w:rPr>
          <w:i/>
          <w:iCs/>
          <w:u w:val="single"/>
          <w:lang w:val="en-US"/>
        </w:rPr>
        <w:t xml:space="preserve">ATR/PI – </w:t>
      </w:r>
      <w:proofErr w:type="spellStart"/>
      <w:r w:rsidRPr="00BF257A">
        <w:rPr>
          <w:i/>
          <w:iCs/>
          <w:u w:val="single"/>
          <w:lang w:val="en-US"/>
        </w:rPr>
        <w:t>Patentes</w:t>
      </w:r>
      <w:proofErr w:type="spellEnd"/>
      <w:r w:rsidRPr="00BF257A">
        <w:rPr>
          <w:u w:val="single"/>
          <w:lang w:val="en-US"/>
        </w:rPr>
        <w:t>:</w:t>
      </w:r>
      <w:r w:rsidRPr="00BF257A">
        <w:rPr>
          <w:lang w:val="en-US"/>
        </w:rPr>
        <w:t xml:space="preserve"> Normas de la OMPI ST.1, ST.2, ST.3, ST.6, ST.8, ST.9, ST.10, ST.10/A, ST.10/B, ST.10/C, ST.10/D, ST.11, ST.12, ST.12/A, ST.12/B, ST.12/C, ST.13, ST.14, ST.15, ST.16, ST.17, ST.18, ST.19, ST.20, ST.21, ST.22, ST.25, ST.26, ST.27, ST.31, ST.32, ST.33, ST.34, ST.35, ST.36, ST.37, ST.40, ST.50, ST.90, ST.91, ST.92, ST.96 y ST.97; </w:t>
      </w:r>
    </w:p>
    <w:p w14:paraId="06578E63" w14:textId="77777777" w:rsidR="006B5240" w:rsidRPr="00BF257A" w:rsidRDefault="006B5240" w:rsidP="006B5240">
      <w:pPr>
        <w:pStyle w:val="ListParagraph"/>
        <w:numPr>
          <w:ilvl w:val="0"/>
          <w:numId w:val="7"/>
        </w:numPr>
        <w:spacing w:after="220"/>
        <w:ind w:left="918" w:hanging="357"/>
        <w:contextualSpacing w:val="0"/>
        <w:rPr>
          <w:lang w:val="en-US"/>
        </w:rPr>
      </w:pPr>
      <w:r w:rsidRPr="00BF257A">
        <w:rPr>
          <w:i/>
          <w:iCs/>
          <w:u w:val="single"/>
          <w:lang w:val="en-US"/>
        </w:rPr>
        <w:t xml:space="preserve">ATR/TM – Marcas </w:t>
      </w:r>
      <w:proofErr w:type="spellStart"/>
      <w:r w:rsidRPr="00BF257A">
        <w:rPr>
          <w:i/>
          <w:iCs/>
          <w:u w:val="single"/>
          <w:lang w:val="en-US"/>
        </w:rPr>
        <w:t>registradas</w:t>
      </w:r>
      <w:proofErr w:type="spellEnd"/>
      <w:r w:rsidRPr="00BF257A">
        <w:rPr>
          <w:u w:val="single"/>
          <w:lang w:val="en-US"/>
        </w:rPr>
        <w:t>:</w:t>
      </w:r>
      <w:r w:rsidRPr="00BF257A">
        <w:rPr>
          <w:lang w:val="en-US"/>
        </w:rPr>
        <w:t xml:space="preserve"> Normas de la OMPI ST.2, ST.3, ST.13, ST.60, ST.61, ST.62, ST.63, ST.64, ST.66, ST.67, ST.68, ST.69, ST.90, ST.91, ST.92, ST.96 y ST.97; y</w:t>
      </w:r>
    </w:p>
    <w:p w14:paraId="67FE2FEC" w14:textId="77777777" w:rsidR="006B5240" w:rsidRPr="00BF257A" w:rsidRDefault="006B5240" w:rsidP="006B5240">
      <w:pPr>
        <w:pStyle w:val="ListParagraph"/>
        <w:numPr>
          <w:ilvl w:val="0"/>
          <w:numId w:val="7"/>
        </w:numPr>
        <w:spacing w:after="220"/>
        <w:ind w:left="918" w:hanging="357"/>
        <w:contextualSpacing w:val="0"/>
        <w:rPr>
          <w:lang w:val="en-US"/>
        </w:rPr>
      </w:pPr>
      <w:r w:rsidRPr="00BF257A">
        <w:rPr>
          <w:i/>
          <w:iCs/>
          <w:u w:val="single"/>
          <w:lang w:val="en-US"/>
        </w:rPr>
        <w:t xml:space="preserve">ATR/ID – </w:t>
      </w:r>
      <w:proofErr w:type="spellStart"/>
      <w:r w:rsidRPr="00BF257A">
        <w:rPr>
          <w:i/>
          <w:iCs/>
          <w:u w:val="single"/>
          <w:lang w:val="en-US"/>
        </w:rPr>
        <w:t>Diseños</w:t>
      </w:r>
      <w:proofErr w:type="spellEnd"/>
      <w:r w:rsidRPr="00BF257A">
        <w:rPr>
          <w:i/>
          <w:iCs/>
          <w:u w:val="single"/>
          <w:lang w:val="en-US"/>
        </w:rPr>
        <w:t xml:space="preserve"> </w:t>
      </w:r>
      <w:proofErr w:type="spellStart"/>
      <w:r w:rsidRPr="00BF257A">
        <w:rPr>
          <w:i/>
          <w:iCs/>
          <w:u w:val="single"/>
          <w:lang w:val="en-US"/>
        </w:rPr>
        <w:t>industriales</w:t>
      </w:r>
      <w:proofErr w:type="spellEnd"/>
      <w:r w:rsidRPr="00BF257A">
        <w:rPr>
          <w:u w:val="single"/>
          <w:lang w:val="en-US"/>
        </w:rPr>
        <w:t>:</w:t>
      </w:r>
      <w:r w:rsidRPr="00BF257A">
        <w:rPr>
          <w:lang w:val="en-US"/>
        </w:rPr>
        <w:t xml:space="preserve"> Normas de la OMPI ST.2, ST.3, ST.13, ST.80, ST.81, ST.86, ST.87, ST.88, ST.90, ST.91, ST.92, ST.96 y ST.97.</w:t>
      </w:r>
    </w:p>
    <w:p w14:paraId="1D816746" w14:textId="77777777" w:rsidR="006B5240" w:rsidRPr="006B5240" w:rsidRDefault="006B5240" w:rsidP="006B5240">
      <w:pPr>
        <w:pStyle w:val="ONUMFS"/>
        <w:rPr>
          <w:lang w:val="es-419"/>
        </w:rPr>
      </w:pPr>
      <w:r w:rsidRPr="006B5240">
        <w:rPr>
          <w:lang w:val="es-419"/>
        </w:rPr>
        <w:t xml:space="preserve">Se invitó a las Oficinas a informar sobre el estado de aplicación de cada norma técnica de la OMPI pertinente, seleccionando la opción adecuada de entre las que se indican a continuación: </w:t>
      </w:r>
    </w:p>
    <w:p w14:paraId="0863A98C" w14:textId="77777777" w:rsidR="006B5240" w:rsidRPr="006B5240" w:rsidRDefault="006B5240" w:rsidP="006B5240">
      <w:pPr>
        <w:pStyle w:val="NormalWeb"/>
        <w:numPr>
          <w:ilvl w:val="0"/>
          <w:numId w:val="8"/>
        </w:numPr>
        <w:spacing w:before="0" w:beforeAutospacing="0" w:after="220" w:afterAutospacing="0"/>
        <w:ind w:left="924" w:hanging="357"/>
        <w:rPr>
          <w:rFonts w:ascii="Arial" w:hAnsi="Arial" w:cs="Arial"/>
          <w:sz w:val="22"/>
          <w:szCs w:val="22"/>
          <w:lang w:val="es-419"/>
        </w:rPr>
      </w:pPr>
      <w:r w:rsidRPr="006B5240">
        <w:rPr>
          <w:rFonts w:ascii="Arial" w:hAnsi="Arial"/>
          <w:sz w:val="22"/>
          <w:lang w:val="es-419"/>
        </w:rPr>
        <w:t>"</w:t>
      </w:r>
      <w:r w:rsidRPr="006B5240">
        <w:rPr>
          <w:rFonts w:ascii="Arial" w:hAnsi="Arial"/>
          <w:i/>
          <w:iCs/>
          <w:sz w:val="22"/>
          <w:u w:val="single"/>
          <w:lang w:val="es-419"/>
        </w:rPr>
        <w:t>Aplicada totalmente</w:t>
      </w:r>
      <w:r w:rsidRPr="006B5240">
        <w:rPr>
          <w:rFonts w:ascii="Arial" w:hAnsi="Arial"/>
          <w:sz w:val="22"/>
          <w:lang w:val="es-419"/>
        </w:rPr>
        <w:t xml:space="preserve">": la norma técnica de la OMPI se ha aplicado de manera conforme o compatible con ella. </w:t>
      </w:r>
    </w:p>
    <w:p w14:paraId="726C0D6A" w14:textId="77777777" w:rsidR="006B5240" w:rsidRPr="006B5240" w:rsidRDefault="006B5240" w:rsidP="006B5240">
      <w:pPr>
        <w:pStyle w:val="NormalWeb"/>
        <w:numPr>
          <w:ilvl w:val="0"/>
          <w:numId w:val="8"/>
        </w:numPr>
        <w:spacing w:before="0" w:beforeAutospacing="0" w:after="220" w:afterAutospacing="0"/>
        <w:ind w:left="924" w:hanging="357"/>
        <w:rPr>
          <w:rFonts w:ascii="Arial" w:hAnsi="Arial" w:cs="Arial"/>
          <w:sz w:val="22"/>
          <w:szCs w:val="22"/>
          <w:lang w:val="es-419"/>
        </w:rPr>
      </w:pPr>
      <w:r w:rsidRPr="006B5240">
        <w:rPr>
          <w:rFonts w:ascii="Arial" w:hAnsi="Arial"/>
          <w:sz w:val="22"/>
          <w:lang w:val="es-419"/>
        </w:rPr>
        <w:t>"</w:t>
      </w:r>
      <w:r w:rsidRPr="006B5240">
        <w:rPr>
          <w:rFonts w:ascii="Arial" w:hAnsi="Arial"/>
          <w:i/>
          <w:iCs/>
          <w:sz w:val="22"/>
          <w:u w:val="single"/>
          <w:lang w:val="es-419"/>
        </w:rPr>
        <w:t>Aplicada parcialmente</w:t>
      </w:r>
      <w:r w:rsidRPr="006B5240">
        <w:rPr>
          <w:rFonts w:ascii="Arial" w:hAnsi="Arial"/>
          <w:sz w:val="22"/>
          <w:lang w:val="es-419"/>
        </w:rPr>
        <w:t xml:space="preserve">": la norma técnica de la OMPI se ha aplicado en parte. La práctica de la Oficina se ajusta a algunos requisitos de la norma, pero no a todos. </w:t>
      </w:r>
    </w:p>
    <w:p w14:paraId="364B8622" w14:textId="77777777" w:rsidR="006B5240" w:rsidRPr="006B5240" w:rsidRDefault="006B5240" w:rsidP="006B5240">
      <w:pPr>
        <w:pStyle w:val="NormalWeb"/>
        <w:numPr>
          <w:ilvl w:val="0"/>
          <w:numId w:val="8"/>
        </w:numPr>
        <w:spacing w:before="0" w:beforeAutospacing="0" w:after="220" w:afterAutospacing="0"/>
        <w:ind w:left="924" w:hanging="357"/>
        <w:rPr>
          <w:rFonts w:ascii="Arial" w:hAnsi="Arial" w:cs="Arial"/>
          <w:sz w:val="22"/>
          <w:szCs w:val="22"/>
          <w:lang w:val="es-419"/>
        </w:rPr>
      </w:pPr>
      <w:r w:rsidRPr="006B5240">
        <w:rPr>
          <w:rFonts w:ascii="Arial" w:hAnsi="Arial"/>
          <w:sz w:val="22"/>
          <w:lang w:val="es-419"/>
        </w:rPr>
        <w:t>"</w:t>
      </w:r>
      <w:r w:rsidRPr="006B5240">
        <w:rPr>
          <w:rFonts w:ascii="Arial" w:hAnsi="Arial"/>
          <w:i/>
          <w:iCs/>
          <w:sz w:val="22"/>
          <w:u w:val="single"/>
          <w:lang w:val="es-419"/>
        </w:rPr>
        <w:t>En fase de aplicación</w:t>
      </w:r>
      <w:r w:rsidRPr="006B5240">
        <w:rPr>
          <w:rFonts w:ascii="Arial" w:hAnsi="Arial"/>
          <w:sz w:val="22"/>
          <w:lang w:val="es-419"/>
        </w:rPr>
        <w:t>": se ha tomado la decisión de aplicar la norma técnica de la OMPI y actualmente se está aplicando, configurando o integrando en los sistemas y flujos de trabajo.</w:t>
      </w:r>
    </w:p>
    <w:p w14:paraId="0A658C1D" w14:textId="77777777" w:rsidR="006B5240" w:rsidRPr="006B5240" w:rsidRDefault="006B5240" w:rsidP="00E967EF">
      <w:pPr>
        <w:pStyle w:val="NormalWeb"/>
        <w:numPr>
          <w:ilvl w:val="0"/>
          <w:numId w:val="8"/>
        </w:numPr>
        <w:spacing w:before="0" w:beforeAutospacing="0" w:after="220" w:afterAutospacing="0"/>
        <w:ind w:left="924" w:hanging="357"/>
        <w:rPr>
          <w:rFonts w:ascii="Arial" w:hAnsi="Arial" w:cs="Arial"/>
          <w:sz w:val="22"/>
          <w:szCs w:val="22"/>
          <w:lang w:val="es-419"/>
        </w:rPr>
      </w:pPr>
      <w:r w:rsidRPr="006B5240">
        <w:rPr>
          <w:rFonts w:ascii="Arial" w:hAnsi="Arial"/>
          <w:sz w:val="22"/>
          <w:lang w:val="es-419"/>
        </w:rPr>
        <w:t>"</w:t>
      </w:r>
      <w:r w:rsidRPr="006B5240">
        <w:rPr>
          <w:rFonts w:ascii="Arial" w:hAnsi="Arial"/>
          <w:i/>
          <w:iCs/>
          <w:sz w:val="22"/>
          <w:u w:val="single"/>
          <w:lang w:val="es-419"/>
        </w:rPr>
        <w:t>Se prevé aplicarla</w:t>
      </w:r>
      <w:r w:rsidRPr="006B5240">
        <w:rPr>
          <w:rFonts w:ascii="Arial" w:hAnsi="Arial"/>
          <w:sz w:val="22"/>
          <w:lang w:val="es-419"/>
        </w:rPr>
        <w:t>": se ha tomado la decisión de aplicar la norma técnica de la OMPI; se están llevando a cabo actividades de planificación (asignación de recursos, elaboración de plazos, diseño técnico) antes de que comience la aplicación propiamente dicha.</w:t>
      </w:r>
    </w:p>
    <w:p w14:paraId="74BCEC21" w14:textId="77777777" w:rsidR="006B5240" w:rsidRPr="006B5240" w:rsidRDefault="006B5240" w:rsidP="006B5240">
      <w:pPr>
        <w:pStyle w:val="NormalWeb"/>
        <w:numPr>
          <w:ilvl w:val="0"/>
          <w:numId w:val="8"/>
        </w:numPr>
        <w:spacing w:before="0" w:beforeAutospacing="0" w:after="220" w:afterAutospacing="0"/>
        <w:ind w:left="924" w:hanging="357"/>
        <w:rPr>
          <w:rFonts w:ascii="Arial" w:hAnsi="Arial" w:cs="Arial"/>
          <w:sz w:val="22"/>
          <w:szCs w:val="22"/>
          <w:lang w:val="es-419"/>
        </w:rPr>
      </w:pPr>
      <w:r w:rsidRPr="006B5240">
        <w:rPr>
          <w:rFonts w:ascii="Arial" w:hAnsi="Arial"/>
          <w:sz w:val="22"/>
          <w:lang w:val="es-419"/>
        </w:rPr>
        <w:t>"</w:t>
      </w:r>
      <w:r w:rsidRPr="006B5240">
        <w:rPr>
          <w:rFonts w:ascii="Arial" w:hAnsi="Arial"/>
          <w:i/>
          <w:iCs/>
          <w:sz w:val="22"/>
          <w:u w:val="single"/>
          <w:lang w:val="es-419"/>
        </w:rPr>
        <w:t>En fase de evaluación</w:t>
      </w:r>
      <w:r w:rsidRPr="006B5240">
        <w:rPr>
          <w:rFonts w:ascii="Arial" w:hAnsi="Arial"/>
          <w:sz w:val="22"/>
          <w:lang w:val="es-419"/>
        </w:rPr>
        <w:t>": la norma técnica de la OMPI se encuentra en proceso de evaluación activa para determinar su viabilidad, requisitos técnicos, costos, beneficios y adecuación a las necesidades de la organización antes de tomar una decisión sobre su aplicación.</w:t>
      </w:r>
    </w:p>
    <w:p w14:paraId="0EBBA5A7" w14:textId="77777777" w:rsidR="006B5240" w:rsidRPr="006B5240" w:rsidRDefault="006B5240" w:rsidP="006B5240">
      <w:pPr>
        <w:pStyle w:val="NormalWeb"/>
        <w:numPr>
          <w:ilvl w:val="0"/>
          <w:numId w:val="8"/>
        </w:numPr>
        <w:spacing w:before="0" w:beforeAutospacing="0" w:after="220" w:afterAutospacing="0"/>
        <w:ind w:left="924" w:hanging="357"/>
        <w:rPr>
          <w:rFonts w:ascii="Arial" w:hAnsi="Arial" w:cs="Arial"/>
          <w:sz w:val="22"/>
          <w:szCs w:val="22"/>
          <w:lang w:val="es-419"/>
        </w:rPr>
      </w:pPr>
      <w:r w:rsidRPr="006B5240">
        <w:rPr>
          <w:rFonts w:ascii="Arial" w:hAnsi="Arial"/>
          <w:sz w:val="22"/>
          <w:lang w:val="es-419"/>
        </w:rPr>
        <w:t>"</w:t>
      </w:r>
      <w:r w:rsidRPr="006B5240">
        <w:rPr>
          <w:rFonts w:ascii="Arial" w:hAnsi="Arial"/>
          <w:i/>
          <w:iCs/>
          <w:sz w:val="22"/>
          <w:u w:val="single"/>
          <w:lang w:val="es-419"/>
        </w:rPr>
        <w:t>No se prevé aplicarla</w:t>
      </w:r>
      <w:r w:rsidRPr="006B5240">
        <w:rPr>
          <w:rFonts w:ascii="Arial" w:hAnsi="Arial"/>
          <w:sz w:val="22"/>
          <w:lang w:val="es-419"/>
        </w:rPr>
        <w:t>": se ha examinado la norma técnica de la OMPI y, en la actualidad, no existe intención ni plan para aplicarla.</w:t>
      </w:r>
    </w:p>
    <w:p w14:paraId="4FCEAE4A" w14:textId="5BFF9E3E" w:rsidR="006B5240" w:rsidRPr="006B5240" w:rsidRDefault="006B5240" w:rsidP="006B5240">
      <w:pPr>
        <w:pStyle w:val="ONUMFS"/>
        <w:rPr>
          <w:lang w:val="es-419"/>
        </w:rPr>
      </w:pPr>
      <w:r w:rsidRPr="006B5240">
        <w:rPr>
          <w:lang w:val="es-419"/>
        </w:rPr>
        <w:t xml:space="preserve">En junio de 2025, la Secretaría publicó las circulares </w:t>
      </w:r>
      <w:hyperlink r:id="rId13" w:tgtFrame="_blank" w:history="1">
        <w:r w:rsidRPr="006B5240">
          <w:rPr>
            <w:rStyle w:val="Hyperlink"/>
            <w:lang w:val="es-419"/>
          </w:rPr>
          <w:t>C.CWS 208</w:t>
        </w:r>
      </w:hyperlink>
      <w:r w:rsidRPr="006B5240">
        <w:rPr>
          <w:lang w:val="es-419"/>
        </w:rPr>
        <w:t xml:space="preserve">, </w:t>
      </w:r>
      <w:hyperlink r:id="rId14" w:tgtFrame="_blank" w:history="1">
        <w:r w:rsidRPr="006B5240">
          <w:rPr>
            <w:rStyle w:val="Hyperlink"/>
            <w:lang w:val="es-419"/>
          </w:rPr>
          <w:t>C.CWS 209</w:t>
        </w:r>
      </w:hyperlink>
      <w:r w:rsidRPr="006B5240">
        <w:rPr>
          <w:lang w:val="es-419"/>
        </w:rPr>
        <w:t xml:space="preserve"> y </w:t>
      </w:r>
      <w:hyperlink r:id="rId15" w:tgtFrame="_blank" w:history="1">
        <w:r w:rsidRPr="006B5240">
          <w:rPr>
            <w:rStyle w:val="Hyperlink"/>
            <w:lang w:val="es-419"/>
          </w:rPr>
          <w:t>C.CWS 210</w:t>
        </w:r>
      </w:hyperlink>
      <w:r w:rsidRPr="006B5240">
        <w:rPr>
          <w:lang w:val="es-419"/>
        </w:rPr>
        <w:t>, en las que invitaba a las oficinas de PI a presentar informes técnicos anuales (ATR) relativos a las actividades técnicas llevadas a cabo durante 2025 en los ámbitos de las patentes, las marcas y los diseños industriales.</w:t>
      </w:r>
    </w:p>
    <w:p w14:paraId="470136AE" w14:textId="77777777" w:rsidR="006B5240" w:rsidRPr="006B5240" w:rsidRDefault="006B5240" w:rsidP="006B5240">
      <w:pPr>
        <w:pStyle w:val="ONUMFS"/>
        <w:rPr>
          <w:lang w:val="es-419"/>
        </w:rPr>
      </w:pPr>
      <w:r w:rsidRPr="006B5240">
        <w:rPr>
          <w:lang w:val="es-419"/>
        </w:rPr>
        <w:t>Treinta y dos Oficinas u organizaciones presentaron informes técnicos anuales sobre las actividades que llevaron a cabo en 2025. Estas comprenden los miembros del CWS de los siguientes 27 Estados miembros: Armenia (AM), Australia (AU), Bosnia y Herzegovina (BA), Brasil (BR), Bulgaria (BG), Canadá (CA), China (CN), Chipre (CY), República Checa (CZ), Dinamarca (DK), Estonia (EE), Georgia (GE), Hungría (HU), Irlanda (IE), Israel (IL), Japón (JP), México (MX), Paraguay (PY), Filipinas (PH), Polonia (PL), República de Corea (KR), República de Moldova (MD), Federación de Rusia (RU), Serbia (RS), España (ES), Ucrania (UA), Reino Unido (GB) y Estados Unidos de América (US); así como las tres organizaciones siguientes: la Organización Eurasiática de Patentes (EA), la Oficina Europea de Patentes (EP) y la Oficina de Propiedad Intelectual de la Unión Europea (EM).</w:t>
      </w:r>
    </w:p>
    <w:p w14:paraId="149B9D56" w14:textId="15AAEBDA" w:rsidR="006B5240" w:rsidRPr="006B5240" w:rsidRDefault="006B5240" w:rsidP="006B5240">
      <w:pPr>
        <w:pStyle w:val="ONUMFS"/>
        <w:rPr>
          <w:lang w:val="es-419"/>
        </w:rPr>
      </w:pPr>
      <w:r w:rsidRPr="006B5240">
        <w:rPr>
          <w:lang w:val="es-419"/>
        </w:rPr>
        <w:t xml:space="preserve">En el momento de la elaboración del presente documento, la Secretaría estaba ultimando la publicación de los informes técnicos anuales de 2025 recibidos. Una vez publicados, los informes estarán disponibles en </w:t>
      </w:r>
      <w:hyperlink r:id="rId16" w:history="1">
        <w:r w:rsidRPr="006B5240">
          <w:rPr>
            <w:rStyle w:val="Hyperlink"/>
            <w:lang w:val="es-419"/>
          </w:rPr>
          <w:t>https://www3.wipo.int/confluence/display/ATR/Browse+by+Year</w:t>
        </w:r>
      </w:hyperlink>
      <w:r w:rsidRPr="006B5240">
        <w:rPr>
          <w:lang w:val="es-419"/>
        </w:rPr>
        <w:t xml:space="preserve"> y podrán consultarse por año, Oficina de PI y tipo de derecho de PI.</w:t>
      </w:r>
    </w:p>
    <w:p w14:paraId="30EFA3D7" w14:textId="77777777" w:rsidR="006B5240" w:rsidRPr="006B5240" w:rsidRDefault="006B5240" w:rsidP="006B5240">
      <w:pPr>
        <w:pStyle w:val="Heading2"/>
        <w:rPr>
          <w:lang w:val="es-419"/>
        </w:rPr>
      </w:pPr>
      <w:r w:rsidRPr="006B5240">
        <w:rPr>
          <w:lang w:val="es-419"/>
        </w:rPr>
        <w:t xml:space="preserve">Estadísticas sobre la presentación de los informes técnicos anuales </w:t>
      </w:r>
    </w:p>
    <w:p w14:paraId="746D4066" w14:textId="3889C64E" w:rsidR="006B5240" w:rsidRPr="006B5240" w:rsidRDefault="006B5240" w:rsidP="006B5240">
      <w:pPr>
        <w:pStyle w:val="ONUMFS"/>
        <w:rPr>
          <w:lang w:val="es-419"/>
        </w:rPr>
      </w:pPr>
      <w:r w:rsidRPr="006B5240">
        <w:rPr>
          <w:lang w:val="es-419"/>
        </w:rPr>
        <w:t>La participación en el ejercicio del informe técnico anual ha aumentado considerablemente desde la recopilación de los informes correspondientes a las actividades de 2021. El número de Oficinas participantes pasó de 17 en 2022 a 33 en 2025 y se mantuvo prácticamente estable en 32 en 2026. Tal y como se muestra en el cuadro 1, el número total de informes técnicos anuales presentados aumentó de 47 informes correspondientes a las actividades de 2021 a 80 informes correspondientes a las actividades de 2025, lo que representa un incremento global de 33 informes.</w:t>
      </w:r>
    </w:p>
    <w:tbl>
      <w:tblPr>
        <w:tblStyle w:val="TableGrid"/>
        <w:tblW w:w="5000" w:type="pct"/>
        <w:tblLook w:val="04A0" w:firstRow="1" w:lastRow="0" w:firstColumn="1" w:lastColumn="0" w:noHBand="0" w:noVBand="1"/>
      </w:tblPr>
      <w:tblGrid>
        <w:gridCol w:w="1961"/>
        <w:gridCol w:w="1476"/>
        <w:gridCol w:w="1477"/>
        <w:gridCol w:w="1477"/>
        <w:gridCol w:w="1477"/>
        <w:gridCol w:w="1477"/>
      </w:tblGrid>
      <w:tr w:rsidR="006B5240" w:rsidRPr="006B5240" w14:paraId="6350C030" w14:textId="77777777" w:rsidTr="00556A3B">
        <w:trPr>
          <w:trHeight w:val="20"/>
        </w:trPr>
        <w:tc>
          <w:tcPr>
            <w:tcW w:w="1050" w:type="pct"/>
            <w:shd w:val="clear" w:color="auto" w:fill="D9D9D9" w:themeFill="background1" w:themeFillShade="D9"/>
            <w:vAlign w:val="center"/>
          </w:tcPr>
          <w:p w14:paraId="1E4C8C55" w14:textId="77777777" w:rsidR="006B5240" w:rsidRPr="006B5240" w:rsidRDefault="006B5240" w:rsidP="00E967EF">
            <w:pPr>
              <w:spacing w:before="120" w:after="120"/>
              <w:jc w:val="center"/>
              <w:rPr>
                <w:b/>
                <w:bCs/>
                <w:noProof/>
                <w:sz w:val="20"/>
                <w:lang w:val="es-419"/>
              </w:rPr>
            </w:pPr>
            <w:r w:rsidRPr="006B5240">
              <w:rPr>
                <w:b/>
                <w:sz w:val="20"/>
                <w:lang w:val="es-419"/>
              </w:rPr>
              <w:t>Tipo de informe técnico anual</w:t>
            </w:r>
          </w:p>
        </w:tc>
        <w:tc>
          <w:tcPr>
            <w:tcW w:w="790" w:type="pct"/>
            <w:shd w:val="clear" w:color="auto" w:fill="D9D9D9" w:themeFill="background1" w:themeFillShade="D9"/>
            <w:vAlign w:val="center"/>
          </w:tcPr>
          <w:p w14:paraId="79B05558" w14:textId="77777777" w:rsidR="006B5240" w:rsidRPr="006B5240" w:rsidRDefault="006B5240" w:rsidP="00E967EF">
            <w:pPr>
              <w:spacing w:before="120" w:after="120"/>
              <w:jc w:val="center"/>
              <w:rPr>
                <w:b/>
                <w:bCs/>
                <w:noProof/>
                <w:sz w:val="20"/>
                <w:lang w:val="es-419"/>
              </w:rPr>
            </w:pPr>
            <w:r w:rsidRPr="006B5240">
              <w:rPr>
                <w:b/>
                <w:sz w:val="20"/>
                <w:lang w:val="es-419"/>
              </w:rPr>
              <w:t>Actividades de 2021</w:t>
            </w:r>
          </w:p>
        </w:tc>
        <w:tc>
          <w:tcPr>
            <w:tcW w:w="790" w:type="pct"/>
            <w:shd w:val="clear" w:color="auto" w:fill="D9D9D9" w:themeFill="background1" w:themeFillShade="D9"/>
            <w:vAlign w:val="center"/>
          </w:tcPr>
          <w:p w14:paraId="7CC70135" w14:textId="77777777" w:rsidR="006B5240" w:rsidRPr="006B5240" w:rsidRDefault="006B5240" w:rsidP="00E967EF">
            <w:pPr>
              <w:spacing w:before="120" w:after="120"/>
              <w:jc w:val="center"/>
              <w:rPr>
                <w:b/>
                <w:bCs/>
                <w:noProof/>
                <w:sz w:val="20"/>
                <w:lang w:val="es-419"/>
              </w:rPr>
            </w:pPr>
            <w:r w:rsidRPr="006B5240">
              <w:rPr>
                <w:b/>
                <w:sz w:val="20"/>
                <w:lang w:val="es-419"/>
              </w:rPr>
              <w:t>Actividades de 2022</w:t>
            </w:r>
          </w:p>
        </w:tc>
        <w:tc>
          <w:tcPr>
            <w:tcW w:w="790" w:type="pct"/>
            <w:shd w:val="clear" w:color="auto" w:fill="D9D9D9" w:themeFill="background1" w:themeFillShade="D9"/>
            <w:vAlign w:val="center"/>
          </w:tcPr>
          <w:p w14:paraId="79865259" w14:textId="77777777" w:rsidR="006B5240" w:rsidRPr="006B5240" w:rsidRDefault="006B5240" w:rsidP="00E967EF">
            <w:pPr>
              <w:spacing w:before="120" w:after="120"/>
              <w:jc w:val="center"/>
              <w:rPr>
                <w:b/>
                <w:bCs/>
                <w:noProof/>
                <w:sz w:val="20"/>
                <w:lang w:val="es-419"/>
              </w:rPr>
            </w:pPr>
            <w:r w:rsidRPr="006B5240">
              <w:rPr>
                <w:b/>
                <w:sz w:val="20"/>
                <w:lang w:val="es-419"/>
              </w:rPr>
              <w:t>Actividades de 2023</w:t>
            </w:r>
          </w:p>
        </w:tc>
        <w:tc>
          <w:tcPr>
            <w:tcW w:w="790" w:type="pct"/>
            <w:shd w:val="clear" w:color="auto" w:fill="D9D9D9" w:themeFill="background1" w:themeFillShade="D9"/>
            <w:vAlign w:val="center"/>
          </w:tcPr>
          <w:p w14:paraId="31122987" w14:textId="77777777" w:rsidR="006B5240" w:rsidRPr="006B5240" w:rsidRDefault="006B5240" w:rsidP="00E967EF">
            <w:pPr>
              <w:spacing w:before="120" w:after="120"/>
              <w:jc w:val="center"/>
              <w:rPr>
                <w:b/>
                <w:bCs/>
                <w:noProof/>
                <w:sz w:val="20"/>
                <w:lang w:val="es-419"/>
              </w:rPr>
            </w:pPr>
            <w:r w:rsidRPr="006B5240">
              <w:rPr>
                <w:b/>
                <w:sz w:val="20"/>
                <w:lang w:val="es-419"/>
              </w:rPr>
              <w:t>Actividades de 2024</w:t>
            </w:r>
          </w:p>
        </w:tc>
        <w:tc>
          <w:tcPr>
            <w:tcW w:w="790" w:type="pct"/>
            <w:shd w:val="clear" w:color="auto" w:fill="D9D9D9" w:themeFill="background1" w:themeFillShade="D9"/>
            <w:vAlign w:val="center"/>
          </w:tcPr>
          <w:p w14:paraId="20CFEA00" w14:textId="77777777" w:rsidR="006B5240" w:rsidRPr="006B5240" w:rsidRDefault="006B5240" w:rsidP="00E967EF">
            <w:pPr>
              <w:spacing w:before="120" w:after="120"/>
              <w:jc w:val="center"/>
              <w:rPr>
                <w:b/>
                <w:bCs/>
                <w:noProof/>
                <w:sz w:val="20"/>
                <w:lang w:val="es-419"/>
              </w:rPr>
            </w:pPr>
            <w:r w:rsidRPr="006B5240">
              <w:rPr>
                <w:b/>
                <w:sz w:val="20"/>
                <w:lang w:val="es-419"/>
              </w:rPr>
              <w:t>Actividades de 2025</w:t>
            </w:r>
          </w:p>
        </w:tc>
      </w:tr>
      <w:tr w:rsidR="006B5240" w:rsidRPr="006B5240" w14:paraId="78DE2232" w14:textId="77777777" w:rsidTr="00556A3B">
        <w:trPr>
          <w:trHeight w:val="20"/>
        </w:trPr>
        <w:tc>
          <w:tcPr>
            <w:tcW w:w="1050" w:type="pct"/>
          </w:tcPr>
          <w:p w14:paraId="2BE9E880" w14:textId="77777777" w:rsidR="006B5240" w:rsidRPr="006B5240" w:rsidRDefault="006B5240" w:rsidP="00E967EF">
            <w:pPr>
              <w:spacing w:before="40" w:after="40"/>
              <w:rPr>
                <w:noProof/>
                <w:sz w:val="20"/>
                <w:lang w:val="es-419"/>
              </w:rPr>
            </w:pPr>
            <w:r w:rsidRPr="006B5240">
              <w:rPr>
                <w:sz w:val="20"/>
                <w:lang w:val="es-419"/>
              </w:rPr>
              <w:t>Información en materia de diseños industriales</w:t>
            </w:r>
          </w:p>
        </w:tc>
        <w:tc>
          <w:tcPr>
            <w:tcW w:w="790" w:type="pct"/>
          </w:tcPr>
          <w:p w14:paraId="47894207" w14:textId="77777777" w:rsidR="006B5240" w:rsidRPr="006B5240" w:rsidRDefault="006B5240" w:rsidP="00E967EF">
            <w:pPr>
              <w:spacing w:before="40" w:after="40"/>
              <w:jc w:val="center"/>
              <w:rPr>
                <w:noProof/>
                <w:sz w:val="20"/>
                <w:lang w:val="es-419"/>
              </w:rPr>
            </w:pPr>
            <w:r w:rsidRPr="006B5240">
              <w:rPr>
                <w:sz w:val="20"/>
                <w:lang w:val="es-419"/>
              </w:rPr>
              <w:t>15</w:t>
            </w:r>
          </w:p>
        </w:tc>
        <w:tc>
          <w:tcPr>
            <w:tcW w:w="790" w:type="pct"/>
          </w:tcPr>
          <w:p w14:paraId="77B6E3FA" w14:textId="77777777" w:rsidR="006B5240" w:rsidRPr="006B5240" w:rsidRDefault="006B5240" w:rsidP="00E967EF">
            <w:pPr>
              <w:spacing w:before="40" w:after="40"/>
              <w:jc w:val="center"/>
              <w:rPr>
                <w:noProof/>
                <w:sz w:val="20"/>
                <w:lang w:val="es-419"/>
              </w:rPr>
            </w:pPr>
            <w:r w:rsidRPr="006B5240">
              <w:rPr>
                <w:sz w:val="20"/>
                <w:lang w:val="es-419"/>
              </w:rPr>
              <w:t>19</w:t>
            </w:r>
          </w:p>
        </w:tc>
        <w:tc>
          <w:tcPr>
            <w:tcW w:w="790" w:type="pct"/>
          </w:tcPr>
          <w:p w14:paraId="3E54DB11" w14:textId="77777777" w:rsidR="006B5240" w:rsidRPr="006B5240" w:rsidRDefault="006B5240" w:rsidP="00E967EF">
            <w:pPr>
              <w:spacing w:before="40" w:after="40"/>
              <w:jc w:val="center"/>
              <w:rPr>
                <w:noProof/>
                <w:sz w:val="20"/>
                <w:lang w:val="es-419"/>
              </w:rPr>
            </w:pPr>
            <w:r w:rsidRPr="006B5240">
              <w:rPr>
                <w:sz w:val="20"/>
                <w:lang w:val="es-419"/>
              </w:rPr>
              <w:t>21</w:t>
            </w:r>
          </w:p>
        </w:tc>
        <w:tc>
          <w:tcPr>
            <w:tcW w:w="790" w:type="pct"/>
          </w:tcPr>
          <w:p w14:paraId="5864EEB8" w14:textId="77777777" w:rsidR="006B5240" w:rsidRPr="006B5240" w:rsidRDefault="006B5240" w:rsidP="00E967EF">
            <w:pPr>
              <w:spacing w:before="40" w:after="40"/>
              <w:jc w:val="center"/>
              <w:rPr>
                <w:noProof/>
                <w:sz w:val="20"/>
                <w:lang w:val="es-419"/>
              </w:rPr>
            </w:pPr>
            <w:r w:rsidRPr="006B5240">
              <w:rPr>
                <w:sz w:val="20"/>
                <w:lang w:val="es-419"/>
              </w:rPr>
              <w:t>26</w:t>
            </w:r>
          </w:p>
        </w:tc>
        <w:tc>
          <w:tcPr>
            <w:tcW w:w="790" w:type="pct"/>
          </w:tcPr>
          <w:p w14:paraId="3326F6FD" w14:textId="77777777" w:rsidR="006B5240" w:rsidRPr="006B5240" w:rsidRDefault="006B5240" w:rsidP="00E967EF">
            <w:pPr>
              <w:spacing w:before="40" w:after="40"/>
              <w:jc w:val="center"/>
              <w:rPr>
                <w:noProof/>
                <w:sz w:val="20"/>
                <w:lang w:val="es-419"/>
              </w:rPr>
            </w:pPr>
            <w:r w:rsidRPr="006B5240">
              <w:rPr>
                <w:sz w:val="20"/>
                <w:lang w:val="es-419"/>
              </w:rPr>
              <w:t>25</w:t>
            </w:r>
          </w:p>
        </w:tc>
      </w:tr>
      <w:tr w:rsidR="006B5240" w:rsidRPr="006B5240" w14:paraId="3994F6EF" w14:textId="77777777" w:rsidTr="00556A3B">
        <w:trPr>
          <w:trHeight w:val="20"/>
        </w:trPr>
        <w:tc>
          <w:tcPr>
            <w:tcW w:w="1050" w:type="pct"/>
          </w:tcPr>
          <w:p w14:paraId="7CD2D3A4" w14:textId="77777777" w:rsidR="006B5240" w:rsidRPr="006B5240" w:rsidRDefault="006B5240" w:rsidP="00E967EF">
            <w:pPr>
              <w:spacing w:before="40" w:after="40"/>
              <w:rPr>
                <w:noProof/>
                <w:sz w:val="20"/>
                <w:lang w:val="es-419"/>
              </w:rPr>
            </w:pPr>
            <w:r w:rsidRPr="006B5240">
              <w:rPr>
                <w:sz w:val="20"/>
                <w:lang w:val="es-419"/>
              </w:rPr>
              <w:t>Información en materia de patentes</w:t>
            </w:r>
          </w:p>
        </w:tc>
        <w:tc>
          <w:tcPr>
            <w:tcW w:w="790" w:type="pct"/>
          </w:tcPr>
          <w:p w14:paraId="3F0E47F8" w14:textId="77777777" w:rsidR="006B5240" w:rsidRPr="006B5240" w:rsidRDefault="006B5240" w:rsidP="00E967EF">
            <w:pPr>
              <w:spacing w:before="40" w:after="40"/>
              <w:jc w:val="center"/>
              <w:rPr>
                <w:noProof/>
                <w:sz w:val="20"/>
                <w:lang w:val="es-419"/>
              </w:rPr>
            </w:pPr>
            <w:r w:rsidRPr="006B5240">
              <w:rPr>
                <w:sz w:val="20"/>
                <w:lang w:val="es-419"/>
              </w:rPr>
              <w:t>17</w:t>
            </w:r>
          </w:p>
        </w:tc>
        <w:tc>
          <w:tcPr>
            <w:tcW w:w="790" w:type="pct"/>
          </w:tcPr>
          <w:p w14:paraId="21EBC5A5" w14:textId="77777777" w:rsidR="006B5240" w:rsidRPr="006B5240" w:rsidRDefault="006B5240" w:rsidP="00E967EF">
            <w:pPr>
              <w:spacing w:before="40" w:after="40"/>
              <w:jc w:val="center"/>
              <w:rPr>
                <w:noProof/>
                <w:sz w:val="20"/>
                <w:lang w:val="es-419"/>
              </w:rPr>
            </w:pPr>
            <w:r w:rsidRPr="006B5240">
              <w:rPr>
                <w:sz w:val="20"/>
                <w:lang w:val="es-419"/>
              </w:rPr>
              <w:t>20</w:t>
            </w:r>
          </w:p>
        </w:tc>
        <w:tc>
          <w:tcPr>
            <w:tcW w:w="790" w:type="pct"/>
          </w:tcPr>
          <w:p w14:paraId="6D0A0888" w14:textId="77777777" w:rsidR="006B5240" w:rsidRPr="006B5240" w:rsidRDefault="006B5240" w:rsidP="00E967EF">
            <w:pPr>
              <w:spacing w:before="40" w:after="40"/>
              <w:jc w:val="center"/>
              <w:rPr>
                <w:noProof/>
                <w:sz w:val="20"/>
                <w:lang w:val="es-419"/>
              </w:rPr>
            </w:pPr>
            <w:r w:rsidRPr="006B5240">
              <w:rPr>
                <w:sz w:val="20"/>
                <w:lang w:val="es-419"/>
              </w:rPr>
              <w:t>24</w:t>
            </w:r>
          </w:p>
        </w:tc>
        <w:tc>
          <w:tcPr>
            <w:tcW w:w="790" w:type="pct"/>
          </w:tcPr>
          <w:p w14:paraId="34F62F16" w14:textId="77777777" w:rsidR="006B5240" w:rsidRPr="006B5240" w:rsidRDefault="006B5240" w:rsidP="00E967EF">
            <w:pPr>
              <w:spacing w:before="40" w:after="40"/>
              <w:jc w:val="center"/>
              <w:rPr>
                <w:noProof/>
                <w:sz w:val="20"/>
                <w:lang w:val="es-419"/>
              </w:rPr>
            </w:pPr>
            <w:r w:rsidRPr="006B5240">
              <w:rPr>
                <w:sz w:val="20"/>
                <w:lang w:val="es-419"/>
              </w:rPr>
              <w:t>28</w:t>
            </w:r>
          </w:p>
        </w:tc>
        <w:tc>
          <w:tcPr>
            <w:tcW w:w="790" w:type="pct"/>
          </w:tcPr>
          <w:p w14:paraId="63792533" w14:textId="77777777" w:rsidR="006B5240" w:rsidRPr="006B5240" w:rsidRDefault="006B5240" w:rsidP="00E967EF">
            <w:pPr>
              <w:spacing w:before="40" w:after="40"/>
              <w:jc w:val="center"/>
              <w:rPr>
                <w:noProof/>
                <w:sz w:val="20"/>
                <w:lang w:val="es-419"/>
              </w:rPr>
            </w:pPr>
            <w:r w:rsidRPr="006B5240">
              <w:rPr>
                <w:sz w:val="20"/>
                <w:lang w:val="es-419"/>
              </w:rPr>
              <w:t>25</w:t>
            </w:r>
          </w:p>
        </w:tc>
      </w:tr>
      <w:tr w:rsidR="006B5240" w:rsidRPr="006B5240" w14:paraId="66815B8D" w14:textId="77777777" w:rsidTr="00556A3B">
        <w:trPr>
          <w:trHeight w:val="20"/>
        </w:trPr>
        <w:tc>
          <w:tcPr>
            <w:tcW w:w="1050" w:type="pct"/>
          </w:tcPr>
          <w:p w14:paraId="22D20DC3" w14:textId="77777777" w:rsidR="006B5240" w:rsidRPr="006B5240" w:rsidRDefault="006B5240" w:rsidP="00E967EF">
            <w:pPr>
              <w:spacing w:before="40" w:after="40"/>
              <w:rPr>
                <w:noProof/>
                <w:sz w:val="20"/>
                <w:lang w:val="es-419"/>
              </w:rPr>
            </w:pPr>
            <w:r w:rsidRPr="006B5240">
              <w:rPr>
                <w:sz w:val="20"/>
                <w:lang w:val="es-419"/>
              </w:rPr>
              <w:t>Información en materia de marcas</w:t>
            </w:r>
          </w:p>
        </w:tc>
        <w:tc>
          <w:tcPr>
            <w:tcW w:w="790" w:type="pct"/>
          </w:tcPr>
          <w:p w14:paraId="6F66AAA2" w14:textId="77777777" w:rsidR="006B5240" w:rsidRPr="006B5240" w:rsidRDefault="006B5240" w:rsidP="00E967EF">
            <w:pPr>
              <w:spacing w:before="40" w:after="40"/>
              <w:jc w:val="center"/>
              <w:rPr>
                <w:noProof/>
                <w:sz w:val="20"/>
                <w:lang w:val="es-419"/>
              </w:rPr>
            </w:pPr>
            <w:r w:rsidRPr="006B5240">
              <w:rPr>
                <w:sz w:val="20"/>
                <w:lang w:val="es-419"/>
              </w:rPr>
              <w:t>15</w:t>
            </w:r>
          </w:p>
        </w:tc>
        <w:tc>
          <w:tcPr>
            <w:tcW w:w="790" w:type="pct"/>
          </w:tcPr>
          <w:p w14:paraId="50ACFCEA" w14:textId="77777777" w:rsidR="006B5240" w:rsidRPr="006B5240" w:rsidRDefault="006B5240" w:rsidP="00E967EF">
            <w:pPr>
              <w:spacing w:before="40" w:after="40"/>
              <w:jc w:val="center"/>
              <w:rPr>
                <w:noProof/>
                <w:sz w:val="20"/>
                <w:lang w:val="es-419"/>
              </w:rPr>
            </w:pPr>
            <w:r w:rsidRPr="006B5240">
              <w:rPr>
                <w:sz w:val="20"/>
                <w:lang w:val="es-419"/>
              </w:rPr>
              <w:t>21</w:t>
            </w:r>
          </w:p>
        </w:tc>
        <w:tc>
          <w:tcPr>
            <w:tcW w:w="790" w:type="pct"/>
          </w:tcPr>
          <w:p w14:paraId="176F84C9" w14:textId="77777777" w:rsidR="006B5240" w:rsidRPr="006B5240" w:rsidRDefault="006B5240" w:rsidP="00E967EF">
            <w:pPr>
              <w:spacing w:before="40" w:after="40"/>
              <w:jc w:val="center"/>
              <w:rPr>
                <w:noProof/>
                <w:sz w:val="20"/>
                <w:lang w:val="es-419"/>
              </w:rPr>
            </w:pPr>
            <w:r w:rsidRPr="006B5240">
              <w:rPr>
                <w:sz w:val="20"/>
                <w:lang w:val="es-419"/>
              </w:rPr>
              <w:t>24</w:t>
            </w:r>
          </w:p>
        </w:tc>
        <w:tc>
          <w:tcPr>
            <w:tcW w:w="790" w:type="pct"/>
          </w:tcPr>
          <w:p w14:paraId="2C45DC73" w14:textId="77777777" w:rsidR="006B5240" w:rsidRPr="006B5240" w:rsidRDefault="006B5240" w:rsidP="00E967EF">
            <w:pPr>
              <w:spacing w:before="40" w:after="40"/>
              <w:jc w:val="center"/>
              <w:rPr>
                <w:noProof/>
                <w:sz w:val="20"/>
                <w:lang w:val="es-419"/>
              </w:rPr>
            </w:pPr>
            <w:r w:rsidRPr="006B5240">
              <w:rPr>
                <w:sz w:val="20"/>
                <w:lang w:val="es-419"/>
              </w:rPr>
              <w:t>30</w:t>
            </w:r>
          </w:p>
        </w:tc>
        <w:tc>
          <w:tcPr>
            <w:tcW w:w="790" w:type="pct"/>
          </w:tcPr>
          <w:p w14:paraId="0F2701EB" w14:textId="77777777" w:rsidR="006B5240" w:rsidRPr="006B5240" w:rsidRDefault="006B5240" w:rsidP="00E967EF">
            <w:pPr>
              <w:spacing w:before="40" w:after="40"/>
              <w:jc w:val="center"/>
              <w:rPr>
                <w:noProof/>
                <w:sz w:val="20"/>
                <w:lang w:val="es-419"/>
              </w:rPr>
            </w:pPr>
            <w:r w:rsidRPr="006B5240">
              <w:rPr>
                <w:sz w:val="20"/>
                <w:lang w:val="es-419"/>
              </w:rPr>
              <w:t>30</w:t>
            </w:r>
          </w:p>
        </w:tc>
      </w:tr>
      <w:tr w:rsidR="006B5240" w:rsidRPr="006B5240" w14:paraId="7251AFFB" w14:textId="77777777" w:rsidTr="00556A3B">
        <w:trPr>
          <w:trHeight w:val="20"/>
        </w:trPr>
        <w:tc>
          <w:tcPr>
            <w:tcW w:w="1050" w:type="pct"/>
          </w:tcPr>
          <w:p w14:paraId="0BA21F7F" w14:textId="77777777" w:rsidR="006B5240" w:rsidRPr="006B5240" w:rsidRDefault="006B5240" w:rsidP="00E967EF">
            <w:pPr>
              <w:spacing w:before="40" w:after="40"/>
              <w:rPr>
                <w:b/>
                <w:bCs/>
                <w:noProof/>
                <w:sz w:val="20"/>
                <w:lang w:val="es-419"/>
              </w:rPr>
            </w:pPr>
            <w:r w:rsidRPr="006B5240">
              <w:rPr>
                <w:b/>
                <w:sz w:val="20"/>
                <w:lang w:val="es-419"/>
              </w:rPr>
              <w:t>Número total de informes técnicos anuales</w:t>
            </w:r>
          </w:p>
        </w:tc>
        <w:tc>
          <w:tcPr>
            <w:tcW w:w="790" w:type="pct"/>
          </w:tcPr>
          <w:p w14:paraId="659EF47F" w14:textId="77777777" w:rsidR="006B5240" w:rsidRPr="006B5240" w:rsidRDefault="006B5240" w:rsidP="00E967EF">
            <w:pPr>
              <w:spacing w:before="40" w:after="40"/>
              <w:jc w:val="center"/>
              <w:rPr>
                <w:b/>
                <w:bCs/>
                <w:noProof/>
                <w:sz w:val="20"/>
                <w:lang w:val="es-419"/>
              </w:rPr>
            </w:pPr>
            <w:r w:rsidRPr="006B5240">
              <w:rPr>
                <w:b/>
                <w:sz w:val="20"/>
                <w:lang w:val="es-419"/>
              </w:rPr>
              <w:t>47</w:t>
            </w:r>
          </w:p>
        </w:tc>
        <w:tc>
          <w:tcPr>
            <w:tcW w:w="790" w:type="pct"/>
          </w:tcPr>
          <w:p w14:paraId="1E16902B" w14:textId="77777777" w:rsidR="006B5240" w:rsidRPr="006B5240" w:rsidRDefault="006B5240" w:rsidP="00E967EF">
            <w:pPr>
              <w:spacing w:before="40" w:after="40"/>
              <w:jc w:val="center"/>
              <w:rPr>
                <w:b/>
                <w:bCs/>
                <w:noProof/>
                <w:sz w:val="20"/>
                <w:lang w:val="es-419"/>
              </w:rPr>
            </w:pPr>
            <w:r w:rsidRPr="006B5240">
              <w:rPr>
                <w:b/>
                <w:sz w:val="20"/>
                <w:lang w:val="es-419"/>
              </w:rPr>
              <w:t>60</w:t>
            </w:r>
          </w:p>
        </w:tc>
        <w:tc>
          <w:tcPr>
            <w:tcW w:w="790" w:type="pct"/>
          </w:tcPr>
          <w:p w14:paraId="62A587E7" w14:textId="77777777" w:rsidR="006B5240" w:rsidRPr="006B5240" w:rsidRDefault="006B5240" w:rsidP="00E967EF">
            <w:pPr>
              <w:spacing w:before="40" w:after="40"/>
              <w:jc w:val="center"/>
              <w:rPr>
                <w:b/>
                <w:bCs/>
                <w:noProof/>
                <w:sz w:val="20"/>
                <w:lang w:val="es-419"/>
              </w:rPr>
            </w:pPr>
            <w:r w:rsidRPr="006B5240">
              <w:rPr>
                <w:b/>
                <w:sz w:val="20"/>
                <w:lang w:val="es-419"/>
              </w:rPr>
              <w:t>69</w:t>
            </w:r>
          </w:p>
        </w:tc>
        <w:tc>
          <w:tcPr>
            <w:tcW w:w="790" w:type="pct"/>
          </w:tcPr>
          <w:p w14:paraId="035B914C" w14:textId="77777777" w:rsidR="006B5240" w:rsidRPr="006B5240" w:rsidRDefault="006B5240" w:rsidP="00E967EF">
            <w:pPr>
              <w:spacing w:before="40" w:after="40"/>
              <w:jc w:val="center"/>
              <w:rPr>
                <w:b/>
                <w:bCs/>
                <w:noProof/>
                <w:sz w:val="20"/>
                <w:lang w:val="es-419"/>
              </w:rPr>
            </w:pPr>
            <w:r w:rsidRPr="006B5240">
              <w:rPr>
                <w:b/>
                <w:sz w:val="20"/>
                <w:lang w:val="es-419"/>
              </w:rPr>
              <w:t>84</w:t>
            </w:r>
          </w:p>
        </w:tc>
        <w:tc>
          <w:tcPr>
            <w:tcW w:w="790" w:type="pct"/>
          </w:tcPr>
          <w:p w14:paraId="6AE1C50F" w14:textId="77777777" w:rsidR="006B5240" w:rsidRPr="006B5240" w:rsidRDefault="006B5240" w:rsidP="00E967EF">
            <w:pPr>
              <w:spacing w:before="40" w:after="40"/>
              <w:jc w:val="center"/>
              <w:rPr>
                <w:b/>
                <w:bCs/>
                <w:noProof/>
                <w:sz w:val="20"/>
                <w:lang w:val="es-419"/>
              </w:rPr>
            </w:pPr>
            <w:r w:rsidRPr="006B5240">
              <w:rPr>
                <w:b/>
                <w:sz w:val="20"/>
                <w:lang w:val="es-419"/>
              </w:rPr>
              <w:t>80</w:t>
            </w:r>
          </w:p>
        </w:tc>
      </w:tr>
    </w:tbl>
    <w:p w14:paraId="42D920CD" w14:textId="77777777" w:rsidR="006B5240" w:rsidRPr="006B5240" w:rsidRDefault="006B5240" w:rsidP="006B5240">
      <w:pPr>
        <w:pStyle w:val="Caption"/>
        <w:rPr>
          <w:rStyle w:val="IntenseEmphasis"/>
          <w:i w:val="0"/>
          <w:iCs w:val="0"/>
          <w:color w:val="auto"/>
          <w:lang w:val="es-419"/>
        </w:rPr>
      </w:pPr>
    </w:p>
    <w:p w14:paraId="1ECC329D" w14:textId="77777777" w:rsidR="006B5240" w:rsidRPr="006B5240" w:rsidRDefault="006B5240" w:rsidP="006B5240">
      <w:pPr>
        <w:pStyle w:val="Caption"/>
        <w:rPr>
          <w:lang w:val="es-419"/>
        </w:rPr>
      </w:pPr>
      <w:r w:rsidRPr="006B5240">
        <w:rPr>
          <w:rStyle w:val="IntenseEmphasis"/>
          <w:i w:val="0"/>
          <w:color w:val="auto"/>
          <w:lang w:val="es-419"/>
        </w:rPr>
        <w:t>Cuadro 1: Número de informes técnicos anuales presentados para las actividades del periodo 2021-2025</w:t>
      </w:r>
    </w:p>
    <w:p w14:paraId="1ABE7838" w14:textId="77777777" w:rsidR="006B5240" w:rsidRPr="006B5240" w:rsidRDefault="006B5240" w:rsidP="006B5240">
      <w:pPr>
        <w:pStyle w:val="Heading2"/>
        <w:rPr>
          <w:lang w:val="es-419"/>
        </w:rPr>
      </w:pPr>
      <w:r w:rsidRPr="006B5240">
        <w:rPr>
          <w:lang w:val="es-419"/>
        </w:rPr>
        <w:t>Estado de aplicación de las normas técnicas de la OMPI</w:t>
      </w:r>
    </w:p>
    <w:p w14:paraId="1816C540" w14:textId="77777777" w:rsidR="006B5240" w:rsidRPr="006B5240" w:rsidRDefault="006B5240" w:rsidP="006B5240">
      <w:pPr>
        <w:pStyle w:val="ONUMFS"/>
        <w:rPr>
          <w:lang w:val="es-419"/>
        </w:rPr>
      </w:pPr>
      <w:r w:rsidRPr="006B5240">
        <w:rPr>
          <w:lang w:val="es-419"/>
        </w:rPr>
        <w:t xml:space="preserve">La información facilitada en los informes técnicos anuales de 2025 muestra una variación considerable entre las oficinas de PI a la hora de aplicar las normas técnicas de la OMPI en materia de patentes, marcas y diseños industriales. Muchas Oficinas han aplicado total o parcialmente numerosas normas, mientras que otras son utilizadas por un número menor de Oficinas o se encuentran aún en fase de aplicación, planificación o evaluación. Algunas Oficinas no comunicaron su estado de aplicación respecto a determinadas normas; esta información que falta debe tenerse en cuenta a la hora de evaluar la aplicación global. </w:t>
      </w:r>
    </w:p>
    <w:p w14:paraId="3C99F7F9" w14:textId="77777777" w:rsidR="006B5240" w:rsidRPr="006B5240" w:rsidRDefault="006B5240" w:rsidP="006B5240">
      <w:pPr>
        <w:pStyle w:val="ONUMFS"/>
        <w:rPr>
          <w:lang w:val="es-419"/>
        </w:rPr>
      </w:pPr>
      <w:r w:rsidRPr="006B5240">
        <w:rPr>
          <w:lang w:val="es-419"/>
        </w:rPr>
        <w:t>No obstante, el análisis confirma que cada norma técnica de la OMPI ha sido aplicada, ya sea total o parcialmente, por al menos una oficina de PI. Por consiguiente, sobre la base de la información disponible actualmente, no se ha reconocido ninguna norma técnica de la OMPI que sea susceptible de ser archivada en esta fase. En el Anexo del presente documento se recoge información detallada sobre el estado de aplicación comunicado por cada Oficina.</w:t>
      </w:r>
    </w:p>
    <w:p w14:paraId="79CAEF7C" w14:textId="77777777" w:rsidR="006B5240" w:rsidRPr="006B5240" w:rsidRDefault="006B5240" w:rsidP="006B5240">
      <w:pPr>
        <w:pStyle w:val="Heading2"/>
        <w:rPr>
          <w:lang w:val="es-419"/>
        </w:rPr>
      </w:pPr>
      <w:r w:rsidRPr="006B5240">
        <w:rPr>
          <w:lang w:val="es-419"/>
        </w:rPr>
        <w:t>Propuesta de actualización de la parte 7.12 del Manual de la OMPI</w:t>
      </w:r>
    </w:p>
    <w:p w14:paraId="795254B1" w14:textId="3D1C4E9B" w:rsidR="006B5240" w:rsidRPr="006B5240" w:rsidRDefault="006B5240" w:rsidP="006B5240">
      <w:pPr>
        <w:pStyle w:val="ONUMFS"/>
        <w:rPr>
          <w:lang w:val="es-419"/>
        </w:rPr>
      </w:pPr>
      <w:r w:rsidRPr="006B5240">
        <w:rPr>
          <w:lang w:val="es-419"/>
        </w:rPr>
        <w:t>La parte 7.12 del Manual de la OMPI ofrece información sobre las prácticas de las oficinas de PI en relación con el uso de las normas técnicas de la OMPI, basándose en los resultados de la encuesta sobre el uso de dichas normas. La última actualización de la parte 7.12 se realizó en 2016 y está disponible en:</w:t>
      </w:r>
      <w:hyperlink r:id="rId17" w:history="1">
        <w:r w:rsidRPr="006B5240">
          <w:rPr>
            <w:rStyle w:val="Hyperlink"/>
            <w:lang w:val="es-419"/>
          </w:rPr>
          <w:t xml:space="preserve"> https://confluence.wipo.int/confluence/spaces/usestandards/pages/79888440/CWS+Survey+on+the+use+of+the+normas técnicas de la OMPI+Home</w:t>
        </w:r>
      </w:hyperlink>
      <w:r w:rsidRPr="006B5240">
        <w:rPr>
          <w:lang w:val="es-419"/>
        </w:rPr>
        <w:t>.</w:t>
      </w:r>
    </w:p>
    <w:p w14:paraId="6687F2D3" w14:textId="77777777" w:rsidR="006B5240" w:rsidRPr="006B5240" w:rsidRDefault="006B5240" w:rsidP="006B5240">
      <w:pPr>
        <w:pStyle w:val="ONUMFS"/>
        <w:rPr>
          <w:lang w:val="es-419"/>
        </w:rPr>
      </w:pPr>
      <w:r w:rsidRPr="006B5240">
        <w:rPr>
          <w:lang w:val="es-419"/>
        </w:rPr>
        <w:t>La introducción de la sección VII en las plantillas de los informes técnicos anuales (ATR) ha establecido un mecanismo periódico y estructurado para recabar información actualizada de las oficinas de PI sobre su uso de las normas técnicas de la OMPI. Las plantillas revisadas para los ATR de 2025 abarcaban todas las normas técnicas de la OMPI y las correspondientes opciones aplicadas, armonizando la información recabada a través del proceso de los ATR con la Parte 7 del Manual de la OMPI.</w:t>
      </w:r>
    </w:p>
    <w:p w14:paraId="087B717B" w14:textId="77777777" w:rsidR="006B5240" w:rsidRPr="006B5240" w:rsidRDefault="006B5240" w:rsidP="006B5240">
      <w:pPr>
        <w:pStyle w:val="ONUMFS"/>
        <w:rPr>
          <w:lang w:val="es-419"/>
        </w:rPr>
      </w:pPr>
      <w:r w:rsidRPr="006B5240">
        <w:rPr>
          <w:lang w:val="es-419"/>
        </w:rPr>
        <w:t>La Secretaría propone actualizar la Parte 7.12 del Manual de la OMPI, “Encuesta sobre la aplicación de las normas técnicas de la OMPI”, utilizando la información sobre la aplicación de las normas técnicas de la OMPI recopilada por medio de los informes técnicos anuales. Además, la Secretaría propone que se revise la sección VII de las plantillas de los informes técnicos anuales para reflejar las normas técnicas recientemente adoptadas y cualquier cambio introducido en las normas técnicas existentes, según proceda. De este modo, la Parte 7.12 se mantendría actualizada y se ofrecería una visión general consolidada de cómo las oficinas de PI aplican las normas técnicas de la OMPI.</w:t>
      </w:r>
    </w:p>
    <w:p w14:paraId="02BD3396" w14:textId="77777777" w:rsidR="006B5240" w:rsidRPr="006B5240" w:rsidRDefault="006B5240" w:rsidP="006B5240">
      <w:pPr>
        <w:pStyle w:val="ONUMFS"/>
        <w:tabs>
          <w:tab w:val="left" w:pos="6096"/>
        </w:tabs>
        <w:ind w:left="5534"/>
        <w:rPr>
          <w:i/>
          <w:lang w:val="es-419"/>
        </w:rPr>
      </w:pPr>
      <w:r w:rsidRPr="006B5240">
        <w:rPr>
          <w:i/>
          <w:lang w:val="es-419"/>
        </w:rPr>
        <w:t>Se invita al CWS a:</w:t>
      </w:r>
    </w:p>
    <w:p w14:paraId="2F70A1F0" w14:textId="77777777" w:rsidR="006B5240" w:rsidRPr="006B5240" w:rsidRDefault="006B5240" w:rsidP="006B5240">
      <w:pPr>
        <w:pStyle w:val="ONUMFS"/>
        <w:numPr>
          <w:ilvl w:val="0"/>
          <w:numId w:val="9"/>
        </w:numPr>
        <w:tabs>
          <w:tab w:val="left" w:pos="6663"/>
        </w:tabs>
        <w:ind w:left="5534" w:firstLine="562"/>
        <w:rPr>
          <w:i/>
          <w:lang w:val="es-419"/>
        </w:rPr>
      </w:pPr>
      <w:r w:rsidRPr="006B5240">
        <w:rPr>
          <w:i/>
          <w:lang w:val="es-419"/>
        </w:rPr>
        <w:t>tomar nota del contenido del presente documento, en particular de las estadísticas relativas a la aplicación de las normas técnicas de la OMPI, tal y como se indica en los párrafos 12 y 13 anteriores y en el Anexo del presente documento;</w:t>
      </w:r>
    </w:p>
    <w:p w14:paraId="0F01409F" w14:textId="77777777" w:rsidR="006B5240" w:rsidRPr="006B5240" w:rsidRDefault="006B5240" w:rsidP="006B5240">
      <w:pPr>
        <w:pStyle w:val="ONUMFS"/>
        <w:numPr>
          <w:ilvl w:val="0"/>
          <w:numId w:val="9"/>
        </w:numPr>
        <w:tabs>
          <w:tab w:val="left" w:pos="6663"/>
        </w:tabs>
        <w:ind w:left="5534" w:firstLine="562"/>
        <w:rPr>
          <w:i/>
          <w:lang w:val="es-419"/>
        </w:rPr>
      </w:pPr>
      <w:r w:rsidRPr="006B5240">
        <w:rPr>
          <w:i/>
          <w:lang w:val="es-419"/>
        </w:rPr>
        <w:t xml:space="preserve">alentar a sus miembros a presentar sus informes técnicos anuales (ATR), incluyendo información completa sobre el estado de aplicación de las normas técnicas de la OMPI aplicables; </w:t>
      </w:r>
    </w:p>
    <w:p w14:paraId="3E18C25E" w14:textId="77777777" w:rsidR="006B5240" w:rsidRPr="006B5240" w:rsidRDefault="006B5240" w:rsidP="006B5240">
      <w:pPr>
        <w:pStyle w:val="ONUMFS"/>
        <w:numPr>
          <w:ilvl w:val="0"/>
          <w:numId w:val="9"/>
        </w:numPr>
        <w:tabs>
          <w:tab w:val="left" w:pos="6663"/>
        </w:tabs>
        <w:ind w:left="5534" w:firstLine="562"/>
        <w:rPr>
          <w:i/>
          <w:lang w:val="es-419"/>
        </w:rPr>
      </w:pPr>
      <w:r w:rsidRPr="006B5240">
        <w:rPr>
          <w:i/>
          <w:lang w:val="es-419"/>
        </w:rPr>
        <w:t>alentar a sus Miembros a que soliciten apoyo o asistencia técnica a la Secretaría, según proceda, en relación con la aplicación de las normas técnicas de la OMPI;</w:t>
      </w:r>
    </w:p>
    <w:p w14:paraId="56E5693D" w14:textId="77777777" w:rsidR="006B5240" w:rsidRPr="006B5240" w:rsidRDefault="006B5240" w:rsidP="006B5240">
      <w:pPr>
        <w:pStyle w:val="ONUMFS"/>
        <w:numPr>
          <w:ilvl w:val="0"/>
          <w:numId w:val="9"/>
        </w:numPr>
        <w:tabs>
          <w:tab w:val="left" w:pos="6663"/>
        </w:tabs>
        <w:ind w:left="5534" w:firstLine="562"/>
        <w:rPr>
          <w:i/>
          <w:lang w:val="es-419"/>
        </w:rPr>
      </w:pPr>
      <w:r w:rsidRPr="006B5240">
        <w:rPr>
          <w:i/>
          <w:lang w:val="es-419"/>
        </w:rPr>
        <w:t xml:space="preserve">aprobar la actualización propuesta de la Parte 7.12 del Manual de la OMPI sobre la base de la información relativa a la aplicación de las normas técnicas de la OMPI recopilada por medio de los informes técnicos anuales, tal y como se indica en los párrafos 14 a 16 anteriores; </w:t>
      </w:r>
    </w:p>
    <w:p w14:paraId="3A0321E0" w14:textId="77777777" w:rsidR="006B5240" w:rsidRPr="006B5240" w:rsidRDefault="006B5240" w:rsidP="006B5240">
      <w:pPr>
        <w:pStyle w:val="ONUMFS"/>
        <w:numPr>
          <w:ilvl w:val="0"/>
          <w:numId w:val="9"/>
        </w:numPr>
        <w:tabs>
          <w:tab w:val="left" w:pos="6663"/>
        </w:tabs>
        <w:ind w:left="5534" w:firstLine="562"/>
        <w:rPr>
          <w:i/>
          <w:lang w:val="es-419"/>
        </w:rPr>
      </w:pPr>
      <w:r w:rsidRPr="006B5240">
        <w:rPr>
          <w:i/>
          <w:lang w:val="es-419"/>
        </w:rPr>
        <w:t>solicitar a la Secretaría que actualice anualmente la Parte 7.12 del Manual de la OMPI para reflejar la información actualizada sobre la aplicación de las normas técnicas de la OMPI recopilada a través de los informes técnicos anuales; y</w:t>
      </w:r>
    </w:p>
    <w:p w14:paraId="25376A9D" w14:textId="77777777" w:rsidR="006B5240" w:rsidRPr="006B5240" w:rsidRDefault="006B5240" w:rsidP="006B5240">
      <w:pPr>
        <w:pStyle w:val="ONUMFS"/>
        <w:numPr>
          <w:ilvl w:val="0"/>
          <w:numId w:val="9"/>
        </w:numPr>
        <w:tabs>
          <w:tab w:val="left" w:pos="6663"/>
        </w:tabs>
        <w:ind w:left="5534" w:firstLine="562"/>
        <w:rPr>
          <w:i/>
          <w:lang w:val="es-419"/>
        </w:rPr>
      </w:pPr>
      <w:r w:rsidRPr="006B5240">
        <w:rPr>
          <w:i/>
          <w:lang w:val="es-419"/>
        </w:rPr>
        <w:t>aprobar la propuesta de revisión de la sección VII de las plantillas de los informes técnicos anuales, según proceda, para reflejar las normas recientemente adoptadas y cualquier cambio introducido en las normas existentes, tal y como se indica en el párrafo 16 anterior.</w:t>
      </w:r>
    </w:p>
    <w:p w14:paraId="6BF97068" w14:textId="77777777" w:rsidR="006B5240" w:rsidRPr="006B5240" w:rsidRDefault="006B5240" w:rsidP="006B5240">
      <w:pPr>
        <w:pStyle w:val="Endofdocument-Annex"/>
        <w:spacing w:before="720"/>
        <w:rPr>
          <w:lang w:val="es-419"/>
        </w:rPr>
      </w:pPr>
      <w:r w:rsidRPr="006B5240">
        <w:rPr>
          <w:lang w:val="es-419"/>
        </w:rPr>
        <w:t>[Sigue el Anexo]</w:t>
      </w:r>
    </w:p>
    <w:sectPr w:rsidR="006B5240" w:rsidRPr="006B5240" w:rsidSect="006B5240">
      <w:headerReference w:type="default" r:id="rId18"/>
      <w:footerReference w:type="even" r:id="rId19"/>
      <w:footerReference w:type="default" r:id="rId20"/>
      <w:footerReference w:type="first" r:id="rId21"/>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001A2" w14:textId="77777777" w:rsidR="002C7CDD" w:rsidRDefault="002C7CDD">
      <w:r>
        <w:separator/>
      </w:r>
    </w:p>
  </w:endnote>
  <w:endnote w:type="continuationSeparator" w:id="0">
    <w:p w14:paraId="520DA1E1" w14:textId="77777777" w:rsidR="002C7CDD" w:rsidRPr="009D30E6" w:rsidRDefault="002C7CDD" w:rsidP="007E663E">
      <w:pPr>
        <w:rPr>
          <w:sz w:val="17"/>
          <w:szCs w:val="17"/>
        </w:rPr>
      </w:pPr>
      <w:r w:rsidRPr="009D30E6">
        <w:rPr>
          <w:sz w:val="17"/>
          <w:szCs w:val="17"/>
        </w:rPr>
        <w:separator/>
      </w:r>
    </w:p>
    <w:p w14:paraId="7008049C" w14:textId="77777777" w:rsidR="002C7CDD" w:rsidRPr="007E663E" w:rsidRDefault="002C7CDD" w:rsidP="007E663E">
      <w:pPr>
        <w:spacing w:after="60"/>
        <w:rPr>
          <w:sz w:val="17"/>
          <w:szCs w:val="17"/>
        </w:rPr>
      </w:pPr>
      <w:r>
        <w:rPr>
          <w:sz w:val="17"/>
        </w:rPr>
        <w:t>[Continuación de la nota de la página anterior]</w:t>
      </w:r>
    </w:p>
  </w:endnote>
  <w:endnote w:type="continuationNotice" w:id="1">
    <w:p w14:paraId="38C23FB2" w14:textId="77777777" w:rsidR="002C7CDD" w:rsidRPr="007E663E" w:rsidRDefault="002C7CDD"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5FF14" w14:textId="526D68B1" w:rsidR="001D50D1" w:rsidRDefault="001D50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17669" w14:textId="7F5DF42D" w:rsidR="001D50D1" w:rsidRDefault="001D50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96BED" w14:textId="79F321A0" w:rsidR="001D50D1" w:rsidRDefault="001D5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03FDD" w14:textId="77777777" w:rsidR="002C7CDD" w:rsidRDefault="002C7CDD">
      <w:r>
        <w:separator/>
      </w:r>
    </w:p>
  </w:footnote>
  <w:footnote w:type="continuationSeparator" w:id="0">
    <w:p w14:paraId="4BB18758" w14:textId="77777777" w:rsidR="002C7CDD" w:rsidRPr="009D30E6" w:rsidRDefault="002C7CDD" w:rsidP="007E663E">
      <w:pPr>
        <w:rPr>
          <w:sz w:val="17"/>
          <w:szCs w:val="17"/>
        </w:rPr>
      </w:pPr>
      <w:r w:rsidRPr="009D30E6">
        <w:rPr>
          <w:sz w:val="17"/>
          <w:szCs w:val="17"/>
        </w:rPr>
        <w:separator/>
      </w:r>
    </w:p>
    <w:p w14:paraId="74A205F8" w14:textId="77777777" w:rsidR="002C7CDD" w:rsidRPr="007E663E" w:rsidRDefault="002C7CDD" w:rsidP="007E663E">
      <w:pPr>
        <w:spacing w:after="60"/>
        <w:rPr>
          <w:sz w:val="17"/>
          <w:szCs w:val="17"/>
        </w:rPr>
      </w:pPr>
      <w:r>
        <w:rPr>
          <w:sz w:val="17"/>
        </w:rPr>
        <w:t>[Continuación de la nota de la página anterior]</w:t>
      </w:r>
    </w:p>
  </w:footnote>
  <w:footnote w:type="continuationNotice" w:id="1">
    <w:p w14:paraId="596ED00C" w14:textId="77777777" w:rsidR="002C7CDD" w:rsidRPr="007E663E" w:rsidRDefault="002C7CDD"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BDCB8" w14:textId="7E258D52" w:rsidR="00F84474" w:rsidRDefault="006B5240" w:rsidP="00477D6B">
    <w:pPr>
      <w:jc w:val="right"/>
    </w:pPr>
    <w:bookmarkStart w:id="5" w:name="Code2"/>
    <w:bookmarkEnd w:id="5"/>
    <w:r>
      <w:t>CWS/14/25</w:t>
    </w:r>
  </w:p>
  <w:p w14:paraId="1C5F808C"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16D33E86" w14:textId="77777777" w:rsidR="00F84474" w:rsidRDefault="00F84474" w:rsidP="00477D6B">
    <w:pPr>
      <w:jc w:val="right"/>
    </w:pPr>
  </w:p>
  <w:p w14:paraId="41124EFB"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F862F31"/>
    <w:multiLevelType w:val="multilevel"/>
    <w:tmpl w:val="649E5EB0"/>
    <w:lvl w:ilvl="0">
      <w:start w:val="1"/>
      <w:numFmt w:val="bullet"/>
      <w:lvlText w:val=""/>
      <w:lvlJc w:val="left"/>
      <w:pPr>
        <w:tabs>
          <w:tab w:val="num" w:pos="927"/>
        </w:tabs>
        <w:ind w:left="927" w:hanging="360"/>
      </w:pPr>
      <w:rPr>
        <w:rFonts w:ascii="Symbol" w:hAnsi="Symbol" w:hint="default"/>
        <w:sz w:val="20"/>
      </w:rPr>
    </w:lvl>
    <w:lvl w:ilvl="1">
      <w:start w:val="1"/>
      <w:numFmt w:val="lowerLetter"/>
      <w:lvlText w:val="(%2)"/>
      <w:lvlJc w:val="left"/>
      <w:pPr>
        <w:ind w:left="2187" w:hanging="900"/>
      </w:pPr>
      <w:rPr>
        <w:rFonts w:hint="default"/>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3C3A4FAD"/>
    <w:multiLevelType w:val="multilevel"/>
    <w:tmpl w:val="7EBED144"/>
    <w:lvl w:ilvl="0">
      <w:start w:val="1"/>
      <w:numFmt w:val="lowerLetter"/>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2A67467"/>
    <w:multiLevelType w:val="hybridMultilevel"/>
    <w:tmpl w:val="E4B47082"/>
    <w:lvl w:ilvl="0" w:tplc="6E3C669C">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527987169">
    <w:abstractNumId w:val="3"/>
  </w:num>
  <w:num w:numId="2" w16cid:durableId="1368065899">
    <w:abstractNumId w:val="6"/>
  </w:num>
  <w:num w:numId="3" w16cid:durableId="1509633635">
    <w:abstractNumId w:val="0"/>
  </w:num>
  <w:num w:numId="4" w16cid:durableId="677849983">
    <w:abstractNumId w:val="7"/>
  </w:num>
  <w:num w:numId="5" w16cid:durableId="1988243437">
    <w:abstractNumId w:val="1"/>
  </w:num>
  <w:num w:numId="6" w16cid:durableId="2016496202">
    <w:abstractNumId w:val="4"/>
  </w:num>
  <w:num w:numId="7" w16cid:durableId="958026376">
    <w:abstractNumId w:val="2"/>
  </w:num>
  <w:num w:numId="8" w16cid:durableId="390274248">
    <w:abstractNumId w:val="8"/>
  </w:num>
  <w:num w:numId="9" w16cid:durableId="20273202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240"/>
    <w:rsid w:val="000E3BB3"/>
    <w:rsid w:val="000E67FD"/>
    <w:rsid w:val="000F5E56"/>
    <w:rsid w:val="001362EE"/>
    <w:rsid w:val="00152CEA"/>
    <w:rsid w:val="001832A6"/>
    <w:rsid w:val="001C4DD3"/>
    <w:rsid w:val="001D50D1"/>
    <w:rsid w:val="00205026"/>
    <w:rsid w:val="002634C4"/>
    <w:rsid w:val="002C7CDD"/>
    <w:rsid w:val="002F4E68"/>
    <w:rsid w:val="00302113"/>
    <w:rsid w:val="00307787"/>
    <w:rsid w:val="00354647"/>
    <w:rsid w:val="00377273"/>
    <w:rsid w:val="003845C1"/>
    <w:rsid w:val="00387287"/>
    <w:rsid w:val="003D41D4"/>
    <w:rsid w:val="00423E3E"/>
    <w:rsid w:val="00427AF4"/>
    <w:rsid w:val="0045231F"/>
    <w:rsid w:val="004647DA"/>
    <w:rsid w:val="00477D6B"/>
    <w:rsid w:val="00497265"/>
    <w:rsid w:val="004A6C37"/>
    <w:rsid w:val="004F7418"/>
    <w:rsid w:val="00511D0C"/>
    <w:rsid w:val="0055013B"/>
    <w:rsid w:val="0056224D"/>
    <w:rsid w:val="00571B99"/>
    <w:rsid w:val="005D64EC"/>
    <w:rsid w:val="00605827"/>
    <w:rsid w:val="00615B8E"/>
    <w:rsid w:val="0066216D"/>
    <w:rsid w:val="00664847"/>
    <w:rsid w:val="00675021"/>
    <w:rsid w:val="006A06C6"/>
    <w:rsid w:val="006B5240"/>
    <w:rsid w:val="007E63AC"/>
    <w:rsid w:val="007E663E"/>
    <w:rsid w:val="00815082"/>
    <w:rsid w:val="00843582"/>
    <w:rsid w:val="008B14EA"/>
    <w:rsid w:val="008B2CC1"/>
    <w:rsid w:val="0090731E"/>
    <w:rsid w:val="00966A22"/>
    <w:rsid w:val="00970F3D"/>
    <w:rsid w:val="00972F03"/>
    <w:rsid w:val="009A0C8B"/>
    <w:rsid w:val="009B6241"/>
    <w:rsid w:val="00A16FC0"/>
    <w:rsid w:val="00A32C9E"/>
    <w:rsid w:val="00A7453D"/>
    <w:rsid w:val="00AB613D"/>
    <w:rsid w:val="00AE14FB"/>
    <w:rsid w:val="00B26D3D"/>
    <w:rsid w:val="00B65A0A"/>
    <w:rsid w:val="00B72D36"/>
    <w:rsid w:val="00B92307"/>
    <w:rsid w:val="00BA063E"/>
    <w:rsid w:val="00BC4164"/>
    <w:rsid w:val="00BD2DCC"/>
    <w:rsid w:val="00BE1A8C"/>
    <w:rsid w:val="00BF257A"/>
    <w:rsid w:val="00BF6D3E"/>
    <w:rsid w:val="00C06472"/>
    <w:rsid w:val="00C90559"/>
    <w:rsid w:val="00CF0B9D"/>
    <w:rsid w:val="00CF347F"/>
    <w:rsid w:val="00D31DAE"/>
    <w:rsid w:val="00D36B79"/>
    <w:rsid w:val="00D40CF0"/>
    <w:rsid w:val="00D56C7C"/>
    <w:rsid w:val="00D71B4D"/>
    <w:rsid w:val="00D90289"/>
    <w:rsid w:val="00D93D55"/>
    <w:rsid w:val="00E45C84"/>
    <w:rsid w:val="00E504E5"/>
    <w:rsid w:val="00E73ABF"/>
    <w:rsid w:val="00E967EF"/>
    <w:rsid w:val="00EB7A3E"/>
    <w:rsid w:val="00EC401A"/>
    <w:rsid w:val="00EF530A"/>
    <w:rsid w:val="00EF6622"/>
    <w:rsid w:val="00F55408"/>
    <w:rsid w:val="00F66152"/>
    <w:rsid w:val="00F80845"/>
    <w:rsid w:val="00F8447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D408FF"/>
  <w15:docId w15:val="{92AD9955-6418-452B-A33B-2631F2D17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link w:val="Heading2Char"/>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customStyle="1" w:styleId="Heading2Char">
    <w:name w:val="Heading 2 Char"/>
    <w:basedOn w:val="DefaultParagraphFont"/>
    <w:link w:val="Heading2"/>
    <w:rsid w:val="006B5240"/>
    <w:rPr>
      <w:rFonts w:ascii="Arial" w:eastAsia="SimSun" w:hAnsi="Arial" w:cs="Arial"/>
      <w:bCs/>
      <w:iCs/>
      <w:caps/>
      <w:sz w:val="22"/>
      <w:szCs w:val="28"/>
      <w:lang w:val="es-ES" w:eastAsia="zh-CN"/>
    </w:rPr>
  </w:style>
  <w:style w:type="character" w:styleId="Hyperlink">
    <w:name w:val="Hyperlink"/>
    <w:basedOn w:val="DefaultParagraphFont"/>
    <w:uiPriority w:val="99"/>
    <w:unhideWhenUsed/>
    <w:rsid w:val="006B5240"/>
    <w:rPr>
      <w:color w:val="0000FF" w:themeColor="hyperlink"/>
      <w:u w:val="single"/>
    </w:rPr>
  </w:style>
  <w:style w:type="table" w:styleId="TableGrid">
    <w:name w:val="Table Grid"/>
    <w:basedOn w:val="TableNormal"/>
    <w:uiPriority w:val="39"/>
    <w:rsid w:val="006B5240"/>
    <w:rPr>
      <w:rFonts w:eastAsia="MS Mincho"/>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5240"/>
    <w:pPr>
      <w:ind w:left="720"/>
      <w:contextualSpacing/>
    </w:pPr>
  </w:style>
  <w:style w:type="character" w:styleId="IntenseEmphasis">
    <w:name w:val="Intense Emphasis"/>
    <w:basedOn w:val="DefaultParagraphFont"/>
    <w:uiPriority w:val="21"/>
    <w:qFormat/>
    <w:rsid w:val="006B5240"/>
    <w:rPr>
      <w:i/>
      <w:iCs/>
      <w:color w:val="4F81BD" w:themeColor="accent1"/>
    </w:rPr>
  </w:style>
  <w:style w:type="paragraph" w:styleId="NormalWeb">
    <w:name w:val="Normal (Web)"/>
    <w:basedOn w:val="Normal"/>
    <w:uiPriority w:val="99"/>
    <w:unhideWhenUsed/>
    <w:rsid w:val="006B5240"/>
    <w:pPr>
      <w:spacing w:before="100" w:beforeAutospacing="1" w:after="100" w:afterAutospacing="1"/>
    </w:pPr>
    <w:rPr>
      <w:rFonts w:ascii="Times New Roman" w:eastAsiaTheme="minorEastAsia"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ipo.int/documents/d/cws/docs-es-circulars-files-cws-208.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wipo.int/es/web/standards/part_03_standards" TargetMode="External"/><Relationship Id="rId17" Type="http://schemas.openxmlformats.org/officeDocument/2006/relationships/hyperlink" Target="https://confluence.wipo.int/confluence/spaces/usestandards/pages/79888440/CWS+Survey+on+the+use+of+WIPO+Standards+Home" TargetMode="External"/><Relationship Id="rId2" Type="http://schemas.openxmlformats.org/officeDocument/2006/relationships/customXml" Target="../customXml/item2.xml"/><Relationship Id="rId16" Type="http://schemas.openxmlformats.org/officeDocument/2006/relationships/hyperlink" Target="https://www3.wipo.int/confluence/display/ATR/Browse+by+Yea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wipo.int/documents/d/cws/docs-es-circulars-files-cws-210.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ipo.int/documents/d/cws/docs-es-circulars-files-cws-209.pdf"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Int.%20Classif\CWS_14%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7a99264-aac8-44dd-b14f-8017e78a225a"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2B0128-9E02-44F0-9DD2-3BE90ADF8E7C}">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93F92248-B881-466E-B7AB-FCC475AF4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055C89-8545-4F3B-9A5E-DAE47E125336}">
  <ds:schemaRefs>
    <ds:schemaRef ds:uri="Microsoft.SharePoint.Taxonomy.ContentTypeSync"/>
  </ds:schemaRefs>
</ds:datastoreItem>
</file>

<file path=customXml/itemProps4.xml><?xml version="1.0" encoding="utf-8"?>
<ds:datastoreItem xmlns:ds="http://schemas.openxmlformats.org/officeDocument/2006/customXml" ds:itemID="{EE5FD641-C7EB-48AA-B581-EA2356A2B7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(S).dotm</Template>
  <TotalTime>4</TotalTime>
  <Pages>5</Pages>
  <Words>1884</Words>
  <Characters>10739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CWS/14/25 (Spanish) </vt:lpstr>
    </vt:vector>
  </TitlesOfParts>
  <Company>WIPO</Company>
  <LinksUpToDate>false</LinksUpToDate>
  <CharactersWithSpaces>12598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CWS/14/25 (Spanish) </dc:title>
  <dc:subject>Informes técnicos anuales de 2025 </dc:subject>
  <dc:creator>WIPO</dc:creator>
  <cp:keywords>WIPO CWS decimocuarta sesión, Informes técnicos anuales, 2025 </cp:keywords>
  <cp:lastModifiedBy>EMMETT Claudia</cp:lastModifiedBy>
  <cp:revision>4</cp:revision>
  <dcterms:created xsi:type="dcterms:W3CDTF">2026-10-09T08:05:00Z</dcterms:created>
  <dcterms:modified xsi:type="dcterms:W3CDTF">2026-10-20T10:14:00Z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2026-10-09T07:50:22Z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80223dd0-8131-4361-a747-d4fcd7362c26</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y fmtid="{D5CDD505-2E9C-101B-9397-08002B2CF9AE}" pid="17" name="BusinessUnit">
    <vt:lpwstr>3;#Language Division|9d03c550-61a5-463a-85fe-6ed05e2d8eeb</vt:lpwstr>
  </property>
  <property fmtid="{D5CDD505-2E9C-101B-9397-08002B2CF9AE}" pid="18" name="RMClassification">
    <vt:lpwstr>4;#05 Reference Material|9ea5a724-be39-4cdd-b7fd-205cb2d62f2f</vt:lpwstr>
  </property>
  <property fmtid="{D5CDD505-2E9C-101B-9397-08002B2CF9AE}" pid="19" name="Languages">
    <vt:lpwstr>1;#English|950e6fa2-2df0-4983-a604-54e57c7a6d93</vt:lpwstr>
  </property>
  <property fmtid="{D5CDD505-2E9C-101B-9397-08002B2CF9AE}" pid="20" name="MediaServiceImageTags">
    <vt:lpwstr/>
  </property>
  <property fmtid="{D5CDD505-2E9C-101B-9397-08002B2CF9AE}" pid="21" name="lcf76f155ced4ddcb4097134ff3c332f">
    <vt:lpwstr/>
  </property>
  <property fmtid="{D5CDD505-2E9C-101B-9397-08002B2CF9AE}" pid="22" name="_dlc_DocIdItemGuid">
    <vt:lpwstr>0c54c46b-22b6-4cd5-a7b0-116d350ec095</vt:lpwstr>
  </property>
  <property fmtid="{D5CDD505-2E9C-101B-9397-08002B2CF9AE}" pid="23" name="docLang">
    <vt:lpwstr>es</vt:lpwstr>
  </property>
</Properties>
</file>