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0E59B" w14:textId="77777777" w:rsidR="008B2CC1" w:rsidRPr="00DB06A9" w:rsidRDefault="008B14EA" w:rsidP="008B14EA">
      <w:pPr>
        <w:spacing w:after="120"/>
        <w:jc w:val="right"/>
        <w:rPr>
          <w:lang w:val="es-419"/>
        </w:rPr>
      </w:pPr>
      <w:r w:rsidRPr="00DB06A9">
        <w:rPr>
          <w:noProof/>
          <w:lang w:val="es-419" w:eastAsia="en-US"/>
        </w:rPr>
        <w:drawing>
          <wp:inline distT="0" distB="0" distL="0" distR="0" wp14:anchorId="5C38A47F" wp14:editId="040B8112">
            <wp:extent cx="3014550" cy="1332000"/>
            <wp:effectExtent l="0" t="0" r="0" b="1905"/>
            <wp:docPr id="2" name="Picture 2" descr="Las líneas curvas ascendentes del logotipo de la Organización Mundial de la Propiedad Intelectual evocan el progreso humano impulsado por la innovación y la creatividad."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PO_logo_S.png"/>
                    <pic:cNvPicPr/>
                  </pic:nvPicPr>
                  <pic:blipFill rotWithShape="1">
                    <a:blip r:embed="rId11">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DB06A9">
        <w:rPr>
          <w:rFonts w:ascii="Arial Black" w:hAnsi="Arial Black"/>
          <w:caps/>
          <w:noProof/>
          <w:sz w:val="15"/>
          <w:szCs w:val="15"/>
          <w:lang w:val="es-419" w:eastAsia="en-US"/>
        </w:rPr>
        <mc:AlternateContent>
          <mc:Choice Requires="wps">
            <w:drawing>
              <wp:inline distT="0" distB="0" distL="0" distR="0" wp14:anchorId="4863365A" wp14:editId="2128F7FC">
                <wp:extent cx="5935980" cy="0"/>
                <wp:effectExtent l="0" t="0" r="26670" b="19050"/>
                <wp:docPr id="3" name="Straight Connector 3"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FBDD956" id="Straight Connector 3"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F8549A6" w14:textId="6F3FA922" w:rsidR="008B2CC1" w:rsidRPr="00DB06A9" w:rsidRDefault="0066216D" w:rsidP="008B14EA">
      <w:pPr>
        <w:jc w:val="right"/>
        <w:rPr>
          <w:rFonts w:ascii="Arial Black" w:hAnsi="Arial Black"/>
          <w:caps/>
          <w:sz w:val="15"/>
          <w:lang w:val="es-419"/>
        </w:rPr>
      </w:pPr>
      <w:r w:rsidRPr="00DB06A9">
        <w:rPr>
          <w:rFonts w:ascii="Arial Black" w:hAnsi="Arial Black"/>
          <w:caps/>
          <w:sz w:val="15"/>
          <w:lang w:val="es-419"/>
        </w:rPr>
        <w:t>CWS/</w:t>
      </w:r>
      <w:r w:rsidR="00CF0B9D" w:rsidRPr="00DB06A9">
        <w:rPr>
          <w:rFonts w:ascii="Arial Black" w:hAnsi="Arial Black"/>
          <w:caps/>
          <w:sz w:val="15"/>
          <w:lang w:val="es-419"/>
        </w:rPr>
        <w:t>14</w:t>
      </w:r>
      <w:r w:rsidRPr="00DB06A9">
        <w:rPr>
          <w:rFonts w:ascii="Arial Black" w:hAnsi="Arial Black"/>
          <w:caps/>
          <w:sz w:val="15"/>
          <w:lang w:val="es-419"/>
        </w:rPr>
        <w:t>/</w:t>
      </w:r>
      <w:bookmarkStart w:id="0" w:name="Code"/>
      <w:bookmarkEnd w:id="0"/>
      <w:r w:rsidR="00DB06A9" w:rsidRPr="00DB06A9">
        <w:rPr>
          <w:rFonts w:ascii="Arial Black" w:hAnsi="Arial Black"/>
          <w:caps/>
          <w:sz w:val="15"/>
          <w:lang w:val="es-419"/>
        </w:rPr>
        <w:t>18</w:t>
      </w:r>
    </w:p>
    <w:p w14:paraId="07670CB9" w14:textId="78486B58" w:rsidR="008B2CC1" w:rsidRPr="00DB06A9" w:rsidRDefault="008B14EA" w:rsidP="008B14EA">
      <w:pPr>
        <w:jc w:val="right"/>
        <w:rPr>
          <w:rFonts w:ascii="Arial Black" w:hAnsi="Arial Black"/>
          <w:caps/>
          <w:sz w:val="15"/>
          <w:lang w:val="es-419"/>
        </w:rPr>
      </w:pPr>
      <w:r w:rsidRPr="00DB06A9">
        <w:rPr>
          <w:rFonts w:ascii="Arial Black" w:hAnsi="Arial Black"/>
          <w:caps/>
          <w:sz w:val="15"/>
          <w:lang w:val="es-419"/>
        </w:rPr>
        <w:t xml:space="preserve">ORIGINAL: </w:t>
      </w:r>
      <w:bookmarkStart w:id="1" w:name="Original"/>
      <w:r w:rsidR="00DB06A9" w:rsidRPr="00DB06A9">
        <w:rPr>
          <w:rFonts w:ascii="Arial Black" w:hAnsi="Arial Black"/>
          <w:caps/>
          <w:sz w:val="15"/>
          <w:lang w:val="es-419"/>
        </w:rPr>
        <w:t>INGLÉS</w:t>
      </w:r>
    </w:p>
    <w:bookmarkEnd w:id="1"/>
    <w:p w14:paraId="175FB727" w14:textId="0D4B01B0" w:rsidR="008B2CC1" w:rsidRPr="00DB06A9" w:rsidRDefault="008B14EA" w:rsidP="008B14EA">
      <w:pPr>
        <w:spacing w:after="1200"/>
        <w:jc w:val="right"/>
        <w:rPr>
          <w:rFonts w:ascii="Arial Black" w:hAnsi="Arial Black"/>
          <w:caps/>
          <w:sz w:val="15"/>
          <w:lang w:val="es-419"/>
        </w:rPr>
      </w:pPr>
      <w:r w:rsidRPr="00DB06A9">
        <w:rPr>
          <w:rFonts w:ascii="Arial Black" w:hAnsi="Arial Black"/>
          <w:caps/>
          <w:sz w:val="15"/>
          <w:lang w:val="es-419"/>
        </w:rPr>
        <w:t xml:space="preserve">FECHA: </w:t>
      </w:r>
      <w:bookmarkStart w:id="2" w:name="Date"/>
      <w:r w:rsidR="00DB06A9" w:rsidRPr="00DB06A9">
        <w:rPr>
          <w:rFonts w:ascii="Arial Black" w:hAnsi="Arial Black"/>
          <w:caps/>
          <w:sz w:val="15"/>
          <w:lang w:val="es-419"/>
        </w:rPr>
        <w:t>7 DE OCTUBRE DE 2026</w:t>
      </w:r>
    </w:p>
    <w:bookmarkEnd w:id="2"/>
    <w:p w14:paraId="4E021182" w14:textId="77777777" w:rsidR="008B2CC1" w:rsidRPr="00DB06A9" w:rsidRDefault="0066216D" w:rsidP="008B14EA">
      <w:pPr>
        <w:spacing w:after="600"/>
        <w:rPr>
          <w:b/>
          <w:sz w:val="28"/>
          <w:szCs w:val="28"/>
          <w:lang w:val="es-419"/>
        </w:rPr>
      </w:pPr>
      <w:r w:rsidRPr="00DB06A9">
        <w:rPr>
          <w:b/>
          <w:sz w:val="28"/>
          <w:szCs w:val="28"/>
          <w:lang w:val="es-419"/>
        </w:rPr>
        <w:t>Comité de Normas Técnicas de la OMPI (CWS)</w:t>
      </w:r>
    </w:p>
    <w:p w14:paraId="406686DC" w14:textId="77777777" w:rsidR="00511D0C" w:rsidRPr="00DB06A9" w:rsidRDefault="00CF0B9D" w:rsidP="00511D0C">
      <w:pPr>
        <w:rPr>
          <w:b/>
          <w:sz w:val="28"/>
          <w:szCs w:val="24"/>
          <w:lang w:val="es-419"/>
        </w:rPr>
      </w:pPr>
      <w:r w:rsidRPr="00DB06A9">
        <w:rPr>
          <w:b/>
          <w:sz w:val="24"/>
          <w:lang w:val="es-419"/>
        </w:rPr>
        <w:t>Decimocuarta</w:t>
      </w:r>
      <w:r w:rsidR="0066216D" w:rsidRPr="00DB06A9">
        <w:rPr>
          <w:b/>
          <w:sz w:val="24"/>
          <w:lang w:val="es-419"/>
        </w:rPr>
        <w:t xml:space="preserve"> sesión</w:t>
      </w:r>
    </w:p>
    <w:p w14:paraId="38508F92" w14:textId="77777777" w:rsidR="008B2CC1" w:rsidRPr="00DB06A9" w:rsidRDefault="0066216D" w:rsidP="008B14EA">
      <w:pPr>
        <w:spacing w:after="720"/>
        <w:rPr>
          <w:b/>
          <w:sz w:val="28"/>
          <w:szCs w:val="24"/>
          <w:lang w:val="es-419"/>
        </w:rPr>
      </w:pPr>
      <w:r w:rsidRPr="00DB06A9">
        <w:rPr>
          <w:b/>
          <w:sz w:val="24"/>
          <w:lang w:val="es-419"/>
        </w:rPr>
        <w:t xml:space="preserve">Ginebra, </w:t>
      </w:r>
      <w:r w:rsidR="00CF0B9D" w:rsidRPr="00DB06A9">
        <w:rPr>
          <w:b/>
          <w:sz w:val="24"/>
          <w:lang w:val="es-419"/>
        </w:rPr>
        <w:t>23</w:t>
      </w:r>
      <w:r w:rsidR="00970F3D" w:rsidRPr="00DB06A9">
        <w:rPr>
          <w:b/>
          <w:sz w:val="24"/>
          <w:lang w:val="es-419"/>
        </w:rPr>
        <w:t xml:space="preserve"> a </w:t>
      </w:r>
      <w:r w:rsidR="00CF0B9D" w:rsidRPr="00DB06A9">
        <w:rPr>
          <w:b/>
          <w:sz w:val="24"/>
          <w:lang w:val="es-419"/>
        </w:rPr>
        <w:t>27</w:t>
      </w:r>
      <w:r w:rsidR="00970F3D" w:rsidRPr="00DB06A9">
        <w:rPr>
          <w:b/>
          <w:sz w:val="24"/>
          <w:lang w:val="es-419"/>
        </w:rPr>
        <w:t xml:space="preserve"> de </w:t>
      </w:r>
      <w:r w:rsidR="00CF0B9D" w:rsidRPr="00DB06A9">
        <w:rPr>
          <w:b/>
          <w:sz w:val="24"/>
          <w:lang w:val="es-419"/>
        </w:rPr>
        <w:t>noviembre</w:t>
      </w:r>
      <w:r w:rsidR="00970F3D" w:rsidRPr="00DB06A9">
        <w:rPr>
          <w:b/>
          <w:sz w:val="24"/>
          <w:lang w:val="es-419"/>
        </w:rPr>
        <w:t xml:space="preserve"> de 202</w:t>
      </w:r>
      <w:r w:rsidR="00CF0B9D" w:rsidRPr="00DB06A9">
        <w:rPr>
          <w:b/>
          <w:sz w:val="24"/>
          <w:lang w:val="es-419"/>
        </w:rPr>
        <w:t>6</w:t>
      </w:r>
    </w:p>
    <w:p w14:paraId="05A0B23A" w14:textId="4B86A1A2" w:rsidR="008B2CC1" w:rsidRPr="00DB06A9" w:rsidRDefault="00DB06A9" w:rsidP="008B14EA">
      <w:pPr>
        <w:spacing w:after="360"/>
        <w:rPr>
          <w:caps/>
          <w:sz w:val="24"/>
          <w:lang w:val="es-419"/>
        </w:rPr>
      </w:pPr>
      <w:bookmarkStart w:id="3" w:name="TitleOfDoc"/>
      <w:r w:rsidRPr="00DB06A9">
        <w:rPr>
          <w:caps/>
          <w:sz w:val="24"/>
          <w:lang w:val="es-419"/>
        </w:rPr>
        <w:t>Informe sobre la tarea n.º 50 del Equipo Técnico de la Parte 7</w:t>
      </w:r>
    </w:p>
    <w:p w14:paraId="00E21AEA" w14:textId="06E20F21" w:rsidR="008B2CC1" w:rsidRPr="00DB06A9" w:rsidRDefault="00DB06A9" w:rsidP="008B14EA">
      <w:pPr>
        <w:spacing w:after="960"/>
        <w:rPr>
          <w:i/>
          <w:lang w:val="es-419"/>
        </w:rPr>
      </w:pPr>
      <w:bookmarkStart w:id="4" w:name="Prepared"/>
      <w:bookmarkEnd w:id="3"/>
      <w:r w:rsidRPr="00DB06A9">
        <w:rPr>
          <w:i/>
          <w:lang w:val="es-419"/>
        </w:rPr>
        <w:t>Documento preparado por la Oficina Internacional</w:t>
      </w:r>
    </w:p>
    <w:bookmarkEnd w:id="4"/>
    <w:p w14:paraId="09F03BB7" w14:textId="77777777" w:rsidR="00DB06A9" w:rsidRPr="00DB06A9" w:rsidRDefault="00DB06A9" w:rsidP="00DB06A9">
      <w:pPr>
        <w:pStyle w:val="Heading2"/>
        <w:rPr>
          <w:lang w:val="es-419"/>
        </w:rPr>
      </w:pPr>
      <w:r w:rsidRPr="00DB06A9">
        <w:rPr>
          <w:lang w:val="es-419"/>
        </w:rPr>
        <w:t>Resumen</w:t>
      </w:r>
    </w:p>
    <w:p w14:paraId="602FA2BC" w14:textId="33D9AECB" w:rsidR="00DB06A9" w:rsidRPr="00DB06A9" w:rsidRDefault="00DB06A9" w:rsidP="00DB06A9">
      <w:pPr>
        <w:pStyle w:val="ONUMFS"/>
        <w:rPr>
          <w:lang w:val="es-419"/>
        </w:rPr>
      </w:pPr>
      <w:r w:rsidRPr="00DB06A9">
        <w:rPr>
          <w:lang w:val="es-419"/>
        </w:rPr>
        <w:t>El presente documento da cuenta del trabajo realizado por el Equipo Técnico de la Parte 7 en el marco de la Tarea N.º 50 desde la decimotercera sesión del Comité de Normas Técnicas de la OMPI (CWS), incluidos los resúmenes de los resultados de la encuesta sobre prácticas en materia de citas, la revisión de la Parte 7.3 del Manual de la OMPI sobre información y documentación en materia de propiedad intelectual y la aplicación del enfoque híbrido para el mantenimiento de las partes 7.1, 7.2.6 y 7.2.7. El presente documento presenta asimismo proyectos de plantillas y directrices para futuras actualizaciones de las partes 7.1, 7.2.6 y 7.2.7, propone publicar la Parte 7.1 en forma de cuadro en línea con función de búsqueda y expone el plan de trabajo propuesto para 2027.</w:t>
      </w:r>
    </w:p>
    <w:p w14:paraId="1E82FC89" w14:textId="77777777" w:rsidR="00DB06A9" w:rsidRPr="00DB06A9" w:rsidRDefault="00DB06A9" w:rsidP="00DB06A9">
      <w:pPr>
        <w:pStyle w:val="Heading2"/>
        <w:rPr>
          <w:lang w:val="es-419"/>
        </w:rPr>
      </w:pPr>
      <w:r w:rsidRPr="00DB06A9">
        <w:rPr>
          <w:lang w:val="es-419"/>
        </w:rPr>
        <w:t>Antecedentes</w:t>
      </w:r>
    </w:p>
    <w:p w14:paraId="221EDF60" w14:textId="1FA7A723" w:rsidR="00DB06A9" w:rsidRPr="00DB06A9" w:rsidRDefault="00DB06A9" w:rsidP="00DB06A9">
      <w:pPr>
        <w:pStyle w:val="ONUMFS"/>
        <w:rPr>
          <w:lang w:val="es-419"/>
        </w:rPr>
      </w:pPr>
      <w:r w:rsidRPr="00DB06A9">
        <w:rPr>
          <w:lang w:val="es-419"/>
        </w:rPr>
        <w:t>En su novena sesión, celebrada en 2021, el CWS aprobó el plan de trabajo revisado para la actualización de la Parte 7 del Manual de la OMPI, que incluía una encuesta sobre las fechas del calendario que iba a realizarse en 2022. El CWS aprobó asimismo un proceso simplificado para actualizar la Parte 7, mediante el cual los resultados de la encuesta se recopilarían y publicarían directamente, sin necesidad de que se presente el cuestionario ni los resultados al CWS para su aprobación oficial. Además, el CWS pidió al Equipo Técnico que programara una actualización de la Parte 7.9 relativa a la práctica en materia de citas. (Véanse los párrafos 112 y 114 del documento CWS/9/25.)</w:t>
      </w:r>
    </w:p>
    <w:p w14:paraId="156C23EB" w14:textId="57635097" w:rsidR="00DB06A9" w:rsidRPr="00DB06A9" w:rsidRDefault="00DB06A9" w:rsidP="00DB06A9">
      <w:pPr>
        <w:pStyle w:val="ONUMFS"/>
        <w:rPr>
          <w:lang w:val="es-419"/>
        </w:rPr>
      </w:pPr>
      <w:r w:rsidRPr="00DB06A9">
        <w:rPr>
          <w:lang w:val="es-419"/>
        </w:rPr>
        <w:t>En su décima sesión, celebrada en 2022, el CWS examinó y aprobó el plan de trabajo actualizado del Equipo Técnico de la Parte 7, que se reproduce en el cuadro siguiente (véase el párrafo 112 del documento CWS/10/22).</w:t>
      </w:r>
    </w:p>
    <w:tbl>
      <w:tblPr>
        <w:tblStyle w:val="TableGrid"/>
        <w:tblpPr w:leftFromText="180" w:rightFromText="180" w:vertAnchor="tex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42"/>
        <w:gridCol w:w="4529"/>
        <w:gridCol w:w="1439"/>
        <w:gridCol w:w="1825"/>
      </w:tblGrid>
      <w:tr w:rsidR="00DB06A9" w:rsidRPr="00DB06A9" w14:paraId="671932EA" w14:textId="77777777" w:rsidTr="00A323EB">
        <w:trPr>
          <w:trHeight w:val="20"/>
        </w:trPr>
        <w:tc>
          <w:tcPr>
            <w:tcW w:w="830" w:type="pct"/>
            <w:tcBorders>
              <w:top w:val="single" w:sz="8" w:space="0" w:color="auto"/>
              <w:left w:val="single" w:sz="8" w:space="0" w:color="auto"/>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70AAB121" w14:textId="77777777" w:rsidR="00DB06A9" w:rsidRPr="00DB06A9" w:rsidRDefault="00DB06A9" w:rsidP="00A8402E">
            <w:pPr>
              <w:spacing w:before="20" w:after="20"/>
              <w:rPr>
                <w:kern w:val="2"/>
                <w:szCs w:val="22"/>
                <w:lang w:val="es-419"/>
                <w14:ligatures w14:val="standardContextual"/>
              </w:rPr>
            </w:pPr>
            <w:r w:rsidRPr="00DB06A9">
              <w:rPr>
                <w:b/>
                <w:color w:val="000000"/>
                <w:lang w:val="es-419"/>
              </w:rPr>
              <w:lastRenderedPageBreak/>
              <w:t>Sección</w:t>
            </w:r>
          </w:p>
        </w:tc>
        <w:tc>
          <w:tcPr>
            <w:tcW w:w="2430"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5F5A391F" w14:textId="77777777" w:rsidR="00DB06A9" w:rsidRPr="00DB06A9" w:rsidRDefault="00DB06A9" w:rsidP="00A8402E">
            <w:pPr>
              <w:spacing w:before="20" w:after="20"/>
              <w:rPr>
                <w:lang w:val="es-419"/>
              </w:rPr>
            </w:pPr>
            <w:r w:rsidRPr="00DB06A9">
              <w:rPr>
                <w:b/>
                <w:color w:val="000000"/>
                <w:lang w:val="es-419"/>
              </w:rPr>
              <w:t>Tema</w:t>
            </w:r>
          </w:p>
        </w:tc>
        <w:tc>
          <w:tcPr>
            <w:tcW w:w="759"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234E371A" w14:textId="77777777" w:rsidR="00DB06A9" w:rsidRPr="00DB06A9" w:rsidRDefault="00DB06A9" w:rsidP="00A8402E">
            <w:pPr>
              <w:spacing w:before="20" w:after="20"/>
              <w:rPr>
                <w:lang w:val="es-419"/>
              </w:rPr>
            </w:pPr>
            <w:r w:rsidRPr="00DB06A9">
              <w:rPr>
                <w:b/>
                <w:color w:val="000000"/>
                <w:lang w:val="es-419"/>
              </w:rPr>
              <w:t>Última publicación</w:t>
            </w:r>
          </w:p>
        </w:tc>
        <w:tc>
          <w:tcPr>
            <w:tcW w:w="981" w:type="pct"/>
            <w:tcBorders>
              <w:top w:val="single" w:sz="8" w:space="0" w:color="auto"/>
              <w:left w:val="nil"/>
              <w:bottom w:val="single" w:sz="8" w:space="0" w:color="auto"/>
              <w:right w:val="single" w:sz="8" w:space="0" w:color="auto"/>
            </w:tcBorders>
            <w:shd w:val="clear" w:color="auto" w:fill="D9D9D9"/>
            <w:tcMar>
              <w:top w:w="57" w:type="dxa"/>
              <w:left w:w="108" w:type="dxa"/>
              <w:bottom w:w="57" w:type="dxa"/>
              <w:right w:w="108" w:type="dxa"/>
            </w:tcMar>
            <w:vAlign w:val="center"/>
            <w:hideMark/>
          </w:tcPr>
          <w:p w14:paraId="0AA495F3" w14:textId="77777777" w:rsidR="00DB06A9" w:rsidRPr="00DB06A9" w:rsidRDefault="00DB06A9" w:rsidP="00A8402E">
            <w:pPr>
              <w:spacing w:before="20" w:after="20"/>
              <w:rPr>
                <w:lang w:val="es-419"/>
              </w:rPr>
            </w:pPr>
            <w:r w:rsidRPr="00DB06A9">
              <w:rPr>
                <w:b/>
                <w:color w:val="000000"/>
                <w:lang w:val="es-419"/>
              </w:rPr>
              <w:t>Estado</w:t>
            </w:r>
          </w:p>
        </w:tc>
      </w:tr>
      <w:tr w:rsidR="00DB06A9" w:rsidRPr="00DB06A9" w14:paraId="52E73E34" w14:textId="77777777" w:rsidTr="00A323EB">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4CC31838" w14:textId="77777777" w:rsidR="00DB06A9" w:rsidRPr="00DB06A9" w:rsidRDefault="00DB06A9" w:rsidP="00A8402E">
            <w:pPr>
              <w:spacing w:before="20" w:after="20"/>
              <w:rPr>
                <w:lang w:val="es-419"/>
              </w:rPr>
            </w:pPr>
            <w:r w:rsidRPr="00DB06A9">
              <w:rPr>
                <w:lang w:val="es-419"/>
              </w:rPr>
              <w:t>Parte 7.9</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7384F4AE" w14:textId="77777777" w:rsidR="00DB06A9" w:rsidRPr="00DB06A9" w:rsidRDefault="00DB06A9" w:rsidP="00A8402E">
            <w:pPr>
              <w:spacing w:before="20" w:after="20"/>
              <w:rPr>
                <w:lang w:val="es-419"/>
              </w:rPr>
            </w:pPr>
            <w:r w:rsidRPr="00DB06A9">
              <w:rPr>
                <w:lang w:val="es-419"/>
              </w:rPr>
              <w:t>Prácticas en materia de citas</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4EABBD55" w14:textId="77777777" w:rsidR="00DB06A9" w:rsidRPr="00DB06A9" w:rsidRDefault="00DB06A9" w:rsidP="00A8402E">
            <w:pPr>
              <w:spacing w:before="20" w:after="20"/>
              <w:rPr>
                <w:lang w:val="es-419"/>
              </w:rPr>
            </w:pPr>
            <w:r w:rsidRPr="00DB06A9">
              <w:rPr>
                <w:lang w:val="es-419"/>
              </w:rPr>
              <w:t>2008</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2D8B451D" w14:textId="77777777" w:rsidR="00DB06A9" w:rsidRPr="00DB06A9" w:rsidRDefault="00DB06A9" w:rsidP="00A8402E">
            <w:pPr>
              <w:spacing w:before="20" w:after="20"/>
              <w:rPr>
                <w:lang w:val="es-419"/>
              </w:rPr>
            </w:pPr>
            <w:r w:rsidRPr="00DB06A9">
              <w:rPr>
                <w:lang w:val="es-419"/>
              </w:rPr>
              <w:t>Actualización en 2023</w:t>
            </w:r>
          </w:p>
        </w:tc>
      </w:tr>
      <w:tr w:rsidR="00DB06A9" w:rsidRPr="00DB06A9" w14:paraId="1A9FCC56" w14:textId="77777777" w:rsidTr="00A323EB">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0C4A3479" w14:textId="77777777" w:rsidR="00DB06A9" w:rsidRPr="00DB06A9" w:rsidRDefault="00DB06A9" w:rsidP="00A8402E">
            <w:pPr>
              <w:spacing w:before="20" w:after="20"/>
              <w:rPr>
                <w:lang w:val="es-419"/>
              </w:rPr>
            </w:pPr>
            <w:r w:rsidRPr="00DB06A9">
              <w:rPr>
                <w:lang w:val="es-419"/>
              </w:rPr>
              <w:t>Parte 7.6</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15CBC8CC" w14:textId="77777777" w:rsidR="00DB06A9" w:rsidRPr="00DB06A9" w:rsidRDefault="00DB06A9" w:rsidP="00A8402E">
            <w:pPr>
              <w:spacing w:before="20" w:after="20"/>
              <w:rPr>
                <w:lang w:val="es-419"/>
              </w:rPr>
            </w:pPr>
            <w:r w:rsidRPr="00DB06A9">
              <w:rPr>
                <w:lang w:val="es-419"/>
              </w:rPr>
              <w:t>Información bibliográfica en boletines de patentes</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45E2EE7C" w14:textId="77777777" w:rsidR="00DB06A9" w:rsidRPr="00DB06A9" w:rsidRDefault="00DB06A9" w:rsidP="00A8402E">
            <w:pPr>
              <w:spacing w:before="20" w:after="20"/>
              <w:rPr>
                <w:lang w:val="es-419"/>
              </w:rPr>
            </w:pPr>
            <w:r w:rsidRPr="00DB06A9">
              <w:rPr>
                <w:lang w:val="es-419"/>
              </w:rPr>
              <w:t>1990</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2DE3E39D" w14:textId="77777777" w:rsidR="00DB06A9" w:rsidRPr="00DB06A9" w:rsidRDefault="00DB06A9" w:rsidP="00A8402E">
            <w:pPr>
              <w:spacing w:before="20" w:after="20"/>
              <w:rPr>
                <w:lang w:val="es-419"/>
              </w:rPr>
            </w:pPr>
            <w:r w:rsidRPr="00DB06A9">
              <w:rPr>
                <w:lang w:val="es-419"/>
              </w:rPr>
              <w:t>Actualización en 2023</w:t>
            </w:r>
          </w:p>
        </w:tc>
      </w:tr>
      <w:tr w:rsidR="00DB06A9" w:rsidRPr="00DB06A9" w14:paraId="60E179AD" w14:textId="77777777" w:rsidTr="00A323EB">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7F6ED1F6" w14:textId="77777777" w:rsidR="00DB06A9" w:rsidRPr="00DB06A9" w:rsidRDefault="00DB06A9" w:rsidP="00A8402E">
            <w:pPr>
              <w:spacing w:before="20" w:after="20"/>
              <w:rPr>
                <w:lang w:val="es-419"/>
              </w:rPr>
            </w:pPr>
            <w:r w:rsidRPr="00DB06A9">
              <w:rPr>
                <w:lang w:val="es-419"/>
              </w:rPr>
              <w:t>Partes 7.2.6 y 7.2.7</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5979B896" w14:textId="77777777" w:rsidR="00DB06A9" w:rsidRPr="00DB06A9" w:rsidRDefault="00DB06A9" w:rsidP="00A8402E">
            <w:pPr>
              <w:spacing w:before="20" w:after="20"/>
              <w:rPr>
                <w:lang w:val="es-419"/>
              </w:rPr>
            </w:pPr>
            <w:r w:rsidRPr="00DB06A9">
              <w:rPr>
                <w:lang w:val="es-419"/>
              </w:rPr>
              <w:t>Numeración de solicitudes: prácticas vigentes y anteriores</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2DAB33D3" w14:textId="77777777" w:rsidR="00DB06A9" w:rsidRPr="00DB06A9" w:rsidRDefault="00DB06A9" w:rsidP="00A8402E">
            <w:pPr>
              <w:spacing w:before="20" w:after="20"/>
              <w:rPr>
                <w:lang w:val="es-419"/>
              </w:rPr>
            </w:pPr>
            <w:r w:rsidRPr="00DB06A9">
              <w:rPr>
                <w:lang w:val="es-419"/>
              </w:rPr>
              <w:t>2017</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1BEFFD9F" w14:textId="77777777" w:rsidR="00DB06A9" w:rsidRPr="00DB06A9" w:rsidRDefault="00DB06A9" w:rsidP="00A8402E">
            <w:pPr>
              <w:spacing w:before="20" w:after="20"/>
              <w:rPr>
                <w:lang w:val="es-419"/>
              </w:rPr>
            </w:pPr>
            <w:r w:rsidRPr="00DB06A9">
              <w:rPr>
                <w:lang w:val="es-419"/>
              </w:rPr>
              <w:t>Actualización en 2024</w:t>
            </w:r>
          </w:p>
        </w:tc>
      </w:tr>
      <w:tr w:rsidR="00DB06A9" w:rsidRPr="00DB06A9" w14:paraId="054897B1" w14:textId="77777777" w:rsidTr="00A323EB">
        <w:trPr>
          <w:trHeight w:val="20"/>
        </w:trPr>
        <w:tc>
          <w:tcPr>
            <w:tcW w:w="830" w:type="pct"/>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hideMark/>
          </w:tcPr>
          <w:p w14:paraId="4505D589" w14:textId="77777777" w:rsidR="00DB06A9" w:rsidRPr="00DB06A9" w:rsidRDefault="00DB06A9" w:rsidP="00A8402E">
            <w:pPr>
              <w:spacing w:before="20" w:after="20"/>
              <w:rPr>
                <w:lang w:val="es-419"/>
              </w:rPr>
            </w:pPr>
            <w:r w:rsidRPr="00DB06A9">
              <w:rPr>
                <w:lang w:val="es-419"/>
              </w:rPr>
              <w:t>Parte 7.3</w:t>
            </w:r>
          </w:p>
        </w:tc>
        <w:tc>
          <w:tcPr>
            <w:tcW w:w="2430"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BDDD3FF" w14:textId="77777777" w:rsidR="00DB06A9" w:rsidRPr="00DB06A9" w:rsidRDefault="00DB06A9" w:rsidP="00A8402E">
            <w:pPr>
              <w:spacing w:before="20" w:after="20"/>
              <w:rPr>
                <w:lang w:val="es-419"/>
              </w:rPr>
            </w:pPr>
            <w:r w:rsidRPr="00DB06A9">
              <w:rPr>
                <w:lang w:val="es-419"/>
              </w:rPr>
              <w:t>Ejemplos y tipos de documentos de patente</w:t>
            </w:r>
          </w:p>
        </w:tc>
        <w:tc>
          <w:tcPr>
            <w:tcW w:w="759"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581A8E57" w14:textId="77777777" w:rsidR="00DB06A9" w:rsidRPr="00DB06A9" w:rsidRDefault="00DB06A9" w:rsidP="00A8402E">
            <w:pPr>
              <w:spacing w:before="20" w:after="20"/>
              <w:rPr>
                <w:lang w:val="es-419"/>
              </w:rPr>
            </w:pPr>
            <w:r w:rsidRPr="00DB06A9">
              <w:rPr>
                <w:lang w:val="es-419"/>
              </w:rPr>
              <w:t>2016</w:t>
            </w:r>
          </w:p>
        </w:tc>
        <w:tc>
          <w:tcPr>
            <w:tcW w:w="981" w:type="pct"/>
            <w:tcBorders>
              <w:top w:val="nil"/>
              <w:left w:val="nil"/>
              <w:bottom w:val="single" w:sz="8" w:space="0" w:color="auto"/>
              <w:right w:val="single" w:sz="8" w:space="0" w:color="auto"/>
            </w:tcBorders>
            <w:tcMar>
              <w:top w:w="57" w:type="dxa"/>
              <w:left w:w="108" w:type="dxa"/>
              <w:bottom w:w="57" w:type="dxa"/>
              <w:right w:w="108" w:type="dxa"/>
            </w:tcMar>
            <w:vAlign w:val="center"/>
            <w:hideMark/>
          </w:tcPr>
          <w:p w14:paraId="0DD37BFF" w14:textId="77777777" w:rsidR="00DB06A9" w:rsidRPr="00DB06A9" w:rsidRDefault="00DB06A9" w:rsidP="00A8402E">
            <w:pPr>
              <w:spacing w:before="20" w:after="20"/>
              <w:rPr>
                <w:lang w:val="es-419"/>
              </w:rPr>
            </w:pPr>
            <w:r w:rsidRPr="00DB06A9">
              <w:rPr>
                <w:lang w:val="es-419"/>
              </w:rPr>
              <w:t>Actualización en 2025</w:t>
            </w:r>
          </w:p>
        </w:tc>
      </w:tr>
    </w:tbl>
    <w:p w14:paraId="4CF021AA" w14:textId="77777777" w:rsidR="00DB06A9" w:rsidRPr="00DB06A9" w:rsidRDefault="00DB06A9" w:rsidP="00DB06A9">
      <w:pPr>
        <w:rPr>
          <w:lang w:val="es-419"/>
        </w:rPr>
      </w:pPr>
    </w:p>
    <w:p w14:paraId="334851B9" w14:textId="594AAAAE" w:rsidR="00DB06A9" w:rsidRPr="00DB06A9" w:rsidRDefault="00DB06A9" w:rsidP="00DB06A9">
      <w:pPr>
        <w:pStyle w:val="ONUMFS"/>
        <w:rPr>
          <w:lang w:val="es-419"/>
        </w:rPr>
      </w:pPr>
      <w:r w:rsidRPr="00DB06A9">
        <w:rPr>
          <w:lang w:val="es-419"/>
        </w:rPr>
        <w:t>El CWS tomó nota de que las dos encuestas previstas para actualizar las partes 7.6 y 7.9 del Manual de la OMPI se realizarían mediante el procedimiento simplificado aprobado en su novena sesión. Con arreglo a ese procedimiento, los resultados se recopilarían y se publicarían sin presentar el cuestionario o los resultados en bruto al CWS para su aprobación. En cambio, el análisis de los resultados de la encuesta se sometería a consideración y aprobación del CWS (véase el párrafo 114 del documento CWS/9/25). Se informará al CWS de los resultados publicados en su siguiente sesión.</w:t>
      </w:r>
    </w:p>
    <w:p w14:paraId="7873ED50" w14:textId="53DAF0DB" w:rsidR="00DB06A9" w:rsidRPr="00DB06A9" w:rsidRDefault="00DB06A9" w:rsidP="00DB06A9">
      <w:pPr>
        <w:pStyle w:val="ONUMFS"/>
        <w:rPr>
          <w:lang w:val="es-419"/>
        </w:rPr>
      </w:pPr>
      <w:r w:rsidRPr="00DB06A9">
        <w:rPr>
          <w:lang w:val="es-419"/>
        </w:rPr>
        <w:t xml:space="preserve">En su undécima sesión, celebrada en 2023, el CWS aprobó la descripción revisada de la Tarea N.º 50, a saber: </w:t>
      </w:r>
    </w:p>
    <w:p w14:paraId="1263FE5E" w14:textId="77777777" w:rsidR="00DB06A9" w:rsidRPr="00DB06A9" w:rsidRDefault="00DB06A9" w:rsidP="00DB06A9">
      <w:pPr>
        <w:spacing w:after="220"/>
        <w:ind w:firstLine="567"/>
        <w:rPr>
          <w:lang w:val="es-419"/>
        </w:rPr>
      </w:pPr>
      <w:r w:rsidRPr="00DB06A9">
        <w:rPr>
          <w:i/>
          <w:lang w:val="es-419"/>
        </w:rPr>
        <w:t>“Velar por el mantenimiento y la actualización necesarios de los estudios publicados en la Parte 7 del Manual de la OMPI de información y documentación en materia de propiedad intelectual.”</w:t>
      </w:r>
    </w:p>
    <w:p w14:paraId="212209A2" w14:textId="4C092B47" w:rsidR="00DB06A9" w:rsidRPr="00DB06A9" w:rsidRDefault="00DB06A9" w:rsidP="00DB06A9">
      <w:pPr>
        <w:pStyle w:val="ONUMFS"/>
        <w:rPr>
          <w:lang w:val="es-419"/>
        </w:rPr>
      </w:pPr>
      <w:r w:rsidRPr="00DB06A9">
        <w:rPr>
          <w:lang w:val="es-419"/>
        </w:rPr>
        <w:t>En la misma sesión, el CWS acordó aplazar los debates sobre la revisión de las Normas ST.11 y ST.19 de la OMPI. En consecuencia, aplazó asimismo la encuesta sobre la actualización de la Parte 7.6 del Manual de la OMPI. También se aplazó la encuesta sobre prácticas en materia de citas, destinada a servir de apoyo a la actualización de la Parte 7.9.</w:t>
      </w:r>
    </w:p>
    <w:p w14:paraId="31D84925" w14:textId="7DC57228" w:rsidR="00DB06A9" w:rsidRPr="00DB06A9" w:rsidRDefault="00DB06A9" w:rsidP="00DB06A9">
      <w:pPr>
        <w:pStyle w:val="ONUMFS"/>
        <w:rPr>
          <w:lang w:val="es-419"/>
        </w:rPr>
      </w:pPr>
      <w:r w:rsidRPr="00DB06A9">
        <w:rPr>
          <w:lang w:val="es-419"/>
        </w:rPr>
        <w:t>En su duodécima sesión, celebrada en 2024, el CWS tomó nota de que el Equipo Técnico de la Parte 7 prepararía una propuesta para revisar la Parte 7.3 del Manual de la OMPI para presentarla en la decimotercera sesión. El CWS aprobó asimismo la realización de una encuesta para informar sobre las actualizaciones de la Parte 7.2.6 y la Parte 7.2.7 del Manual de la OMPI en 2025 y pidió que el Equipo Técnico de la Parte 7 informe de los resultados de la encuesta en la decimotercera sesión del Comité. (Véanse los párrafos 43 y 44 del documento CWS/12/29).</w:t>
      </w:r>
    </w:p>
    <w:p w14:paraId="517ADA3F" w14:textId="43F978AC" w:rsidR="00DB06A9" w:rsidRPr="00DB06A9" w:rsidRDefault="00DB06A9" w:rsidP="00DB06A9">
      <w:pPr>
        <w:pStyle w:val="ONUMFS"/>
        <w:rPr>
          <w:lang w:val="es-419"/>
        </w:rPr>
      </w:pPr>
      <w:r w:rsidRPr="00DB06A9">
        <w:rPr>
          <w:lang w:val="es-419"/>
        </w:rPr>
        <w:t xml:space="preserve">En su decimotercera sesión, celebrada en 2025, el CWS solicitó a sus miembros que verificaran la información relativa a sus prácticas actuales y anteriores en materia de solicitudes y números de prioridad, que se publican en los Anexos I y II del documento </w:t>
      </w:r>
      <w:hyperlink r:id="rId12">
        <w:r w:rsidRPr="00DB06A9">
          <w:rPr>
            <w:rStyle w:val="Hyperlink"/>
            <w:lang w:val="es-419"/>
          </w:rPr>
          <w:t>CWS/13/5-INF</w:t>
        </w:r>
      </w:hyperlink>
      <w:r w:rsidRPr="00DB06A9">
        <w:rPr>
          <w:lang w:val="es-419"/>
        </w:rPr>
        <w:t>, y que presentaran a la Secretaría las correcciones o actualizaciones necesarias antes del 21 de noviembre de 2025. El CWS pidió además que la Secretaría recopile y publique la información actualizada en las Partes 7.2.6 y 7.2.7 del Manual de la OMPI tras esa fecha. (Véanse los párrafos 32 y 33 del documento CWS/13/33).</w:t>
      </w:r>
    </w:p>
    <w:p w14:paraId="71137980" w14:textId="7A599A65" w:rsidR="00DB06A9" w:rsidRPr="00DB06A9" w:rsidRDefault="00DB06A9" w:rsidP="00DB06A9">
      <w:pPr>
        <w:pStyle w:val="ONUMFS"/>
        <w:rPr>
          <w:lang w:val="es-419"/>
        </w:rPr>
      </w:pPr>
      <w:r w:rsidRPr="00DB06A9">
        <w:rPr>
          <w:lang w:val="es-419"/>
        </w:rPr>
        <w:t xml:space="preserve">En la misma sesión, el CWS aprobó un enfoque híbrido para actualizar la Parte 7.3 del Manual de la OMPI, que combina encuestas periódicas con aportaciones puntuales de las oficinas de propiedad intelectual (PI) siempre que sea necesario realizar actualizaciones. El CWS aprobó la plantilla revisada con tal fin y pidió a la Secretaría que actualizara la Parte 7.3 en consecuencia. Asimismo, aprobó la ampliación del enfoque híbrido a las partes 7.1, 7.2 </w:t>
      </w:r>
      <w:r w:rsidRPr="00DB06A9">
        <w:rPr>
          <w:lang w:val="es-419"/>
        </w:rPr>
        <w:lastRenderedPageBreak/>
        <w:t>y 7.6 del Manual de la OMPI y pidió a la Secretaría que elaborara las plantillas correspondientes para recopilar la información necesaria para dichas partes. (Véanse los párrafos 36 y 37 del documento CWS/13/33).</w:t>
      </w:r>
    </w:p>
    <w:p w14:paraId="132922CE" w14:textId="0CEFCB86" w:rsidR="00DB06A9" w:rsidRPr="00DB06A9" w:rsidRDefault="00DB06A9" w:rsidP="00DB06A9">
      <w:pPr>
        <w:pStyle w:val="ONUMFS"/>
        <w:rPr>
          <w:lang w:val="es-419"/>
        </w:rPr>
      </w:pPr>
      <w:r w:rsidRPr="00DB06A9">
        <w:rPr>
          <w:lang w:val="es-419"/>
        </w:rPr>
        <w:t>En su decimotercera sesión, el CWS aprobó asimismo el cuestionario revisado de la encuesta sobre prácticas en materia de citas y pidió a la Secretaría que emitiera una circular invitando a las oficinas de Propiedad Intelectual (PI) a responderla. Los resultados de la encuesta servirán para actualizar la Parte 7.9 del Manual de la OMPI. (Véanse los párrafos 39 y 40 del documento CWS/13/33).</w:t>
      </w:r>
    </w:p>
    <w:p w14:paraId="2C2903B1" w14:textId="77777777" w:rsidR="00DB06A9" w:rsidRPr="00DB06A9" w:rsidRDefault="00DB06A9" w:rsidP="00DB06A9">
      <w:pPr>
        <w:pStyle w:val="Heading2"/>
        <w:rPr>
          <w:lang w:val="es-419"/>
        </w:rPr>
      </w:pPr>
      <w:r w:rsidRPr="00DB06A9">
        <w:rPr>
          <w:lang w:val="es-419"/>
        </w:rPr>
        <w:t>INFORME DE SITUACIÓN SOBRE LA TAREA N.º 50</w:t>
      </w:r>
    </w:p>
    <w:p w14:paraId="3C7F6263" w14:textId="77777777" w:rsidR="00DB06A9" w:rsidRPr="00DB06A9" w:rsidRDefault="00DB06A9" w:rsidP="00DB06A9">
      <w:pPr>
        <w:pStyle w:val="Heading3"/>
        <w:rPr>
          <w:lang w:val="es-419"/>
        </w:rPr>
      </w:pPr>
      <w:r w:rsidRPr="00DB06A9">
        <w:rPr>
          <w:lang w:val="es-419"/>
        </w:rPr>
        <w:t>Objetivos</w:t>
      </w:r>
    </w:p>
    <w:p w14:paraId="7DEE3592" w14:textId="7D321446" w:rsidR="00DB06A9" w:rsidRPr="00DB06A9" w:rsidRDefault="00DB06A9" w:rsidP="00DB06A9">
      <w:pPr>
        <w:pStyle w:val="ONUMFS"/>
        <w:rPr>
          <w:lang w:val="es-419"/>
        </w:rPr>
      </w:pPr>
      <w:r w:rsidRPr="00DB06A9">
        <w:rPr>
          <w:lang w:val="es-419"/>
        </w:rPr>
        <w:t>El objetivo del Equipo Técnico de la Parte 7 es mantener y actualizar las encuestas publicadas en la Parte 7 del Manual de la OMPI.</w:t>
      </w:r>
    </w:p>
    <w:p w14:paraId="368A186D" w14:textId="77777777" w:rsidR="00DB06A9" w:rsidRPr="00DB06A9" w:rsidRDefault="00DB06A9" w:rsidP="00DB06A9">
      <w:pPr>
        <w:pStyle w:val="Heading3"/>
        <w:rPr>
          <w:lang w:val="es-419"/>
        </w:rPr>
      </w:pPr>
      <w:r w:rsidRPr="00DB06A9">
        <w:rPr>
          <w:lang w:val="es-419"/>
        </w:rPr>
        <w:t>Posibles dificultades o dependencias</w:t>
      </w:r>
    </w:p>
    <w:p w14:paraId="6AD7E722" w14:textId="1E546C91" w:rsidR="00DB06A9" w:rsidRPr="00DB06A9" w:rsidRDefault="00DB06A9" w:rsidP="00DB06A9">
      <w:pPr>
        <w:pStyle w:val="ONUMFS"/>
        <w:rPr>
          <w:lang w:val="es-419"/>
        </w:rPr>
      </w:pPr>
      <w:r w:rsidRPr="00DB06A9">
        <w:rPr>
          <w:lang w:val="es-419"/>
        </w:rPr>
        <w:t>El Equipo Técnico ha reconocido varias dificultades y dependencias que pueden afectar a su capacidad para llevar a cabo su labor:</w:t>
      </w:r>
    </w:p>
    <w:p w14:paraId="77CB05E0" w14:textId="77777777" w:rsidR="00DB06A9" w:rsidRPr="00DB06A9" w:rsidRDefault="00DB06A9" w:rsidP="00DB06A9">
      <w:pPr>
        <w:pStyle w:val="ListParagraph"/>
        <w:numPr>
          <w:ilvl w:val="0"/>
          <w:numId w:val="7"/>
        </w:numPr>
        <w:spacing w:after="220"/>
        <w:ind w:left="1134" w:hanging="567"/>
        <w:contextualSpacing w:val="0"/>
        <w:rPr>
          <w:lang w:val="es-419"/>
        </w:rPr>
      </w:pPr>
      <w:r w:rsidRPr="00DB06A9">
        <w:rPr>
          <w:lang w:val="es-419"/>
        </w:rPr>
        <w:t>la participación en esta tarea ha sido limitada, posiblemente porque algunas oficinas de PI le otorgan una prioridad menor. Esto podrá reducir la diversidad de comentarios y retrasar los avances en las actividades conexas; y</w:t>
      </w:r>
    </w:p>
    <w:p w14:paraId="42AD4C66" w14:textId="77777777" w:rsidR="00DB06A9" w:rsidRPr="00DB06A9" w:rsidRDefault="00DB06A9" w:rsidP="00DB06A9">
      <w:pPr>
        <w:pStyle w:val="ListParagraph"/>
        <w:numPr>
          <w:ilvl w:val="0"/>
          <w:numId w:val="7"/>
        </w:numPr>
        <w:spacing w:after="220"/>
        <w:ind w:left="1134" w:hanging="567"/>
        <w:contextualSpacing w:val="0"/>
        <w:rPr>
          <w:lang w:val="es-419"/>
        </w:rPr>
      </w:pPr>
      <w:r w:rsidRPr="00DB06A9">
        <w:rPr>
          <w:lang w:val="es-419"/>
        </w:rPr>
        <w:t>la calidad y representatividad de los resultados de la encuesta dependen de que haya suficientes respuestas de las oficinas de PI y de que sean pertinentes. Un índice bajo de respuestas podría limitar el valor de los datos recopilados.</w:t>
      </w:r>
    </w:p>
    <w:p w14:paraId="0D58BFCC" w14:textId="77777777" w:rsidR="00DB06A9" w:rsidRPr="00DB06A9" w:rsidRDefault="00DB06A9" w:rsidP="00DB06A9">
      <w:pPr>
        <w:pStyle w:val="Heading3"/>
        <w:rPr>
          <w:lang w:val="es-419"/>
        </w:rPr>
      </w:pPr>
      <w:r w:rsidRPr="00DB06A9">
        <w:rPr>
          <w:lang w:val="es-419"/>
        </w:rPr>
        <w:t>Evaluación del progreso</w:t>
      </w:r>
    </w:p>
    <w:p w14:paraId="20C2A750" w14:textId="4EA353B4" w:rsidR="00DB06A9" w:rsidRPr="00DB06A9" w:rsidRDefault="00DB06A9" w:rsidP="00DB06A9">
      <w:pPr>
        <w:pStyle w:val="ONUMFS"/>
        <w:rPr>
          <w:lang w:val="es-419"/>
        </w:rPr>
      </w:pPr>
      <w:r w:rsidRPr="00DB06A9">
        <w:rPr>
          <w:lang w:val="es-419"/>
        </w:rPr>
        <w:t xml:space="preserve">Desde la última sesión del CWS, el Equipo Técnico de la Parte 7 celebró una reunión el 3 de junio de 2026 y prosiguió con su labor, centrándose en los siguientes puntos: </w:t>
      </w:r>
    </w:p>
    <w:p w14:paraId="6699765C" w14:textId="77777777" w:rsidR="00DB06A9" w:rsidRPr="00DB06A9" w:rsidRDefault="00DB06A9" w:rsidP="00DB06A9">
      <w:pPr>
        <w:pStyle w:val="ListParagraph"/>
        <w:numPr>
          <w:ilvl w:val="0"/>
          <w:numId w:val="8"/>
        </w:numPr>
        <w:spacing w:after="220"/>
        <w:ind w:left="1134" w:hanging="567"/>
        <w:contextualSpacing w:val="0"/>
        <w:rPr>
          <w:lang w:val="es-419"/>
        </w:rPr>
      </w:pPr>
      <w:r w:rsidRPr="00DB06A9">
        <w:rPr>
          <w:lang w:val="es-419"/>
        </w:rPr>
        <w:t xml:space="preserve">examen de los resultados de la encuesta relativa a las prácticas en materia de citas en las oficinas de PI; </w:t>
      </w:r>
    </w:p>
    <w:p w14:paraId="285EA082" w14:textId="77777777" w:rsidR="00DB06A9" w:rsidRPr="00DB06A9" w:rsidRDefault="00DB06A9" w:rsidP="00DB06A9">
      <w:pPr>
        <w:pStyle w:val="ListParagraph"/>
        <w:numPr>
          <w:ilvl w:val="0"/>
          <w:numId w:val="8"/>
        </w:numPr>
        <w:spacing w:after="220"/>
        <w:ind w:left="1134" w:hanging="567"/>
        <w:contextualSpacing w:val="0"/>
        <w:rPr>
          <w:lang w:val="es-419"/>
        </w:rPr>
      </w:pPr>
      <w:r w:rsidRPr="00DB06A9">
        <w:rPr>
          <w:lang w:val="es-419"/>
        </w:rPr>
        <w:t>examen de la actualización de la Parte 7.3 del Manual de la OMPI, relativa a los ejemplos y tipos de documentos de patente; y</w:t>
      </w:r>
    </w:p>
    <w:p w14:paraId="51406315" w14:textId="77777777" w:rsidR="00DB06A9" w:rsidRPr="00DB06A9" w:rsidRDefault="00DB06A9" w:rsidP="00DB06A9">
      <w:pPr>
        <w:pStyle w:val="ListParagraph"/>
        <w:numPr>
          <w:ilvl w:val="0"/>
          <w:numId w:val="8"/>
        </w:numPr>
        <w:spacing w:after="220"/>
        <w:ind w:left="1134" w:hanging="567"/>
        <w:contextualSpacing w:val="0"/>
        <w:rPr>
          <w:lang w:val="es-419"/>
        </w:rPr>
      </w:pPr>
      <w:r w:rsidRPr="00DB06A9">
        <w:rPr>
          <w:lang w:val="es-419"/>
        </w:rPr>
        <w:t>examen de las plantillas para la aplicación del enfoque híbrido en la actualización de las partes 7.1, 7.2 y 7.6 del Manual de la OMPI.</w:t>
      </w:r>
    </w:p>
    <w:p w14:paraId="2E25FDE3" w14:textId="77777777" w:rsidR="00DB06A9" w:rsidRPr="00DB06A9" w:rsidRDefault="00DB06A9" w:rsidP="00DB06A9">
      <w:pPr>
        <w:pStyle w:val="Heading4"/>
        <w:rPr>
          <w:lang w:val="es-419"/>
        </w:rPr>
      </w:pPr>
      <w:r w:rsidRPr="00DB06A9">
        <w:rPr>
          <w:lang w:val="es-419"/>
        </w:rPr>
        <w:t>Encuesta sobre las prácticas en materia de citas de las oficinas de propiedad intelectual</w:t>
      </w:r>
    </w:p>
    <w:p w14:paraId="0289BE77" w14:textId="46D48B48" w:rsidR="00DB06A9" w:rsidRPr="00DB06A9" w:rsidRDefault="00DB06A9" w:rsidP="00DB06A9">
      <w:pPr>
        <w:pStyle w:val="ONUMFS"/>
        <w:rPr>
          <w:lang w:val="es-419"/>
        </w:rPr>
      </w:pPr>
      <w:r w:rsidRPr="00DB06A9">
        <w:rPr>
          <w:lang w:val="es-419"/>
        </w:rPr>
        <w:t xml:space="preserve">A raíz de la decisión del CWS, la Secretaría publicó en marzo de 2026 la circular </w:t>
      </w:r>
      <w:hyperlink r:id="rId13" w:history="1">
        <w:r w:rsidRPr="00DB06A9">
          <w:rPr>
            <w:rStyle w:val="Hyperlink"/>
            <w:lang w:val="es-419"/>
          </w:rPr>
          <w:t>C.CWS 205</w:t>
        </w:r>
      </w:hyperlink>
      <w:r w:rsidRPr="00DB06A9">
        <w:rPr>
          <w:lang w:val="es-419"/>
        </w:rPr>
        <w:t xml:space="preserve">, en la que invitaba a las oficinas de PI a participar en la </w:t>
      </w:r>
      <w:r w:rsidRPr="00DB06A9">
        <w:rPr>
          <w:i/>
          <w:lang w:val="es-419"/>
        </w:rPr>
        <w:t>encuesta sobre las prácticas en materia de citas de las oficinas de propiedad intelectual</w:t>
      </w:r>
      <w:r w:rsidRPr="00DB06A9">
        <w:rPr>
          <w:lang w:val="es-419"/>
        </w:rPr>
        <w:t>. La encuesta se llevó a cabo de marzo a junio de 2026 y se recibieron respuestas de 55 Oficinas; la Secretaría presentó los resultados preliminares al Equipo Técnico de la Parte 7.</w:t>
      </w:r>
    </w:p>
    <w:p w14:paraId="795C9C44" w14:textId="720D40AA" w:rsidR="00DB06A9" w:rsidRPr="00DB06A9" w:rsidRDefault="00DB06A9" w:rsidP="00DB06A9">
      <w:pPr>
        <w:pStyle w:val="ONUMFS"/>
        <w:rPr>
          <w:kern w:val="2"/>
          <w:szCs w:val="22"/>
          <w:lang w:val="es-419"/>
          <w14:ligatures w14:val="standardContextual"/>
        </w:rPr>
      </w:pPr>
      <w:r w:rsidRPr="00DB06A9">
        <w:rPr>
          <w:lang w:val="es-419"/>
        </w:rPr>
        <w:t>Los resultados de la encuesta pusieron de manifiesto el apoyo de las Oficinas encuestadas a la revisión de la Norma ST.14 de la OMPI con el fin de incluir orientaciones sobre cómo citar las traducciones automáticas. A la luz de estas conclusiones, la Secretaría propone la creación de una nueva tarea del CWS para revisar la Norma ST.14 de la OMPI. El documento CWS/14/20 presenta un análisis detallado de la encuesta, junto con la propuesta de establecer una nueva tarea del CWS.</w:t>
      </w:r>
    </w:p>
    <w:p w14:paraId="70E3D004" w14:textId="77777777" w:rsidR="00DB06A9" w:rsidRPr="00DB06A9" w:rsidRDefault="00DB06A9" w:rsidP="00DB06A9">
      <w:pPr>
        <w:pStyle w:val="Heading4"/>
        <w:rPr>
          <w:lang w:val="es-419"/>
        </w:rPr>
      </w:pPr>
      <w:r w:rsidRPr="00DB06A9">
        <w:rPr>
          <w:lang w:val="es-419"/>
        </w:rPr>
        <w:lastRenderedPageBreak/>
        <w:t>Actualización de la Parte 7.3 del Manual de la OMPI</w:t>
      </w:r>
    </w:p>
    <w:p w14:paraId="6EB02F33" w14:textId="344CE1D9" w:rsidR="00DB06A9" w:rsidRPr="00DB06A9" w:rsidRDefault="00DB06A9" w:rsidP="00DB06A9">
      <w:pPr>
        <w:pStyle w:val="ONUMFS"/>
        <w:rPr>
          <w:lang w:val="es-419"/>
        </w:rPr>
      </w:pPr>
      <w:r w:rsidRPr="00DB06A9">
        <w:rPr>
          <w:lang w:val="es-419"/>
        </w:rPr>
        <w:t xml:space="preserve">A raíz de la decisión del CWS, la Secretaría publicó en julio de 2026 una circular </w:t>
      </w:r>
      <w:hyperlink r:id="rId14" w:tgtFrame="_blank" w:history="1">
        <w:r w:rsidRPr="00DB06A9">
          <w:rPr>
            <w:rStyle w:val="Hyperlink"/>
            <w:lang w:val="es-419"/>
          </w:rPr>
          <w:t>C.CWS 214</w:t>
        </w:r>
      </w:hyperlink>
      <w:r w:rsidRPr="00DB06A9">
        <w:rPr>
          <w:lang w:val="es-419"/>
        </w:rPr>
        <w:t xml:space="preserve">, </w:t>
      </w:r>
      <w:r w:rsidRPr="00DB06A9">
        <w:rPr>
          <w:i/>
          <w:lang w:val="es-419"/>
        </w:rPr>
        <w:t>Actualización de la parte 7.3 del Manual de la OMPI</w:t>
      </w:r>
      <w:r w:rsidRPr="00DB06A9">
        <w:rPr>
          <w:lang w:val="es-419"/>
        </w:rPr>
        <w:t>, en la que invitaba a las oficinas de PI a presentar información actualizada para la Parte 7.3 utilizando la plantilla disponible. La encuesta se llevó a cabo de julio a agosto de 2026, y 18 de los encuestados enviaron información actualizada para su publicación en la Parte 7 del Manual de la OMPI.</w:t>
      </w:r>
    </w:p>
    <w:p w14:paraId="780F9A34" w14:textId="36F16D22" w:rsidR="00DB06A9" w:rsidRPr="00DB06A9" w:rsidRDefault="00DB06A9" w:rsidP="00DB06A9">
      <w:pPr>
        <w:pStyle w:val="ONUMFS"/>
        <w:rPr>
          <w:kern w:val="2"/>
          <w:szCs w:val="22"/>
          <w:lang w:val="es-419"/>
          <w14:ligatures w14:val="standardContextual"/>
        </w:rPr>
      </w:pPr>
      <w:r w:rsidRPr="00DB06A9">
        <w:rPr>
          <w:lang w:val="es-419"/>
        </w:rPr>
        <w:t>La Parte 7.3 del Manual de la OMPI se publica actualmente en dos secciones complementarias en formato de documento portátil (PDF). La parte 7.3.1 presenta ejemplos de documentos de patente clasificados según los códigos de tipo de documento que utilizan las oficinas de PI, de conformidad con la Norma ST.16 de la OMPI. La Parte 7.3.2 ofrece un inventario por oficina de PI emisora, el cual incluye los códigos de la Norma ST.16 de la OMPI correspondientes, referencias a leyes de patentes pertinentes, datos de publicación, información sobre el uso de los códigos y muestras de las primeras páginas.</w:t>
      </w:r>
    </w:p>
    <w:p w14:paraId="099BC5A3" w14:textId="4ED7651C" w:rsidR="00DB06A9" w:rsidRPr="00DB06A9" w:rsidRDefault="00DB06A9" w:rsidP="00DB06A9">
      <w:pPr>
        <w:pStyle w:val="ONUMFS"/>
        <w:rPr>
          <w:lang w:val="es-419"/>
        </w:rPr>
      </w:pPr>
      <w:r w:rsidRPr="00DB06A9">
        <w:rPr>
          <w:lang w:val="es-419"/>
        </w:rPr>
        <w:t xml:space="preserve">Con el fin de simplificar el mantenimiento y eliminar la duplicación entre los dos extensos cuadros estáticos, la Secretaría propuso fusionar las partes 7.3.1 y 7.3.2 en un único recurso en línea titulado </w:t>
      </w:r>
      <w:r w:rsidRPr="00DB06A9">
        <w:rPr>
          <w:i/>
          <w:lang w:val="es-419"/>
        </w:rPr>
        <w:t>“Parte 7.3: Inventario y ejemplos de tipos de documentos de patente expedidos por las Oficinas de propiedad intelectual”</w:t>
      </w:r>
      <w:r w:rsidRPr="00DB06A9">
        <w:rPr>
          <w:lang w:val="es-419"/>
        </w:rPr>
        <w:t>. El Equipo Técnico de la Parte 7 examinó y aprobó la propuesta de la Secretaría de sustituir los cuadros en PDF existentes por el cuadro dinámico consolidado. Con el nuevo formato, el sistema fusionará la información contenida en los párrafos 7.3.1 y 7.3.2 en un único párrafo 7, con registros que pueden ordenarse. Dado que, en el marco del enfoque híbrido, el cuadro dinámico puede actualizarse en cualquier momento sin necesidad de esperar a una circular de la Secretaría, cada registro incluirá una fecha de “Última actualización”. El documento CWS/14/19 ofrece más detalles al respecto.</w:t>
      </w:r>
    </w:p>
    <w:p w14:paraId="37F9C4B9" w14:textId="77777777" w:rsidR="00DB06A9" w:rsidRPr="00DB06A9" w:rsidRDefault="00DB06A9" w:rsidP="00DB06A9">
      <w:pPr>
        <w:pStyle w:val="Heading4"/>
        <w:rPr>
          <w:kern w:val="2"/>
          <w:szCs w:val="22"/>
          <w:lang w:val="es-419"/>
          <w14:ligatures w14:val="standardContextual"/>
        </w:rPr>
      </w:pPr>
      <w:r w:rsidRPr="00DB06A9">
        <w:rPr>
          <w:lang w:val="es-419"/>
        </w:rPr>
        <w:t>Enfoque híbrido para la actualización de las partes 7.1, 7.2.6 y 7.2.7 del Manual de la OMPI</w:t>
      </w:r>
    </w:p>
    <w:p w14:paraId="03FCC421" w14:textId="40D560D4" w:rsidR="00DB06A9" w:rsidRPr="00DB06A9" w:rsidRDefault="00DB06A9" w:rsidP="00DB06A9">
      <w:pPr>
        <w:pStyle w:val="ONUMFS"/>
        <w:rPr>
          <w:lang w:val="es-419"/>
        </w:rPr>
      </w:pPr>
      <w:r w:rsidRPr="00DB06A9">
        <w:rPr>
          <w:lang w:val="es-419"/>
        </w:rPr>
        <w:t>De conformidad con la decisión que adoptó el CWS en su decimotercera sesión, el Equipo Técnico de la Parte 7 examinó la aplicación del enfoque híbrido a la Parte 7.1, relativa a la representación de las fechas del calendario, y a las Partes 7.2.6 y 7.2.7, relativas a las prácticas de numeración de las solicitudes actuales y anteriores y de las solicitudes de prioridad. Con arreglo a este enfoque, las Oficinas podrán presentar actualizaciones cada vez que introduzcan una nueva práctica o reconozcan un cambio o una corrección en la información publicada anteriormente.</w:t>
      </w:r>
    </w:p>
    <w:p w14:paraId="12FCCE14" w14:textId="2AA998F0" w:rsidR="00DB06A9" w:rsidRPr="00DB06A9" w:rsidRDefault="00DB06A9" w:rsidP="00DB06A9">
      <w:pPr>
        <w:pStyle w:val="ONUMFS"/>
        <w:rPr>
          <w:lang w:val="es-419"/>
        </w:rPr>
      </w:pPr>
      <w:r w:rsidRPr="00DB06A9">
        <w:rPr>
          <w:lang w:val="es-419"/>
        </w:rPr>
        <w:t>Con el fin de facilitar la revisión inicial y el mantenimiento posterior de la Parte 7 del Manual de la OMPI, la Secretaría ha elaborado un proyecto de plantilla, junto con las directrices correspondientes. Estos documentos establecen un marco coherente para que las Oficinas verifiquen la información publicada en ellos, informen sobre sus prácticas y presenten cualquier aportación o modificación. La plantilla de la Parte 7.1 se reproduce en el Anexo del presente documento.</w:t>
      </w:r>
    </w:p>
    <w:p w14:paraId="077A8F90" w14:textId="540B476D" w:rsidR="00DB06A9" w:rsidRPr="00DB06A9" w:rsidRDefault="00DB06A9" w:rsidP="00DB06A9">
      <w:pPr>
        <w:pStyle w:val="ONUMFS"/>
        <w:rPr>
          <w:lang w:val="es-419"/>
        </w:rPr>
      </w:pPr>
      <w:r w:rsidRPr="00DB06A9">
        <w:rPr>
          <w:lang w:val="es-419"/>
        </w:rPr>
        <w:t>La Parte 7.1 del Manual de la OMPI trata de los formatos que utilizan las Oficinas para expresar las fechas del calendario en los documentos, sistemas y publicaciones relacionados con la propiedad intelectual, y la OMPI la actualizó por última vez en enero de 2023. De conformidad con el enfoque híbrido aprobado por el CWS en su decimotercera sesión, la Secretaría propone que, una vez aprobada, publique la plantilla en el sitio web de la Parte 7 y la ponga a disposición de las Oficinas para que puedan presentar actualizaciones, según sea necesario.</w:t>
      </w:r>
    </w:p>
    <w:p w14:paraId="03E246EE" w14:textId="135927F7" w:rsidR="00DB06A9" w:rsidRPr="00DB06A9" w:rsidRDefault="00DB06A9" w:rsidP="00DB06A9">
      <w:pPr>
        <w:pStyle w:val="ONUMFS"/>
        <w:rPr>
          <w:lang w:val="es-419"/>
        </w:rPr>
      </w:pPr>
      <w:r w:rsidRPr="00DB06A9">
        <w:rPr>
          <w:lang w:val="es-419"/>
        </w:rPr>
        <w:t xml:space="preserve">Con el fin de facilitar el acceso a la información y su uso, la Secretaría propone además publicar la Parte 7,1 en forma de cuadro en línea con función de búsqueda, siguiendo el formato adoptado para la Parte 7.3 revisada. Los usuarios podrían buscar y ordenar los registros por oficina de PI y otros campos pertinentes, y cada registro incluiría una fecha de “Última actualización”. Si el CWS aprueba esta propuesta, la Secretaría elaborará el cuadro </w:t>
      </w:r>
      <w:r w:rsidRPr="00DB06A9">
        <w:rPr>
          <w:lang w:val="es-419"/>
        </w:rPr>
        <w:lastRenderedPageBreak/>
        <w:t xml:space="preserve">utilizando la información remitida mediante la plantilla aprobada e incorporará las actualizaciones que se reciban posteriormente. </w:t>
      </w:r>
    </w:p>
    <w:p w14:paraId="1AC7D41B" w14:textId="014E4907" w:rsidR="00DB06A9" w:rsidRPr="00DB06A9" w:rsidRDefault="00DB06A9" w:rsidP="00DB06A9">
      <w:pPr>
        <w:pStyle w:val="ONUMFS"/>
        <w:rPr>
          <w:lang w:val="es-419"/>
        </w:rPr>
      </w:pPr>
      <w:r w:rsidRPr="00DB06A9">
        <w:rPr>
          <w:lang w:val="es-419"/>
        </w:rPr>
        <w:t xml:space="preserve">Dado que la encuesta sobre las prácticas actuales y anteriores en materia de numeración de solicitudes y de solicitudes de prioridad se realizó en 2025, no se propone realizar ninguna otra encuesta en 2027. En lugar de ello, se pondrán a disposición de las Oficinas las plantillas utilizadas para recabar información para las partes 7.2.6 y 7.2.7 durante la encuesta de 2025, con el fin de que puedan presentar las actualizaciones correspondientes. La Secretaría invitará a las Oficinas a que comuniquen, de manera puntual, cualquier cambio o corrección. Siempre y cuando lo apruebe el CWS, la OMPI publicará en su sitio web, en la sección correspondiente a la Parte 7 del Manual de la OMPI, las plantillas respectivas para </w:t>
      </w:r>
      <w:hyperlink r:id="rId15" w:history="1">
        <w:r w:rsidRPr="00DB06A9">
          <w:rPr>
            <w:rStyle w:val="Hyperlink"/>
            <w:lang w:val="es-419"/>
          </w:rPr>
          <w:t>la plantilla de la Parte 7.2.6</w:t>
        </w:r>
      </w:hyperlink>
      <w:r w:rsidRPr="00DB06A9">
        <w:rPr>
          <w:lang w:val="es-419"/>
        </w:rPr>
        <w:t xml:space="preserve"> y </w:t>
      </w:r>
      <w:hyperlink r:id="rId16" w:history="1">
        <w:r w:rsidRPr="00DB06A9">
          <w:rPr>
            <w:rStyle w:val="Hyperlink"/>
            <w:lang w:val="es-419"/>
          </w:rPr>
          <w:t>la plantilla de la Parte 7.2.7</w:t>
        </w:r>
      </w:hyperlink>
      <w:r w:rsidRPr="00DB06A9">
        <w:rPr>
          <w:lang w:val="es-419"/>
        </w:rPr>
        <w:t xml:space="preserve"> en: </w:t>
      </w:r>
      <w:hyperlink r:id="rId17" w:history="1">
        <w:r w:rsidRPr="00DB06A9">
          <w:rPr>
            <w:rStyle w:val="Hyperlink"/>
            <w:lang w:val="es-419"/>
          </w:rPr>
          <w:t>https://www.wipo.int/es/web/standards/part_07</w:t>
        </w:r>
      </w:hyperlink>
      <w:r w:rsidRPr="00DB06A9">
        <w:rPr>
          <w:lang w:val="es-419"/>
        </w:rPr>
        <w:t xml:space="preserve">. </w:t>
      </w:r>
    </w:p>
    <w:p w14:paraId="7F20D9C2" w14:textId="77777777" w:rsidR="00DB06A9" w:rsidRPr="00DB06A9" w:rsidRDefault="00DB06A9" w:rsidP="00DB06A9">
      <w:pPr>
        <w:pStyle w:val="Heading4"/>
        <w:spacing w:before="0" w:after="0"/>
        <w:rPr>
          <w:lang w:val="es-419"/>
        </w:rPr>
      </w:pPr>
      <w:r w:rsidRPr="00DB06A9">
        <w:rPr>
          <w:lang w:val="es-419"/>
        </w:rPr>
        <w:t>Suspensión de la labor de actualización de la Parte 7.6 del Manual de la OMPI</w:t>
      </w:r>
    </w:p>
    <w:p w14:paraId="2A4EF265" w14:textId="73B5F195" w:rsidR="00DB06A9" w:rsidRPr="00DB06A9" w:rsidRDefault="00DB06A9" w:rsidP="00DB06A9">
      <w:pPr>
        <w:pStyle w:val="ONUMFS"/>
        <w:rPr>
          <w:lang w:val="es-419"/>
        </w:rPr>
      </w:pPr>
      <w:r w:rsidRPr="00DB06A9">
        <w:rPr>
          <w:lang w:val="es-419"/>
        </w:rPr>
        <w:t>En lo que respecta a la Parte 7.6, relativa a la información bibliográfica publicada en los boletines de patentes, el Equipo Técnico de la Parte 7 respaldó la propuesta de la Oficina Internacional de suspender la labor hasta que se examine una posible revisión de la Norma ST.19 de la OMPI, a la que hace referencia la Parte 7.6. De este modo se evitaría actualizar el Manual basándose en requisitos que pudieran revisarse posteriormente.</w:t>
      </w:r>
    </w:p>
    <w:p w14:paraId="31B5DD8A" w14:textId="77777777" w:rsidR="00DB06A9" w:rsidRPr="00DB06A9" w:rsidRDefault="00DB06A9" w:rsidP="00DB06A9">
      <w:pPr>
        <w:pStyle w:val="Heading4"/>
        <w:rPr>
          <w:kern w:val="2"/>
          <w:szCs w:val="22"/>
          <w:lang w:val="es-419"/>
          <w14:ligatures w14:val="standardContextual"/>
        </w:rPr>
      </w:pPr>
      <w:r w:rsidRPr="00DB06A9">
        <w:rPr>
          <w:lang w:val="es-419"/>
        </w:rPr>
        <w:t>Propuesta para la aplicación del enfoque híbrido a las partes 7.4 y 7.11 del Manual de la OMPI</w:t>
      </w:r>
    </w:p>
    <w:p w14:paraId="2900D099" w14:textId="3153A9DF" w:rsidR="00DB06A9" w:rsidRPr="00DB06A9" w:rsidRDefault="00DB06A9" w:rsidP="00DB06A9">
      <w:pPr>
        <w:pStyle w:val="ONUMFS"/>
        <w:rPr>
          <w:lang w:val="es-419"/>
        </w:rPr>
      </w:pPr>
      <w:r w:rsidRPr="00DB06A9">
        <w:rPr>
          <w:lang w:val="es-419"/>
        </w:rPr>
        <w:t>Partiendo del enfoque híbrido aprobado para otras secciones de la Parte 7, la Secretaría propone que el Equipo Técnico de la Parte 7 analice la posibilidad de ampliar este enfoque a la Parte 7.4, relativa a la presentación y el contenido de los boletines de diseños industriales y marcas, y a la Parte 7.11, relativa a la disponibilidad de información sobre patentes en formato legible por máquina; que elabore las plantillas correspondientes y que las presente en la decimoquinta sesión del CWS.</w:t>
      </w:r>
    </w:p>
    <w:p w14:paraId="1F4F52C7" w14:textId="77777777" w:rsidR="00DB06A9" w:rsidRPr="00DB06A9" w:rsidRDefault="00DB06A9" w:rsidP="00DB06A9">
      <w:pPr>
        <w:pStyle w:val="Heading2"/>
        <w:rPr>
          <w:lang w:val="es-419"/>
        </w:rPr>
      </w:pPr>
      <w:r w:rsidRPr="00DB06A9">
        <w:rPr>
          <w:lang w:val="es-419"/>
        </w:rPr>
        <w:t>Plan de trabajo</w:t>
      </w:r>
    </w:p>
    <w:p w14:paraId="412763ED" w14:textId="6C301CE5" w:rsidR="00DB06A9" w:rsidRPr="00DB06A9" w:rsidRDefault="00DB06A9" w:rsidP="00DB06A9">
      <w:pPr>
        <w:pStyle w:val="ONUMFS"/>
        <w:rPr>
          <w:lang w:val="es-419"/>
        </w:rPr>
      </w:pPr>
      <w:r w:rsidRPr="00DB06A9">
        <w:rPr>
          <w:lang w:val="es-419"/>
        </w:rPr>
        <w:t xml:space="preserve">El plan de trabajo propuesto para 2027 es el siguiente: </w:t>
      </w:r>
    </w:p>
    <w:tbl>
      <w:tblPr>
        <w:tblStyle w:val="TableGrid"/>
        <w:tblpPr w:leftFromText="180" w:rightFromText="180" w:vertAnchor="text" w:tblpY="1"/>
        <w:tblOverlap w:val="never"/>
        <w:tblW w:w="5000" w:type="pct"/>
        <w:tblCellMar>
          <w:top w:w="57" w:type="dxa"/>
          <w:bottom w:w="57" w:type="dxa"/>
        </w:tblCellMar>
        <w:tblLook w:val="04A0" w:firstRow="1" w:lastRow="0" w:firstColumn="1" w:lastColumn="0" w:noHBand="0" w:noVBand="1"/>
      </w:tblPr>
      <w:tblGrid>
        <w:gridCol w:w="1555"/>
        <w:gridCol w:w="4110"/>
        <w:gridCol w:w="3680"/>
      </w:tblGrid>
      <w:tr w:rsidR="00DB06A9" w:rsidRPr="00DB06A9" w14:paraId="6CA6FFCA" w14:textId="77777777" w:rsidTr="00B477FB">
        <w:trPr>
          <w:trHeight w:val="20"/>
        </w:trPr>
        <w:tc>
          <w:tcPr>
            <w:tcW w:w="832" w:type="pct"/>
            <w:shd w:val="clear" w:color="auto" w:fill="D9D9D9" w:themeFill="background1" w:themeFillShade="D9"/>
            <w:vAlign w:val="center"/>
          </w:tcPr>
          <w:p w14:paraId="1F314774" w14:textId="77777777" w:rsidR="00DB06A9" w:rsidRPr="00DB06A9" w:rsidRDefault="00DB06A9" w:rsidP="00A8402E">
            <w:pPr>
              <w:spacing w:before="20" w:after="20"/>
              <w:rPr>
                <w:b/>
                <w:lang w:val="es-419"/>
              </w:rPr>
            </w:pPr>
            <w:r w:rsidRPr="00DB06A9">
              <w:rPr>
                <w:b/>
                <w:lang w:val="es-419"/>
              </w:rPr>
              <w:t>Sección</w:t>
            </w:r>
          </w:p>
        </w:tc>
        <w:tc>
          <w:tcPr>
            <w:tcW w:w="2199" w:type="pct"/>
            <w:shd w:val="clear" w:color="auto" w:fill="D9D9D9" w:themeFill="background1" w:themeFillShade="D9"/>
            <w:vAlign w:val="center"/>
          </w:tcPr>
          <w:p w14:paraId="408EE423" w14:textId="77777777" w:rsidR="00DB06A9" w:rsidRPr="00DB06A9" w:rsidRDefault="00DB06A9" w:rsidP="00A8402E">
            <w:pPr>
              <w:spacing w:before="20" w:after="20"/>
              <w:rPr>
                <w:b/>
                <w:lang w:val="es-419"/>
              </w:rPr>
            </w:pPr>
            <w:r w:rsidRPr="00DB06A9">
              <w:rPr>
                <w:b/>
                <w:lang w:val="es-419"/>
              </w:rPr>
              <w:t>Tema</w:t>
            </w:r>
          </w:p>
        </w:tc>
        <w:tc>
          <w:tcPr>
            <w:tcW w:w="1969" w:type="pct"/>
            <w:shd w:val="clear" w:color="auto" w:fill="D9D9D9" w:themeFill="background1" w:themeFillShade="D9"/>
            <w:vAlign w:val="center"/>
          </w:tcPr>
          <w:p w14:paraId="44D2F8FE" w14:textId="77777777" w:rsidR="00DB06A9" w:rsidRPr="00DB06A9" w:rsidRDefault="00DB06A9" w:rsidP="00A8402E">
            <w:pPr>
              <w:spacing w:before="20" w:after="20"/>
              <w:rPr>
                <w:b/>
                <w:lang w:val="es-419"/>
              </w:rPr>
            </w:pPr>
            <w:r w:rsidRPr="00DB06A9">
              <w:rPr>
                <w:b/>
                <w:lang w:val="es-419"/>
              </w:rPr>
              <w:t>Medida</w:t>
            </w:r>
          </w:p>
        </w:tc>
      </w:tr>
      <w:tr w:rsidR="00DB06A9" w:rsidRPr="00DB06A9" w14:paraId="317308D4" w14:textId="77777777" w:rsidTr="00B477FB">
        <w:trPr>
          <w:trHeight w:val="20"/>
        </w:trPr>
        <w:tc>
          <w:tcPr>
            <w:tcW w:w="832" w:type="pct"/>
            <w:tcBorders>
              <w:top w:val="single" w:sz="4" w:space="0" w:color="auto"/>
              <w:bottom w:val="single" w:sz="4" w:space="0" w:color="auto"/>
            </w:tcBorders>
            <w:vAlign w:val="center"/>
          </w:tcPr>
          <w:p w14:paraId="5DAFC837" w14:textId="77777777" w:rsidR="00DB06A9" w:rsidRPr="00DB06A9" w:rsidRDefault="00DB06A9" w:rsidP="00A8402E">
            <w:pPr>
              <w:spacing w:before="20" w:after="20"/>
              <w:rPr>
                <w:lang w:val="es-419"/>
              </w:rPr>
            </w:pPr>
            <w:r w:rsidRPr="00DB06A9">
              <w:rPr>
                <w:lang w:val="es-419"/>
              </w:rPr>
              <w:t>Parte 7.1 del Manual de la OMPI</w:t>
            </w:r>
          </w:p>
        </w:tc>
        <w:tc>
          <w:tcPr>
            <w:tcW w:w="2199" w:type="pct"/>
            <w:vAlign w:val="center"/>
          </w:tcPr>
          <w:p w14:paraId="3BA0CC1C" w14:textId="77777777" w:rsidR="00DB06A9" w:rsidRPr="00DB06A9" w:rsidRDefault="00DB06A9" w:rsidP="00A8402E">
            <w:pPr>
              <w:spacing w:before="20" w:after="20"/>
              <w:rPr>
                <w:lang w:val="es-419"/>
              </w:rPr>
            </w:pPr>
            <w:r w:rsidRPr="00DB06A9">
              <w:rPr>
                <w:lang w:val="es-419"/>
              </w:rPr>
              <w:t>Representación de las fechas del calendario: variaciones en la representación de las fechas del calendario gregoriano en los documentos de propiedad industrial y en los boletines oficiales</w:t>
            </w:r>
          </w:p>
        </w:tc>
        <w:tc>
          <w:tcPr>
            <w:tcW w:w="1969" w:type="pct"/>
            <w:vAlign w:val="center"/>
          </w:tcPr>
          <w:p w14:paraId="22C317C1" w14:textId="77777777" w:rsidR="00DB06A9" w:rsidRPr="00DB06A9" w:rsidRDefault="00DB06A9" w:rsidP="00A8402E">
            <w:pPr>
              <w:spacing w:before="20" w:after="20"/>
              <w:rPr>
                <w:lang w:val="es-419"/>
              </w:rPr>
            </w:pPr>
            <w:r w:rsidRPr="00DB06A9">
              <w:rPr>
                <w:lang w:val="es-419"/>
              </w:rPr>
              <w:t>Publicar la información recopilada en un formato de cuadro con función de búsqueda, similar al de la Parte 7.3 del Manual de la OMPI.</w:t>
            </w:r>
          </w:p>
        </w:tc>
      </w:tr>
      <w:tr w:rsidR="00DB06A9" w:rsidRPr="00DB06A9" w14:paraId="73C57D15" w14:textId="77777777" w:rsidTr="00B477FB">
        <w:trPr>
          <w:trHeight w:val="20"/>
        </w:trPr>
        <w:tc>
          <w:tcPr>
            <w:tcW w:w="832" w:type="pct"/>
            <w:vAlign w:val="center"/>
          </w:tcPr>
          <w:p w14:paraId="25266BF5" w14:textId="77777777" w:rsidR="00DB06A9" w:rsidRPr="00DB06A9" w:rsidRDefault="00DB06A9" w:rsidP="00A8402E">
            <w:pPr>
              <w:spacing w:before="20" w:after="20"/>
              <w:rPr>
                <w:lang w:val="es-419"/>
              </w:rPr>
            </w:pPr>
            <w:r w:rsidRPr="00DB06A9">
              <w:rPr>
                <w:lang w:val="es-419"/>
              </w:rPr>
              <w:t>Partes 7.2.6 y 7.2.7 del Manual de la OMPI</w:t>
            </w:r>
          </w:p>
        </w:tc>
        <w:tc>
          <w:tcPr>
            <w:tcW w:w="2199" w:type="pct"/>
            <w:vAlign w:val="center"/>
          </w:tcPr>
          <w:p w14:paraId="4E085FA8" w14:textId="77777777" w:rsidR="00DB06A9" w:rsidRPr="00DB06A9" w:rsidRDefault="00DB06A9" w:rsidP="00A8402E">
            <w:pPr>
              <w:spacing w:before="20" w:after="20"/>
              <w:rPr>
                <w:lang w:val="es-419"/>
              </w:rPr>
            </w:pPr>
            <w:r w:rsidRPr="00DB06A9">
              <w:rPr>
                <w:lang w:val="es-419"/>
              </w:rPr>
              <w:t>Prácticas actuales y anteriores en materia de asignación de números de solicitud y de prioridad</w:t>
            </w:r>
          </w:p>
        </w:tc>
        <w:tc>
          <w:tcPr>
            <w:tcW w:w="1969" w:type="pct"/>
            <w:vAlign w:val="center"/>
          </w:tcPr>
          <w:p w14:paraId="324A9F13" w14:textId="77777777" w:rsidR="00DB06A9" w:rsidRPr="00DB06A9" w:rsidRDefault="00DB06A9" w:rsidP="00A8402E">
            <w:pPr>
              <w:spacing w:before="20" w:after="20"/>
              <w:rPr>
                <w:lang w:val="es-419"/>
              </w:rPr>
            </w:pPr>
            <w:r w:rsidRPr="00DB06A9">
              <w:rPr>
                <w:lang w:val="es-419"/>
              </w:rPr>
              <w:t>Actualizar ambas partes utilizando el enfoque híbrido que aprobó el CWS.</w:t>
            </w:r>
          </w:p>
        </w:tc>
      </w:tr>
      <w:tr w:rsidR="00DB06A9" w:rsidRPr="00DB06A9" w14:paraId="073E32DA" w14:textId="77777777" w:rsidTr="00B477FB">
        <w:trPr>
          <w:trHeight w:val="20"/>
        </w:trPr>
        <w:tc>
          <w:tcPr>
            <w:tcW w:w="832" w:type="pct"/>
            <w:vAlign w:val="center"/>
          </w:tcPr>
          <w:p w14:paraId="7A5C7F05" w14:textId="77777777" w:rsidR="00DB06A9" w:rsidRPr="00DB06A9" w:rsidRDefault="00DB06A9" w:rsidP="00A8402E">
            <w:pPr>
              <w:spacing w:before="20" w:after="20"/>
              <w:rPr>
                <w:lang w:val="es-419"/>
              </w:rPr>
            </w:pPr>
            <w:r w:rsidRPr="00DB06A9">
              <w:rPr>
                <w:lang w:val="es-419"/>
              </w:rPr>
              <w:t>Parte 7.4 del Manual de la OMPI</w:t>
            </w:r>
          </w:p>
        </w:tc>
        <w:tc>
          <w:tcPr>
            <w:tcW w:w="2199" w:type="pct"/>
            <w:vAlign w:val="center"/>
          </w:tcPr>
          <w:p w14:paraId="4981CE57" w14:textId="77777777" w:rsidR="00DB06A9" w:rsidRPr="00DB06A9" w:rsidRDefault="00DB06A9" w:rsidP="00A8402E">
            <w:pPr>
              <w:spacing w:before="20" w:after="20"/>
              <w:rPr>
                <w:lang w:val="es-419"/>
              </w:rPr>
            </w:pPr>
            <w:r w:rsidRPr="00DB06A9">
              <w:rPr>
                <w:lang w:val="es-419"/>
              </w:rPr>
              <w:t>Correcciones, modificaciones y suplementos relativos a la información sobre patentes</w:t>
            </w:r>
          </w:p>
        </w:tc>
        <w:tc>
          <w:tcPr>
            <w:tcW w:w="1969" w:type="pct"/>
            <w:vAlign w:val="center"/>
          </w:tcPr>
          <w:p w14:paraId="13D5AC43" w14:textId="77777777" w:rsidR="00DB06A9" w:rsidRPr="00DB06A9" w:rsidRDefault="00DB06A9" w:rsidP="00A8402E">
            <w:pPr>
              <w:spacing w:before="20" w:after="20"/>
              <w:rPr>
                <w:lang w:val="es-419"/>
              </w:rPr>
            </w:pPr>
            <w:r w:rsidRPr="00DB06A9">
              <w:rPr>
                <w:lang w:val="es-419"/>
              </w:rPr>
              <w:t>Preparar la plantilla para la actualización del enfoque híbrido y presentarla en la decimoquinta sesión del CWS.</w:t>
            </w:r>
          </w:p>
        </w:tc>
      </w:tr>
      <w:tr w:rsidR="00DB06A9" w:rsidRPr="00DB06A9" w14:paraId="65965C02" w14:textId="77777777" w:rsidTr="00B477FB">
        <w:trPr>
          <w:trHeight w:val="20"/>
        </w:trPr>
        <w:tc>
          <w:tcPr>
            <w:tcW w:w="832" w:type="pct"/>
            <w:vAlign w:val="center"/>
          </w:tcPr>
          <w:p w14:paraId="7831849F" w14:textId="77777777" w:rsidR="00DB06A9" w:rsidRPr="00DB06A9" w:rsidRDefault="00DB06A9" w:rsidP="00A8402E">
            <w:pPr>
              <w:spacing w:before="20" w:after="20"/>
              <w:rPr>
                <w:lang w:val="es-419"/>
              </w:rPr>
            </w:pPr>
            <w:r w:rsidRPr="00DB06A9">
              <w:rPr>
                <w:lang w:val="es-419"/>
              </w:rPr>
              <w:t>Parte 7.11 del Manual de la OMPI</w:t>
            </w:r>
          </w:p>
        </w:tc>
        <w:tc>
          <w:tcPr>
            <w:tcW w:w="2199" w:type="pct"/>
            <w:vAlign w:val="center"/>
          </w:tcPr>
          <w:p w14:paraId="1EB9C724" w14:textId="77777777" w:rsidR="00DB06A9" w:rsidRPr="00DB06A9" w:rsidRDefault="00DB06A9" w:rsidP="00A8402E">
            <w:pPr>
              <w:spacing w:before="20" w:after="20"/>
              <w:rPr>
                <w:lang w:val="es-419"/>
              </w:rPr>
            </w:pPr>
            <w:r w:rsidRPr="00DB06A9">
              <w:rPr>
                <w:lang w:val="es-419"/>
              </w:rPr>
              <w:t>Prácticas de reconocimiento óptico de caracteres (ROC)</w:t>
            </w:r>
          </w:p>
        </w:tc>
        <w:tc>
          <w:tcPr>
            <w:tcW w:w="1969" w:type="pct"/>
            <w:vAlign w:val="center"/>
          </w:tcPr>
          <w:p w14:paraId="581981D3" w14:textId="77777777" w:rsidR="00DB06A9" w:rsidRPr="00DB06A9" w:rsidRDefault="00DB06A9" w:rsidP="00A8402E">
            <w:pPr>
              <w:spacing w:before="20" w:after="20"/>
              <w:rPr>
                <w:lang w:val="es-419"/>
              </w:rPr>
            </w:pPr>
            <w:r w:rsidRPr="00DB06A9">
              <w:rPr>
                <w:lang w:val="es-419"/>
              </w:rPr>
              <w:t>Preparar la plantilla para la actualización del enfoque híbrido y presentarla en la decimoquinta sesión del CWS.</w:t>
            </w:r>
          </w:p>
        </w:tc>
      </w:tr>
    </w:tbl>
    <w:p w14:paraId="5454A931" w14:textId="77777777" w:rsidR="00DB06A9" w:rsidRPr="00DB06A9" w:rsidRDefault="00DB06A9" w:rsidP="00DB06A9">
      <w:pPr>
        <w:pStyle w:val="ONUMFS"/>
        <w:numPr>
          <w:ilvl w:val="0"/>
          <w:numId w:val="0"/>
        </w:numPr>
        <w:spacing w:after="120"/>
        <w:ind w:left="5530"/>
        <w:rPr>
          <w:i/>
          <w:szCs w:val="22"/>
          <w:lang w:val="es-419"/>
        </w:rPr>
      </w:pPr>
    </w:p>
    <w:p w14:paraId="4EEBAF4A" w14:textId="384ABC8D" w:rsidR="00DB06A9" w:rsidRPr="00DB06A9" w:rsidRDefault="00DB06A9" w:rsidP="00DB06A9">
      <w:pPr>
        <w:pStyle w:val="ONUMFS"/>
        <w:tabs>
          <w:tab w:val="left" w:pos="6096"/>
        </w:tabs>
        <w:ind w:left="5534"/>
        <w:rPr>
          <w:lang w:val="es-419"/>
        </w:rPr>
      </w:pPr>
      <w:r w:rsidRPr="00DB06A9">
        <w:rPr>
          <w:i/>
          <w:lang w:val="es-419"/>
        </w:rPr>
        <w:lastRenderedPageBreak/>
        <w:t xml:space="preserve">Se invita al CWS a: </w:t>
      </w:r>
    </w:p>
    <w:p w14:paraId="42B098B4" w14:textId="77777777" w:rsidR="00DB06A9" w:rsidRPr="00DB06A9" w:rsidRDefault="00DB06A9" w:rsidP="00DB06A9">
      <w:pPr>
        <w:pStyle w:val="BodyText"/>
        <w:numPr>
          <w:ilvl w:val="0"/>
          <w:numId w:val="9"/>
        </w:numPr>
        <w:tabs>
          <w:tab w:val="left" w:pos="6663"/>
        </w:tabs>
        <w:ind w:left="5534" w:firstLine="562"/>
        <w:rPr>
          <w:i/>
          <w:iCs/>
          <w:lang w:val="es-419"/>
        </w:rPr>
      </w:pPr>
      <w:r w:rsidRPr="00DB06A9">
        <w:rPr>
          <w:i/>
          <w:lang w:val="es-419"/>
        </w:rPr>
        <w:t xml:space="preserve">tomar nota del contenido del presente documento y de su Anexo; </w:t>
      </w:r>
    </w:p>
    <w:p w14:paraId="0BDEFDAC" w14:textId="6B710E96" w:rsidR="00DB06A9" w:rsidRPr="00DB06A9" w:rsidRDefault="00DB06A9" w:rsidP="00DB06A9">
      <w:pPr>
        <w:pStyle w:val="BodyText"/>
        <w:numPr>
          <w:ilvl w:val="0"/>
          <w:numId w:val="9"/>
        </w:numPr>
        <w:tabs>
          <w:tab w:val="left" w:pos="6663"/>
        </w:tabs>
        <w:ind w:left="5534" w:firstLine="562"/>
        <w:rPr>
          <w:i/>
          <w:iCs/>
          <w:lang w:val="es-419"/>
        </w:rPr>
      </w:pPr>
      <w:r w:rsidRPr="00DB06A9">
        <w:rPr>
          <w:i/>
          <w:lang w:val="es-419"/>
        </w:rPr>
        <w:t xml:space="preserve">examinar y aprobar las plantillas propuestas para la actualización de las partes 7.1, 7.2.6 y 7.2.7 del Manual de la OMPI, a las que se hace referencia en los párrafos 20 y 23 y que figuran en el Anexo del presente documento; </w:t>
      </w:r>
    </w:p>
    <w:p w14:paraId="04B65F84" w14:textId="77777777" w:rsidR="00DB06A9" w:rsidRPr="00DB06A9" w:rsidRDefault="00DB06A9" w:rsidP="00DB06A9">
      <w:pPr>
        <w:pStyle w:val="BodyText"/>
        <w:numPr>
          <w:ilvl w:val="0"/>
          <w:numId w:val="9"/>
        </w:numPr>
        <w:tabs>
          <w:tab w:val="left" w:pos="6663"/>
        </w:tabs>
        <w:ind w:left="5534" w:firstLine="562"/>
        <w:rPr>
          <w:i/>
          <w:iCs/>
          <w:lang w:val="es-419"/>
        </w:rPr>
      </w:pPr>
      <w:r w:rsidRPr="00DB06A9">
        <w:rPr>
          <w:i/>
          <w:lang w:val="es-419"/>
        </w:rPr>
        <w:t>examinar y aprobar la publicación de la Parte 7.1 del Manual de la OMPI en un cuadro con función de búsqueda, tal y como se indica en el párrafo 22;</w:t>
      </w:r>
    </w:p>
    <w:p w14:paraId="637B0EFC" w14:textId="7C051F3D" w:rsidR="00DB06A9" w:rsidRPr="00DB06A9" w:rsidRDefault="00DB06A9" w:rsidP="00DB06A9">
      <w:pPr>
        <w:pStyle w:val="BodyText"/>
        <w:numPr>
          <w:ilvl w:val="0"/>
          <w:numId w:val="9"/>
        </w:numPr>
        <w:tabs>
          <w:tab w:val="left" w:pos="6663"/>
        </w:tabs>
        <w:ind w:left="5534" w:firstLine="562"/>
        <w:rPr>
          <w:i/>
          <w:iCs/>
          <w:lang w:val="es-419"/>
        </w:rPr>
      </w:pPr>
      <w:r w:rsidRPr="00DB06A9">
        <w:rPr>
          <w:i/>
          <w:lang w:val="es-419"/>
        </w:rPr>
        <w:t xml:space="preserve">alentar a sus miembros a que informen a la Secretaría, utilizando las plantillas aprobadas, de cualquier cambio o corrección posterior relativo a la información publicada en las partes 7.1, 7.2.6 y 7.2.7, de conformidad con el enfoque híbrido; </w:t>
      </w:r>
    </w:p>
    <w:p w14:paraId="02FAD70E" w14:textId="77777777" w:rsidR="00DB06A9" w:rsidRPr="00DB06A9" w:rsidRDefault="00DB06A9" w:rsidP="00DB06A9">
      <w:pPr>
        <w:pStyle w:val="BodyText"/>
        <w:numPr>
          <w:ilvl w:val="0"/>
          <w:numId w:val="9"/>
        </w:numPr>
        <w:tabs>
          <w:tab w:val="left" w:pos="6663"/>
        </w:tabs>
        <w:ind w:left="5534" w:firstLine="562"/>
        <w:rPr>
          <w:i/>
          <w:iCs/>
          <w:lang w:val="es-419"/>
        </w:rPr>
      </w:pPr>
      <w:r w:rsidRPr="00DB06A9">
        <w:rPr>
          <w:i/>
          <w:lang w:val="es-419"/>
        </w:rPr>
        <w:t>pedir al Equipo Técnico que analice un posible enfoque híbrido para actualizar las partes 7.4 y 7.11 del Manual de la OMPI y, si procede, que elabore la plantilla correspondiente y la presente en la decimoquinta sesión del CWS; y</w:t>
      </w:r>
    </w:p>
    <w:p w14:paraId="6C18F113" w14:textId="21F462C5" w:rsidR="00DB06A9" w:rsidRPr="00DB06A9" w:rsidRDefault="00DB06A9" w:rsidP="00DB06A9">
      <w:pPr>
        <w:pStyle w:val="BodyText"/>
        <w:numPr>
          <w:ilvl w:val="0"/>
          <w:numId w:val="9"/>
        </w:numPr>
        <w:tabs>
          <w:tab w:val="left" w:pos="6663"/>
        </w:tabs>
        <w:ind w:left="5534" w:firstLine="562"/>
        <w:rPr>
          <w:i/>
          <w:iCs/>
          <w:lang w:val="es-419"/>
        </w:rPr>
      </w:pPr>
      <w:r w:rsidRPr="00DB06A9">
        <w:rPr>
          <w:i/>
          <w:lang w:val="es-419"/>
        </w:rPr>
        <w:t>examinar y aprobar la propuesta de plan de trabajo para 2027, mencionada en el párrafo 26.</w:t>
      </w:r>
    </w:p>
    <w:p w14:paraId="28101F8F" w14:textId="41DD5A04" w:rsidR="00DB06A9" w:rsidRPr="00DB06A9" w:rsidRDefault="00DB06A9" w:rsidP="00DB06A9">
      <w:pPr>
        <w:pStyle w:val="Endofdocument-Annex"/>
        <w:spacing w:before="480"/>
        <w:rPr>
          <w:lang w:val="es-419"/>
        </w:rPr>
      </w:pPr>
      <w:r w:rsidRPr="00DB06A9">
        <w:rPr>
          <w:lang w:val="es-419"/>
        </w:rPr>
        <w:t>[</w:t>
      </w:r>
      <w:hyperlink r:id="rId18" w:history="1">
        <w:r w:rsidRPr="002042A0">
          <w:rPr>
            <w:rStyle w:val="Hyperlink"/>
            <w:lang w:val="es-419"/>
          </w:rPr>
          <w:t>Sigue el Anexo</w:t>
        </w:r>
      </w:hyperlink>
      <w:r w:rsidRPr="00DB06A9">
        <w:rPr>
          <w:lang w:val="es-419"/>
        </w:rPr>
        <w:t>]</w:t>
      </w:r>
    </w:p>
    <w:p w14:paraId="7D2F2D30" w14:textId="377DE6AD" w:rsidR="00152CEA" w:rsidRPr="00DB06A9" w:rsidRDefault="00DB06A9" w:rsidP="00DB06A9">
      <w:pPr>
        <w:pStyle w:val="Endofdocument-Annex"/>
        <w:spacing w:before="480"/>
        <w:rPr>
          <w:lang w:val="es-419"/>
        </w:rPr>
      </w:pPr>
      <w:r w:rsidRPr="00DB06A9">
        <w:rPr>
          <w:lang w:val="es-419"/>
        </w:rPr>
        <w:t>[Fin del Anexo y del documento]</w:t>
      </w:r>
    </w:p>
    <w:sectPr w:rsidR="00152CEA" w:rsidRPr="00DB06A9" w:rsidSect="00DB06A9">
      <w:headerReference w:type="default" r:id="rId19"/>
      <w:footerReference w:type="even" r:id="rId20"/>
      <w:footerReference w:type="default" r:id="rId21"/>
      <w:footerReference w:type="first" r:id="rId22"/>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C585F" w14:textId="77777777" w:rsidR="006F646F" w:rsidRDefault="006F646F">
      <w:r>
        <w:separator/>
      </w:r>
    </w:p>
  </w:endnote>
  <w:endnote w:type="continuationSeparator" w:id="0">
    <w:p w14:paraId="3AE30418" w14:textId="77777777" w:rsidR="006F646F" w:rsidRPr="009D30E6" w:rsidRDefault="006F646F" w:rsidP="007E663E">
      <w:pPr>
        <w:rPr>
          <w:sz w:val="17"/>
          <w:szCs w:val="17"/>
        </w:rPr>
      </w:pPr>
      <w:r w:rsidRPr="009D30E6">
        <w:rPr>
          <w:sz w:val="17"/>
          <w:szCs w:val="17"/>
        </w:rPr>
        <w:separator/>
      </w:r>
    </w:p>
    <w:p w14:paraId="3220D733" w14:textId="77777777" w:rsidR="006F646F" w:rsidRPr="007E663E" w:rsidRDefault="006F646F" w:rsidP="007E663E">
      <w:pPr>
        <w:spacing w:after="60"/>
        <w:rPr>
          <w:sz w:val="17"/>
          <w:szCs w:val="17"/>
        </w:rPr>
      </w:pPr>
      <w:r>
        <w:rPr>
          <w:sz w:val="17"/>
        </w:rPr>
        <w:t>[Continuación de la nota de la página anterior]</w:t>
      </w:r>
    </w:p>
  </w:endnote>
  <w:endnote w:type="continuationNotice" w:id="1">
    <w:p w14:paraId="7D2F5A90" w14:textId="77777777" w:rsidR="006F646F" w:rsidRPr="007E663E" w:rsidRDefault="006F646F"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03F6A" w14:textId="6E4881AF" w:rsidR="001D50D1" w:rsidRDefault="001D5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A4D68" w14:textId="187226D5" w:rsidR="001D50D1" w:rsidRDefault="001D5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E8A68" w14:textId="4F2D5066" w:rsidR="001D50D1" w:rsidRDefault="001D5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1438B" w14:textId="77777777" w:rsidR="006F646F" w:rsidRDefault="006F646F">
      <w:r>
        <w:separator/>
      </w:r>
    </w:p>
  </w:footnote>
  <w:footnote w:type="continuationSeparator" w:id="0">
    <w:p w14:paraId="132FCB4B" w14:textId="77777777" w:rsidR="006F646F" w:rsidRPr="009D30E6" w:rsidRDefault="006F646F" w:rsidP="007E663E">
      <w:pPr>
        <w:rPr>
          <w:sz w:val="17"/>
          <w:szCs w:val="17"/>
        </w:rPr>
      </w:pPr>
      <w:r w:rsidRPr="009D30E6">
        <w:rPr>
          <w:sz w:val="17"/>
          <w:szCs w:val="17"/>
        </w:rPr>
        <w:separator/>
      </w:r>
    </w:p>
    <w:p w14:paraId="2B96B112" w14:textId="77777777" w:rsidR="006F646F" w:rsidRPr="007E663E" w:rsidRDefault="006F646F" w:rsidP="007E663E">
      <w:pPr>
        <w:spacing w:after="60"/>
        <w:rPr>
          <w:sz w:val="17"/>
          <w:szCs w:val="17"/>
        </w:rPr>
      </w:pPr>
      <w:r>
        <w:rPr>
          <w:sz w:val="17"/>
        </w:rPr>
        <w:t>[Continuación de la nota de la página anterior]</w:t>
      </w:r>
    </w:p>
  </w:footnote>
  <w:footnote w:type="continuationNotice" w:id="1">
    <w:p w14:paraId="47DA8C29" w14:textId="77777777" w:rsidR="006F646F" w:rsidRPr="007E663E" w:rsidRDefault="006F646F"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9897" w14:textId="63168869" w:rsidR="00F84474" w:rsidRDefault="00DB06A9" w:rsidP="00477D6B">
    <w:pPr>
      <w:jc w:val="right"/>
    </w:pPr>
    <w:bookmarkStart w:id="5" w:name="Code2"/>
    <w:bookmarkEnd w:id="5"/>
    <w:r>
      <w:t>CWS/14/18</w:t>
    </w:r>
  </w:p>
  <w:p w14:paraId="4287D8C2"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709366B6" w14:textId="77777777" w:rsidR="00F84474" w:rsidRDefault="00F84474" w:rsidP="00477D6B">
    <w:pPr>
      <w:jc w:val="right"/>
    </w:pPr>
  </w:p>
  <w:p w14:paraId="61D844F5"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E312068"/>
    <w:multiLevelType w:val="hybridMultilevel"/>
    <w:tmpl w:val="E66EA4E0"/>
    <w:lvl w:ilvl="0" w:tplc="2F4A73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5817BD4"/>
    <w:multiLevelType w:val="hybridMultilevel"/>
    <w:tmpl w:val="EDB82FB0"/>
    <w:lvl w:ilvl="0" w:tplc="04090017">
      <w:start w:val="1"/>
      <w:numFmt w:val="lowerLetter"/>
      <w:lvlText w:val="%1)"/>
      <w:lvlJc w:val="left"/>
      <w:pPr>
        <w:ind w:left="7530" w:hanging="360"/>
      </w:pPr>
      <w:rPr>
        <w:rFonts w:hint="default"/>
      </w:rPr>
    </w:lvl>
    <w:lvl w:ilvl="1" w:tplc="04090019" w:tentative="1">
      <w:start w:val="1"/>
      <w:numFmt w:val="lowerLetter"/>
      <w:lvlText w:val="%2."/>
      <w:lvlJc w:val="left"/>
      <w:pPr>
        <w:ind w:left="8250" w:hanging="360"/>
      </w:pPr>
    </w:lvl>
    <w:lvl w:ilvl="2" w:tplc="0409001B" w:tentative="1">
      <w:start w:val="1"/>
      <w:numFmt w:val="lowerRoman"/>
      <w:lvlText w:val="%3."/>
      <w:lvlJc w:val="right"/>
      <w:pPr>
        <w:ind w:left="8970" w:hanging="180"/>
      </w:pPr>
    </w:lvl>
    <w:lvl w:ilvl="3" w:tplc="0409000F" w:tentative="1">
      <w:start w:val="1"/>
      <w:numFmt w:val="decimal"/>
      <w:lvlText w:val="%4."/>
      <w:lvlJc w:val="left"/>
      <w:pPr>
        <w:ind w:left="9690" w:hanging="360"/>
      </w:pPr>
    </w:lvl>
    <w:lvl w:ilvl="4" w:tplc="04090019" w:tentative="1">
      <w:start w:val="1"/>
      <w:numFmt w:val="lowerLetter"/>
      <w:lvlText w:val="%5."/>
      <w:lvlJc w:val="left"/>
      <w:pPr>
        <w:ind w:left="10410" w:hanging="360"/>
      </w:pPr>
    </w:lvl>
    <w:lvl w:ilvl="5" w:tplc="0409001B" w:tentative="1">
      <w:start w:val="1"/>
      <w:numFmt w:val="lowerRoman"/>
      <w:lvlText w:val="%6."/>
      <w:lvlJc w:val="right"/>
      <w:pPr>
        <w:ind w:left="11130" w:hanging="180"/>
      </w:pPr>
    </w:lvl>
    <w:lvl w:ilvl="6" w:tplc="0409000F" w:tentative="1">
      <w:start w:val="1"/>
      <w:numFmt w:val="decimal"/>
      <w:lvlText w:val="%7."/>
      <w:lvlJc w:val="left"/>
      <w:pPr>
        <w:ind w:left="11850" w:hanging="360"/>
      </w:pPr>
    </w:lvl>
    <w:lvl w:ilvl="7" w:tplc="04090019" w:tentative="1">
      <w:start w:val="1"/>
      <w:numFmt w:val="lowerLetter"/>
      <w:lvlText w:val="%8."/>
      <w:lvlJc w:val="left"/>
      <w:pPr>
        <w:ind w:left="12570" w:hanging="360"/>
      </w:pPr>
    </w:lvl>
    <w:lvl w:ilvl="8" w:tplc="0409001B" w:tentative="1">
      <w:start w:val="1"/>
      <w:numFmt w:val="lowerRoman"/>
      <w:lvlText w:val="%9."/>
      <w:lvlJc w:val="right"/>
      <w:pPr>
        <w:ind w:left="13290" w:hanging="180"/>
      </w:pPr>
    </w:lvl>
  </w:abstractNum>
  <w:abstractNum w:abstractNumId="8" w15:restartNumberingAfterBreak="0">
    <w:nsid w:val="5D10755A"/>
    <w:multiLevelType w:val="hybridMultilevel"/>
    <w:tmpl w:val="8F320716"/>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527987169">
    <w:abstractNumId w:val="3"/>
  </w:num>
  <w:num w:numId="2" w16cid:durableId="1368065899">
    <w:abstractNumId w:val="5"/>
  </w:num>
  <w:num w:numId="3" w16cid:durableId="1509633635">
    <w:abstractNumId w:val="0"/>
  </w:num>
  <w:num w:numId="4" w16cid:durableId="677849983">
    <w:abstractNumId w:val="6"/>
  </w:num>
  <w:num w:numId="5" w16cid:durableId="1988243437">
    <w:abstractNumId w:val="1"/>
  </w:num>
  <w:num w:numId="6" w16cid:durableId="2016496202">
    <w:abstractNumId w:val="4"/>
  </w:num>
  <w:num w:numId="7" w16cid:durableId="27032419">
    <w:abstractNumId w:val="8"/>
  </w:num>
  <w:num w:numId="8" w16cid:durableId="153843026">
    <w:abstractNumId w:val="2"/>
  </w:num>
  <w:num w:numId="9" w16cid:durableId="596867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6A9"/>
    <w:rsid w:val="000E3BB3"/>
    <w:rsid w:val="000E67FD"/>
    <w:rsid w:val="000F5E56"/>
    <w:rsid w:val="001362EE"/>
    <w:rsid w:val="00152CEA"/>
    <w:rsid w:val="00177E8E"/>
    <w:rsid w:val="00180CF4"/>
    <w:rsid w:val="001832A6"/>
    <w:rsid w:val="001C4DD3"/>
    <w:rsid w:val="001D50D1"/>
    <w:rsid w:val="001F47B7"/>
    <w:rsid w:val="002042A0"/>
    <w:rsid w:val="002634C4"/>
    <w:rsid w:val="002F4E68"/>
    <w:rsid w:val="00307787"/>
    <w:rsid w:val="00354647"/>
    <w:rsid w:val="00377273"/>
    <w:rsid w:val="003845C1"/>
    <w:rsid w:val="00387287"/>
    <w:rsid w:val="003D41D4"/>
    <w:rsid w:val="00423E3E"/>
    <w:rsid w:val="00427AF4"/>
    <w:rsid w:val="0045231F"/>
    <w:rsid w:val="004647DA"/>
    <w:rsid w:val="00477D6B"/>
    <w:rsid w:val="004A6C37"/>
    <w:rsid w:val="004F7418"/>
    <w:rsid w:val="00511D0C"/>
    <w:rsid w:val="0055013B"/>
    <w:rsid w:val="0056224D"/>
    <w:rsid w:val="00571B99"/>
    <w:rsid w:val="005A383E"/>
    <w:rsid w:val="005D64EC"/>
    <w:rsid w:val="00605827"/>
    <w:rsid w:val="00615B8E"/>
    <w:rsid w:val="0066216D"/>
    <w:rsid w:val="00664847"/>
    <w:rsid w:val="00675021"/>
    <w:rsid w:val="006828CB"/>
    <w:rsid w:val="006A06C6"/>
    <w:rsid w:val="006F646F"/>
    <w:rsid w:val="007D7C7F"/>
    <w:rsid w:val="007E63AC"/>
    <w:rsid w:val="007E663E"/>
    <w:rsid w:val="00815082"/>
    <w:rsid w:val="00843582"/>
    <w:rsid w:val="008B14EA"/>
    <w:rsid w:val="008B2CC1"/>
    <w:rsid w:val="0090731E"/>
    <w:rsid w:val="00964890"/>
    <w:rsid w:val="00966A22"/>
    <w:rsid w:val="00970F3D"/>
    <w:rsid w:val="00972F03"/>
    <w:rsid w:val="009A0C8B"/>
    <w:rsid w:val="009B6241"/>
    <w:rsid w:val="00A16FC0"/>
    <w:rsid w:val="00A32C9E"/>
    <w:rsid w:val="00A7453D"/>
    <w:rsid w:val="00A8402E"/>
    <w:rsid w:val="00AB613D"/>
    <w:rsid w:val="00AE14FB"/>
    <w:rsid w:val="00B110E8"/>
    <w:rsid w:val="00B45C13"/>
    <w:rsid w:val="00B477FB"/>
    <w:rsid w:val="00B65A0A"/>
    <w:rsid w:val="00B72D36"/>
    <w:rsid w:val="00BA063E"/>
    <w:rsid w:val="00BC4164"/>
    <w:rsid w:val="00BD2DCC"/>
    <w:rsid w:val="00BE1A8C"/>
    <w:rsid w:val="00C06472"/>
    <w:rsid w:val="00C90559"/>
    <w:rsid w:val="00CF0B9D"/>
    <w:rsid w:val="00CF31F1"/>
    <w:rsid w:val="00CF347F"/>
    <w:rsid w:val="00D36B79"/>
    <w:rsid w:val="00D40CF0"/>
    <w:rsid w:val="00D56C7C"/>
    <w:rsid w:val="00D71B4D"/>
    <w:rsid w:val="00D90289"/>
    <w:rsid w:val="00D93D55"/>
    <w:rsid w:val="00DB06A9"/>
    <w:rsid w:val="00E45C84"/>
    <w:rsid w:val="00E504E5"/>
    <w:rsid w:val="00E73ABF"/>
    <w:rsid w:val="00EB7A3E"/>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033FB"/>
  <w15:docId w15:val="{EB599073-3D8F-46AB-AF1E-87E612723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link w:val="Heading3Char"/>
    <w:qFormat/>
    <w:rsid w:val="00A32C9E"/>
    <w:pPr>
      <w:keepNext/>
      <w:spacing w:before="240" w:after="60"/>
      <w:outlineLvl w:val="2"/>
    </w:pPr>
    <w:rPr>
      <w:bCs/>
      <w:szCs w:val="26"/>
      <w:u w:val="single"/>
    </w:rPr>
  </w:style>
  <w:style w:type="paragraph" w:styleId="Heading4">
    <w:name w:val="heading 4"/>
    <w:basedOn w:val="Normal"/>
    <w:next w:val="Normal"/>
    <w:link w:val="Heading4Char"/>
    <w:uiPriority w:val="9"/>
    <w:qFormat/>
    <w:rsid w:val="00A32C9E"/>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DB06A9"/>
    <w:rPr>
      <w:rFonts w:ascii="Arial" w:eastAsia="SimSun" w:hAnsi="Arial" w:cs="Arial"/>
      <w:bCs/>
      <w:iCs/>
      <w:caps/>
      <w:sz w:val="22"/>
      <w:szCs w:val="28"/>
      <w:lang w:val="es-ES" w:eastAsia="zh-CN"/>
    </w:rPr>
  </w:style>
  <w:style w:type="character" w:customStyle="1" w:styleId="Heading3Char">
    <w:name w:val="Heading 3 Char"/>
    <w:basedOn w:val="DefaultParagraphFont"/>
    <w:link w:val="Heading3"/>
    <w:rsid w:val="00DB06A9"/>
    <w:rPr>
      <w:rFonts w:ascii="Arial" w:eastAsia="SimSun" w:hAnsi="Arial" w:cs="Arial"/>
      <w:bCs/>
      <w:sz w:val="22"/>
      <w:szCs w:val="26"/>
      <w:u w:val="single"/>
      <w:lang w:val="es-ES" w:eastAsia="zh-CN"/>
    </w:rPr>
  </w:style>
  <w:style w:type="table" w:styleId="TableGrid">
    <w:name w:val="Table Grid"/>
    <w:basedOn w:val="TableNormal"/>
    <w:uiPriority w:val="39"/>
    <w:rsid w:val="00DB06A9"/>
    <w:rPr>
      <w:rFonts w:eastAsiaTheme="minorEastAsia"/>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06A9"/>
    <w:rPr>
      <w:color w:val="0000FF" w:themeColor="hyperlink"/>
      <w:u w:val="single"/>
    </w:rPr>
  </w:style>
  <w:style w:type="paragraph" w:styleId="ListParagraph">
    <w:name w:val="List Paragraph"/>
    <w:basedOn w:val="Normal"/>
    <w:uiPriority w:val="34"/>
    <w:qFormat/>
    <w:rsid w:val="00DB06A9"/>
    <w:pPr>
      <w:ind w:left="720"/>
      <w:contextualSpacing/>
    </w:pPr>
  </w:style>
  <w:style w:type="character" w:customStyle="1" w:styleId="BodyTextChar">
    <w:name w:val="Body Text Char"/>
    <w:basedOn w:val="DefaultParagraphFont"/>
    <w:link w:val="BodyText"/>
    <w:uiPriority w:val="99"/>
    <w:rsid w:val="00DB06A9"/>
    <w:rPr>
      <w:rFonts w:ascii="Arial" w:eastAsia="SimSun" w:hAnsi="Arial" w:cs="Arial"/>
      <w:sz w:val="22"/>
      <w:lang w:val="es-ES" w:eastAsia="zh-CN"/>
    </w:rPr>
  </w:style>
  <w:style w:type="character" w:customStyle="1" w:styleId="Heading4Char">
    <w:name w:val="Heading 4 Char"/>
    <w:basedOn w:val="DefaultParagraphFont"/>
    <w:link w:val="Heading4"/>
    <w:uiPriority w:val="9"/>
    <w:rsid w:val="00DB06A9"/>
    <w:rPr>
      <w:rFonts w:ascii="Arial" w:eastAsia="SimSun" w:hAnsi="Arial" w:cs="Arial"/>
      <w:bCs/>
      <w:i/>
      <w:sz w:val="22"/>
      <w:szCs w:val="28"/>
      <w:lang w:val="es-ES" w:eastAsia="zh-CN"/>
    </w:rPr>
  </w:style>
  <w:style w:type="character" w:styleId="UnresolvedMention">
    <w:name w:val="Unresolved Mention"/>
    <w:basedOn w:val="DefaultParagraphFont"/>
    <w:uiPriority w:val="99"/>
    <w:semiHidden/>
    <w:unhideWhenUsed/>
    <w:rsid w:val="002042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documents/d/cws/docs-es-circulars-files-cws-205.pdf" TargetMode="External"/><Relationship Id="rId18" Type="http://schemas.openxmlformats.org/officeDocument/2006/relationships/hyperlink" Target="https://www.wipo.int/edocs/mdocs/cws/es/cws_14/cws_14_18-annexi.xlsx"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wipo.int/meetings/es/doc_details.jsp?doc_id=651788" TargetMode="External"/><Relationship Id="rId17" Type="http://schemas.openxmlformats.org/officeDocument/2006/relationships/hyperlink" Target="https://www.wipo.int/es/web/standards/part_07" TargetMode="External"/><Relationship Id="rId2" Type="http://schemas.openxmlformats.org/officeDocument/2006/relationships/customXml" Target="../customXml/item2.xml"/><Relationship Id="rId16" Type="http://schemas.openxmlformats.org/officeDocument/2006/relationships/hyperlink" Target="https://surveys.wipo.int/s3/Draft-template-for-the-update-of-Part-7-2-7-of-WIPO-Handbook-cws-1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urveys.wipo.int/s3/Draft-Template-for-the-update-of-Part-7-2-6-of-WIPO-Handbook-CWS-1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documents/d/cws/docs-es-circulars-files-cws-214.pdf"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3E1213C1-7CCC-444E-9D7B-9EA8C4F7E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4C99D-D6D4-47DB-8682-369EF60BDFED}">
  <ds:schemaRefs>
    <ds:schemaRef ds:uri="http://schemas.microsoft.com/sharepoint/v3/contenttype/forms"/>
  </ds:schemaRefs>
</ds:datastoreItem>
</file>

<file path=customXml/itemProps3.xml><?xml version="1.0" encoding="utf-8"?>
<ds:datastoreItem xmlns:ds="http://schemas.openxmlformats.org/officeDocument/2006/customXml" ds:itemID="{11BAE37A-1AB0-453D-9226-59800B54378F}">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12E477A3-DC1B-4333-8A99-0C095F3E84E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(S).dotm</Template>
  <TotalTime>12</TotalTime>
  <Pages>6</Pages>
  <Words>2571</Words>
  <Characters>14657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CWS/14/18 (Spanish) </vt:lpstr>
    </vt:vector>
  </TitlesOfParts>
  <Company>WIPO</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CWS/14/18 (Spanish) </dc:title>
  <dc:subject>Informe sobre la tarea n.° 50 del Equipo Técnico de la Parte 7 </dc:subject>
  <dc:creator>WIPO</dc:creator>
  <cp:keywords>WIPO CWS decimocuarta sesión, Informe, Equipo Técnico de la Parte 7 </cp:keywords>
  <cp:lastModifiedBy>EMMETT Claudia</cp:lastModifiedBy>
  <cp:revision>6</cp:revision>
  <dcterms:created xsi:type="dcterms:W3CDTF">2026-10-19T12:26:00Z</dcterms:created>
  <dcterms:modified xsi:type="dcterms:W3CDTF">2026-10-23T10:48:00Z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2026-10-19T12:16:11Z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db545072-8552-4cf8-85a4-f99faf7f3fe2</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