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122D" w14:textId="77777777" w:rsidR="00767841" w:rsidRPr="000C7D46" w:rsidRDefault="00472A6E" w:rsidP="00767841">
      <w:pPr>
        <w:spacing w:after="120"/>
        <w:ind w:right="-57"/>
        <w:jc w:val="right"/>
        <w:rPr>
          <w:rFonts w:ascii="Arial Black" w:hAnsi="Arial Black"/>
          <w:caps/>
          <w:sz w:val="15"/>
          <w:lang w:val="es-ES_tradnl"/>
        </w:rPr>
      </w:pPr>
      <w:r w:rsidRPr="000C7D46">
        <w:rPr>
          <w:noProof/>
          <w:lang w:val="es-ES_tradnl" w:eastAsia="en-US"/>
        </w:rPr>
        <w:drawing>
          <wp:inline distT="0" distB="0" distL="0" distR="0" wp14:anchorId="08D21167" wp14:editId="7DF2428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0C7D46">
        <w:rPr>
          <w:rFonts w:ascii="Arial Black" w:hAnsi="Arial Black"/>
          <w:caps/>
          <w:noProof/>
          <w:sz w:val="15"/>
          <w:lang w:val="es-ES_tradnl"/>
        </w:rPr>
        <mc:AlternateContent>
          <mc:Choice Requires="wps">
            <w:drawing>
              <wp:inline distT="0" distB="0" distL="0" distR="0" wp14:anchorId="51F02CE2" wp14:editId="05F6B824">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09923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3B022AE2" w14:textId="24A7BA53" w:rsidR="00767841" w:rsidRPr="000C7D46" w:rsidRDefault="00767841" w:rsidP="00472A6E">
      <w:pPr>
        <w:jc w:val="right"/>
        <w:rPr>
          <w:rFonts w:ascii="Arial Black" w:hAnsi="Arial Black"/>
          <w:caps/>
          <w:sz w:val="15"/>
          <w:lang w:val="es-ES_tradnl"/>
        </w:rPr>
      </w:pPr>
      <w:r w:rsidRPr="000C7D46">
        <w:rPr>
          <w:rFonts w:ascii="Arial Black" w:hAnsi="Arial Black"/>
          <w:caps/>
          <w:sz w:val="15"/>
          <w:lang w:val="es-ES_tradnl"/>
        </w:rPr>
        <w:t>CWS/13/</w:t>
      </w:r>
      <w:bookmarkStart w:id="0" w:name="Code"/>
      <w:bookmarkEnd w:id="0"/>
      <w:r w:rsidR="00711431" w:rsidRPr="000C7D46">
        <w:rPr>
          <w:rFonts w:ascii="Arial Black" w:hAnsi="Arial Black"/>
          <w:caps/>
          <w:sz w:val="15"/>
          <w:lang w:val="es-ES_tradnl"/>
        </w:rPr>
        <w:t>31</w:t>
      </w:r>
      <w:r w:rsidR="009D6285" w:rsidRPr="000C7D46">
        <w:rPr>
          <w:rFonts w:ascii="Arial Black" w:hAnsi="Arial Black"/>
          <w:caps/>
          <w:sz w:val="15"/>
          <w:lang w:val="es-ES_tradnl"/>
        </w:rPr>
        <w:t xml:space="preserve"> rev.</w:t>
      </w:r>
      <w:r w:rsidR="000C7D46" w:rsidRPr="000C7D46">
        <w:rPr>
          <w:rFonts w:ascii="Arial Black" w:hAnsi="Arial Black"/>
          <w:caps/>
          <w:sz w:val="15"/>
          <w:lang w:val="es-ES_tradnl"/>
        </w:rPr>
        <w:t xml:space="preserve"> </w:t>
      </w:r>
      <w:r w:rsidR="00F42120" w:rsidRPr="000C7D46">
        <w:rPr>
          <w:rFonts w:ascii="Arial Black" w:hAnsi="Arial Black"/>
          <w:caps/>
          <w:sz w:val="15"/>
          <w:lang w:val="es-ES_tradnl"/>
        </w:rPr>
        <w:t>2</w:t>
      </w:r>
    </w:p>
    <w:p w14:paraId="5D33E51C" w14:textId="1D645CA0" w:rsidR="008B2CC1" w:rsidRPr="000C7D46" w:rsidRDefault="00472A6E" w:rsidP="00472A6E">
      <w:pPr>
        <w:jc w:val="right"/>
        <w:rPr>
          <w:lang w:val="es-ES_tradnl"/>
        </w:rPr>
      </w:pPr>
      <w:r w:rsidRPr="000C7D46">
        <w:rPr>
          <w:rFonts w:ascii="Arial Black" w:hAnsi="Arial Black"/>
          <w:caps/>
          <w:sz w:val="15"/>
          <w:lang w:val="es-ES_tradnl"/>
        </w:rPr>
        <w:t xml:space="preserve">ORIGINAL: </w:t>
      </w:r>
      <w:bookmarkStart w:id="1" w:name="Original"/>
      <w:r w:rsidR="00711431" w:rsidRPr="000C7D46">
        <w:rPr>
          <w:rFonts w:ascii="Arial Black" w:hAnsi="Arial Black"/>
          <w:caps/>
          <w:sz w:val="15"/>
          <w:lang w:val="es-ES_tradnl"/>
        </w:rPr>
        <w:t>INGLÉS</w:t>
      </w:r>
    </w:p>
    <w:bookmarkEnd w:id="1"/>
    <w:p w14:paraId="2AE9482D" w14:textId="36F8EE05" w:rsidR="008B2CC1" w:rsidRPr="000C7D46" w:rsidRDefault="00472A6E" w:rsidP="00472A6E">
      <w:pPr>
        <w:spacing w:after="1200"/>
        <w:jc w:val="right"/>
        <w:rPr>
          <w:lang w:val="es-ES_tradnl"/>
        </w:rPr>
      </w:pPr>
      <w:r w:rsidRPr="000C7D46">
        <w:rPr>
          <w:rFonts w:ascii="Arial Black" w:hAnsi="Arial Black"/>
          <w:caps/>
          <w:sz w:val="15"/>
          <w:lang w:val="es-ES_tradnl"/>
        </w:rPr>
        <w:t xml:space="preserve">fecha: </w:t>
      </w:r>
      <w:bookmarkStart w:id="2" w:name="Date"/>
      <w:r w:rsidR="00F42120" w:rsidRPr="000C7D46">
        <w:rPr>
          <w:rFonts w:ascii="Arial Black" w:hAnsi="Arial Black"/>
          <w:caps/>
          <w:sz w:val="15"/>
          <w:lang w:val="es-ES_tradnl"/>
        </w:rPr>
        <w:t>3</w:t>
      </w:r>
      <w:r w:rsidR="007814BA">
        <w:rPr>
          <w:rFonts w:ascii="Arial Black" w:hAnsi="Arial Black"/>
          <w:caps/>
          <w:sz w:val="15"/>
          <w:lang w:val="es-ES_tradnl"/>
        </w:rPr>
        <w:t>1</w:t>
      </w:r>
      <w:r w:rsidR="00711431" w:rsidRPr="000C7D46">
        <w:rPr>
          <w:rFonts w:ascii="Arial Black" w:hAnsi="Arial Black"/>
          <w:caps/>
          <w:sz w:val="15"/>
          <w:lang w:val="es-ES_tradnl"/>
        </w:rPr>
        <w:t xml:space="preserve"> DE </w:t>
      </w:r>
      <w:r w:rsidR="009D6285" w:rsidRPr="000C7D46">
        <w:rPr>
          <w:rFonts w:ascii="Arial Black" w:hAnsi="Arial Black"/>
          <w:caps/>
          <w:sz w:val="15"/>
          <w:lang w:val="es-ES_tradnl"/>
        </w:rPr>
        <w:t xml:space="preserve">octubre </w:t>
      </w:r>
      <w:r w:rsidR="00711431" w:rsidRPr="000C7D46">
        <w:rPr>
          <w:rFonts w:ascii="Arial Black" w:hAnsi="Arial Black"/>
          <w:caps/>
          <w:sz w:val="15"/>
          <w:lang w:val="es-ES_tradnl"/>
        </w:rPr>
        <w:t>DE 2025</w:t>
      </w:r>
    </w:p>
    <w:bookmarkEnd w:id="2"/>
    <w:p w14:paraId="5282BA7E" w14:textId="77777777" w:rsidR="00B67CDC" w:rsidRPr="000C7D46" w:rsidRDefault="00767841" w:rsidP="00472A6E">
      <w:pPr>
        <w:pStyle w:val="Heading1"/>
        <w:spacing w:before="0" w:after="480"/>
        <w:rPr>
          <w:sz w:val="28"/>
          <w:szCs w:val="28"/>
          <w:lang w:val="es-ES_tradnl"/>
        </w:rPr>
      </w:pPr>
      <w:r w:rsidRPr="000C7D46">
        <w:rPr>
          <w:caps w:val="0"/>
          <w:sz w:val="28"/>
          <w:szCs w:val="28"/>
          <w:lang w:val="es-ES_tradnl"/>
        </w:rPr>
        <w:t>Comité de Normas Técnicas de la OMPI (CWS)</w:t>
      </w:r>
    </w:p>
    <w:p w14:paraId="7C394CEF" w14:textId="77777777" w:rsidR="00B67CDC" w:rsidRPr="000C7D46" w:rsidRDefault="00767841" w:rsidP="00472A6E">
      <w:pPr>
        <w:spacing w:after="720"/>
        <w:outlineLvl w:val="1"/>
        <w:rPr>
          <w:b/>
          <w:sz w:val="24"/>
          <w:szCs w:val="24"/>
          <w:lang w:val="es-ES_tradnl"/>
        </w:rPr>
      </w:pPr>
      <w:r w:rsidRPr="000C7D46">
        <w:rPr>
          <w:b/>
          <w:sz w:val="24"/>
          <w:szCs w:val="24"/>
          <w:lang w:val="es-ES_tradnl"/>
        </w:rPr>
        <w:t>Decimotercera s</w:t>
      </w:r>
      <w:r w:rsidR="00B67CDC" w:rsidRPr="000C7D46">
        <w:rPr>
          <w:b/>
          <w:sz w:val="24"/>
          <w:szCs w:val="24"/>
          <w:lang w:val="es-ES_tradnl"/>
        </w:rPr>
        <w:t>esión</w:t>
      </w:r>
      <w:r w:rsidR="00472A6E" w:rsidRPr="000C7D46">
        <w:rPr>
          <w:b/>
          <w:sz w:val="24"/>
          <w:szCs w:val="24"/>
          <w:lang w:val="es-ES_tradnl"/>
        </w:rPr>
        <w:br/>
      </w:r>
      <w:r w:rsidRPr="000C7D46">
        <w:rPr>
          <w:b/>
          <w:sz w:val="24"/>
          <w:szCs w:val="24"/>
          <w:lang w:val="es-ES_tradnl"/>
        </w:rPr>
        <w:t>Ginebra, 10 a 14 de noviembre de 2025</w:t>
      </w:r>
    </w:p>
    <w:p w14:paraId="3D4972DF" w14:textId="686EC5AC" w:rsidR="008B2CC1" w:rsidRPr="000C7D46" w:rsidRDefault="00711431" w:rsidP="00472A6E">
      <w:pPr>
        <w:spacing w:after="360"/>
        <w:rPr>
          <w:caps/>
          <w:sz w:val="24"/>
          <w:lang w:val="es-ES_tradnl"/>
        </w:rPr>
      </w:pPr>
      <w:bookmarkStart w:id="3" w:name="TitleOfDoc"/>
      <w:r w:rsidRPr="000C7D46">
        <w:rPr>
          <w:caps/>
          <w:sz w:val="24"/>
          <w:lang w:val="es-ES_tradnl"/>
        </w:rPr>
        <w:t>PROGRAMA DE TRABAJO DEL CWS</w:t>
      </w:r>
    </w:p>
    <w:p w14:paraId="45C8AD34" w14:textId="7467EF41" w:rsidR="008B2CC1" w:rsidRPr="000C7D46" w:rsidRDefault="00711431" w:rsidP="00472A6E">
      <w:pPr>
        <w:spacing w:after="1040"/>
        <w:rPr>
          <w:i/>
          <w:lang w:val="es-ES_tradnl"/>
        </w:rPr>
      </w:pPr>
      <w:bookmarkStart w:id="4" w:name="Prepared"/>
      <w:bookmarkEnd w:id="3"/>
      <w:bookmarkEnd w:id="4"/>
      <w:r w:rsidRPr="000C7D46">
        <w:rPr>
          <w:i/>
          <w:lang w:val="es-ES_tradnl"/>
        </w:rPr>
        <w:t>preparado por la Secretaría</w:t>
      </w:r>
    </w:p>
    <w:p w14:paraId="66533E53" w14:textId="77777777" w:rsidR="00711431" w:rsidRPr="000C7D46" w:rsidRDefault="00711431" w:rsidP="00FD4B64">
      <w:pPr>
        <w:pStyle w:val="Heading2"/>
        <w:spacing w:after="120"/>
        <w:rPr>
          <w:lang w:val="es-ES_tradnl"/>
        </w:rPr>
      </w:pPr>
      <w:r w:rsidRPr="000C7D46">
        <w:rPr>
          <w:lang w:val="es-ES_tradnl"/>
        </w:rPr>
        <w:t>RESUMEN</w:t>
      </w:r>
    </w:p>
    <w:p w14:paraId="228AE38D" w14:textId="157DD558" w:rsidR="00711431" w:rsidRPr="000C7D46" w:rsidRDefault="00711431" w:rsidP="00FD4B64">
      <w:pPr>
        <w:pStyle w:val="ONUMFS"/>
        <w:spacing w:after="480"/>
        <w:rPr>
          <w:lang w:val="es-ES_tradnl"/>
        </w:rPr>
      </w:pPr>
      <w:r w:rsidRPr="000C7D46">
        <w:rPr>
          <w:lang w:val="es-ES_tradnl"/>
        </w:rPr>
        <w:t>En este documento se resume la actualización del programa de trabajo y la lista de tareas del Comité de Normas Técnicas de la OMPI (CWS) para su examen en la presente sesión, incluido el análisis de la Secretaría de la complejidad y el nivel de actividad de las tareas del CWS y una propuesta de priorización de las tareas.</w:t>
      </w:r>
    </w:p>
    <w:p w14:paraId="45485331" w14:textId="77777777" w:rsidR="00711431" w:rsidRPr="000C7D46" w:rsidRDefault="00711431" w:rsidP="00FD4B64">
      <w:pPr>
        <w:pStyle w:val="Heading2"/>
        <w:spacing w:after="120"/>
        <w:rPr>
          <w:lang w:val="es-ES_tradnl"/>
        </w:rPr>
      </w:pPr>
      <w:r w:rsidRPr="000C7D46">
        <w:rPr>
          <w:lang w:val="es-ES_tradnl"/>
        </w:rPr>
        <w:t>INTRODUCCIÓN</w:t>
      </w:r>
    </w:p>
    <w:p w14:paraId="02AC56C5" w14:textId="78C4F1F5" w:rsidR="00711431" w:rsidRPr="000C7D46" w:rsidRDefault="00711431" w:rsidP="00FD4B64">
      <w:pPr>
        <w:pStyle w:val="ONUMFS"/>
        <w:rPr>
          <w:lang w:val="es-ES_tradnl"/>
        </w:rPr>
      </w:pPr>
      <w:r w:rsidRPr="000C7D46">
        <w:rPr>
          <w:lang w:val="es-ES_tradnl"/>
        </w:rPr>
        <w:t>En su duodécima sesión, celebrada en 2024, el CWS examinó su programa de trabajo y su lista de tareas, que figuran en el Anexo del documento CWS/12/2</w:t>
      </w:r>
      <w:r w:rsidR="00FD4B64" w:rsidRPr="000C7D46">
        <w:rPr>
          <w:lang w:val="es-ES_tradnl"/>
        </w:rPr>
        <w:t> </w:t>
      </w:r>
      <w:r w:rsidRPr="000C7D46">
        <w:rPr>
          <w:lang w:val="es-ES_tradnl"/>
        </w:rPr>
        <w:t>Corr. Se definieron</w:t>
      </w:r>
      <w:r w:rsidR="00FD4B64" w:rsidRPr="000C7D46">
        <w:rPr>
          <w:lang w:val="es-ES_tradnl"/>
        </w:rPr>
        <w:t> </w:t>
      </w:r>
      <w:r w:rsidRPr="000C7D46">
        <w:rPr>
          <w:lang w:val="es-ES_tradnl"/>
        </w:rPr>
        <w:t xml:space="preserve">19 tareas en curso y dos en suspenso en la lista de tareas, en la cual 14 se asignaron a un equipo técnico específico y cinco permanecieron sin asignar. El Comité consideró asimismo las propuestas para añadir tres nuevas tareas y examinó las actividades pertinentes para todas las tareas en curso. El Comité aprobó la lista revisada de tareas, expuesta en el Anexo II del documento CWS/12/29, incluida una nueva Tarea N.º 67 y cuatro tareas revisadas. En total, permanecen en el programa de trabajo 22 tareas, incluidas dos tareas en suspenso. </w:t>
      </w:r>
    </w:p>
    <w:p w14:paraId="2889807C" w14:textId="0B4796A1" w:rsidR="00711431" w:rsidRPr="000C7D46" w:rsidRDefault="00711431" w:rsidP="00FD4B64">
      <w:pPr>
        <w:pStyle w:val="ONUMFS"/>
        <w:rPr>
          <w:lang w:val="es-ES_tradnl"/>
        </w:rPr>
      </w:pPr>
      <w:r w:rsidRPr="000C7D46">
        <w:rPr>
          <w:lang w:val="es-ES_tradnl"/>
        </w:rPr>
        <w:t xml:space="preserve">En la misma sesión, el CWS tomó nota del análisis realizado por la Secretaría sobre los recursos necesarios para cada una de las tareas, en cuanto a complejidad y nivel de actividad previsto. El nivel de actividad de cada tarea se clasificó en las categorías “muy activa”, “activa”, “ocasional” e “inactiva”, mientras que las categorías para la complejidad fueron “compleja”, “media” y “simple”. La Secretaría publicó los resultados de su análisis en el documento CWS/12/4A-IB en la página de la reunión. El CWS acordó que la Secretaría, en consulta con los responsables de los equipos técnicos, preparara un análisis de la complejidad y el nivel de actividad previsto para cada una de las tareas e incluyera la información en la lista de tareas </w:t>
      </w:r>
      <w:r w:rsidRPr="000C7D46">
        <w:rPr>
          <w:lang w:val="es-ES_tradnl"/>
        </w:rPr>
        <w:lastRenderedPageBreak/>
        <w:t>para su examen en la decimotercera sesión del CWS (véase el párrafo 22 del documento</w:t>
      </w:r>
      <w:r w:rsidR="00FD4B64" w:rsidRPr="000C7D46">
        <w:rPr>
          <w:lang w:val="es-ES_tradnl"/>
        </w:rPr>
        <w:t> </w:t>
      </w:r>
      <w:r w:rsidRPr="000C7D46">
        <w:rPr>
          <w:lang w:val="es-ES_tradnl"/>
        </w:rPr>
        <w:t>CWS/12/29).</w:t>
      </w:r>
    </w:p>
    <w:p w14:paraId="3E12E260" w14:textId="65A2CE00" w:rsidR="00711431" w:rsidRPr="000C7D46" w:rsidRDefault="00711431" w:rsidP="00FD4B64">
      <w:pPr>
        <w:pStyle w:val="ONUMFS"/>
        <w:spacing w:after="360"/>
        <w:rPr>
          <w:lang w:val="es-ES_tradnl"/>
        </w:rPr>
      </w:pPr>
      <w:r w:rsidRPr="000C7D46">
        <w:rPr>
          <w:lang w:val="es-ES_tradnl"/>
        </w:rPr>
        <w:t>Con respecto a la priorización de las tareas del CWS, en su duodécima sesión, el CWS tomó nota de los resultados de la encuesta oficiosa sobre la priorización de sus tareas, y el análisis de los comentarios proporcionados por las 21 Oficinas participantes, que se expusieron en el documento CWS/12/3. El CWS acordó examinar la prioridad de cada tarea a la luz de los resultados de la encuesta oficiosa cuando examine su programa de trabajo. El CWS acordó también que la Secretaría, en consulta con los equipos técnicos del CWS, lleve a cabo una revisión anual de las actividades de todas las tareas del CWS y proponga qué tareas pueden dejarse en suspenso o considerarse prioritarias (véanse los párrafos 23 a 27 del documento</w:t>
      </w:r>
      <w:r w:rsidR="00FD4B64" w:rsidRPr="000C7D46">
        <w:rPr>
          <w:lang w:val="es-ES_tradnl"/>
        </w:rPr>
        <w:t> </w:t>
      </w:r>
      <w:r w:rsidRPr="000C7D46">
        <w:rPr>
          <w:lang w:val="es-ES_tradnl"/>
        </w:rPr>
        <w:t>CWS/12/29).</w:t>
      </w:r>
    </w:p>
    <w:p w14:paraId="758358BC" w14:textId="77777777" w:rsidR="00711431" w:rsidRPr="000C7D46" w:rsidRDefault="00711431" w:rsidP="00FD4B64">
      <w:pPr>
        <w:pStyle w:val="Heading3"/>
        <w:spacing w:after="120"/>
        <w:rPr>
          <w:lang w:val="es-ES_tradnl"/>
        </w:rPr>
      </w:pPr>
      <w:r w:rsidRPr="000C7D46">
        <w:rPr>
          <w:lang w:val="es-ES_tradnl"/>
        </w:rPr>
        <w:t>Miembros de los equipos técnicos del CWS</w:t>
      </w:r>
    </w:p>
    <w:p w14:paraId="4AF018A9" w14:textId="2CE6DD37" w:rsidR="00711431" w:rsidRPr="000C7D46" w:rsidRDefault="00711431" w:rsidP="00FD4B64">
      <w:pPr>
        <w:pStyle w:val="ONUMFS"/>
        <w:spacing w:after="480"/>
        <w:rPr>
          <w:lang w:val="es-ES_tradnl"/>
        </w:rPr>
      </w:pPr>
      <w:r w:rsidRPr="000C7D46">
        <w:rPr>
          <w:lang w:val="es-ES_tradnl"/>
        </w:rPr>
        <w:t>En su duodécima sesión, el CWS señaló que la Secretaría había llevado a cabo una auditoría de los miembros de los equipos técnicos en 2024 y suprimió las entradas que ya no eran válidas. La Secretaría, con el fin de mejorar la comunicación con los miembros y observadores de los equipos técnicos, llevó a cabo el proceso de limpieza anual de la membresía, en consulta con todos los miembros y observadores de los equipos técnicos. La nueva lista de miembros de los equipos técnicos del CWS se puede consultar en el sitio web de la OMPI, en la dirección</w:t>
      </w:r>
      <w:r w:rsidR="00FD4B64" w:rsidRPr="000C7D46">
        <w:rPr>
          <w:lang w:val="es-ES_tradnl"/>
        </w:rPr>
        <w:t xml:space="preserve"> </w:t>
      </w:r>
      <w:hyperlink r:id="rId8">
        <w:r w:rsidRPr="000C7D46">
          <w:rPr>
            <w:rStyle w:val="Hyperlink"/>
            <w:color w:val="0070C0"/>
            <w:lang w:val="es-ES_tradnl"/>
          </w:rPr>
          <w:t>https://www.wipo.int/es/web/cws/taskforce/members</w:t>
        </w:r>
      </w:hyperlink>
      <w:r w:rsidRPr="000C7D46">
        <w:rPr>
          <w:lang w:val="es-ES_tradnl"/>
        </w:rPr>
        <w:t>. Actualmente hay</w:t>
      </w:r>
      <w:r w:rsidR="007F1AF7" w:rsidRPr="000C7D46">
        <w:rPr>
          <w:lang w:val="es-ES_tradnl"/>
        </w:rPr>
        <w:t> </w:t>
      </w:r>
      <w:r w:rsidRPr="000C7D46">
        <w:rPr>
          <w:lang w:val="es-ES_tradnl"/>
        </w:rPr>
        <w:t>13 equipos técnicos del CWS activos. En ellos participan especialistas en la materia procedentes de 69 miembros del CWS y 3 observadores. Cabe señalar que desde la última sesión del CWS se han sumado a los equipos técnicos del CWS ocho nuevas oficinas de PI procedentes de los países siguientes: Ghana (GH), Grecia (GR), India (IN), Irán, (IR), Jordania (JO), Perú (PE), Tayikistán (TJ) y el Uruguay (UY). A fin de alentar a más oficinas de PI a que participen en los equipos técnicos del CWS, la Secretaría propone emitir una circular del CWS en la que se invite a las oficinas de PI a nominar sus especialistas en la materia para los equipos técnicos del CWS.</w:t>
      </w:r>
    </w:p>
    <w:p w14:paraId="77EEE8AD" w14:textId="77777777" w:rsidR="00711431" w:rsidRPr="000C7D46" w:rsidRDefault="00711431" w:rsidP="00FD4B64">
      <w:pPr>
        <w:pStyle w:val="Heading2"/>
        <w:spacing w:after="120"/>
        <w:rPr>
          <w:lang w:val="es-ES_tradnl"/>
        </w:rPr>
      </w:pPr>
      <w:r w:rsidRPr="000C7D46">
        <w:rPr>
          <w:lang w:val="es-ES_tradnl"/>
        </w:rPr>
        <w:t>Informe sobre las actividades del programa de trabajo del CWS</w:t>
      </w:r>
    </w:p>
    <w:p w14:paraId="23613A86" w14:textId="282410D0" w:rsidR="00711431" w:rsidRPr="000C7D46" w:rsidRDefault="00711431" w:rsidP="00FD4B64">
      <w:pPr>
        <w:pStyle w:val="ONUMFS"/>
        <w:spacing w:after="120"/>
        <w:rPr>
          <w:lang w:val="es-ES_tradnl"/>
        </w:rPr>
      </w:pPr>
      <w:r w:rsidRPr="000C7D46">
        <w:rPr>
          <w:lang w:val="es-ES_tradnl"/>
        </w:rPr>
        <w:t>Desde la duodécima sesión del Comité, los equipos técnicos del CWS han trabajado en el marco de las respectivas tareas del programa de trabajo del CWS aprobado en la duodécima sesión del Comité. Como pidió el CWS en su décima sesión, la Secretaría organizó una serie de reuniones trimestrales de revisión en 2025, en las que los responsables de los equipos técnicos presentaron los avances realizados en las tareas del CWS. Están invitados a las reuniones trimestrales todos los miembros y observadores de los equipos técnicos del CWS. Durante esas reuniones, los participantes tomaron nota de los progresos realizados en las tareas en curso del CWS expuestas por los responsables de los equipos técnicos utilizando la plantilla común siguiente:</w:t>
      </w:r>
    </w:p>
    <w:p w14:paraId="640EDBF4" w14:textId="77777777" w:rsidR="00711431" w:rsidRPr="000C7D46" w:rsidRDefault="00711431" w:rsidP="00FD4B64">
      <w:pPr>
        <w:pStyle w:val="ListParagraph"/>
        <w:numPr>
          <w:ilvl w:val="0"/>
          <w:numId w:val="7"/>
        </w:numPr>
        <w:spacing w:after="120"/>
        <w:contextualSpacing w:val="0"/>
        <w:rPr>
          <w:lang w:val="es-ES_tradnl"/>
        </w:rPr>
      </w:pPr>
      <w:r w:rsidRPr="000C7D46">
        <w:rPr>
          <w:lang w:val="es-ES_tradnl"/>
        </w:rPr>
        <w:t xml:space="preserve">objetivos; </w:t>
      </w:r>
    </w:p>
    <w:p w14:paraId="2918FF1A" w14:textId="77777777" w:rsidR="00711431" w:rsidRPr="000C7D46" w:rsidRDefault="00711431" w:rsidP="00FD4B64">
      <w:pPr>
        <w:pStyle w:val="ListParagraph"/>
        <w:numPr>
          <w:ilvl w:val="0"/>
          <w:numId w:val="7"/>
        </w:numPr>
        <w:spacing w:after="120"/>
        <w:contextualSpacing w:val="0"/>
        <w:rPr>
          <w:lang w:val="es-ES_tradnl"/>
        </w:rPr>
      </w:pPr>
      <w:r w:rsidRPr="000C7D46">
        <w:rPr>
          <w:lang w:val="es-ES_tradnl"/>
        </w:rPr>
        <w:t>medidas pertinentes para 2025 y el año siguiente;</w:t>
      </w:r>
    </w:p>
    <w:p w14:paraId="3EFF4BA8" w14:textId="77777777" w:rsidR="00711431" w:rsidRPr="000C7D46" w:rsidRDefault="00711431" w:rsidP="00FD4B64">
      <w:pPr>
        <w:pStyle w:val="ListParagraph"/>
        <w:numPr>
          <w:ilvl w:val="0"/>
          <w:numId w:val="7"/>
        </w:numPr>
        <w:spacing w:after="120"/>
        <w:contextualSpacing w:val="0"/>
        <w:rPr>
          <w:lang w:val="es-ES_tradnl"/>
        </w:rPr>
      </w:pPr>
      <w:r w:rsidRPr="000C7D46">
        <w:rPr>
          <w:lang w:val="es-ES_tradnl"/>
        </w:rPr>
        <w:t xml:space="preserve">posibles retos o dependencias; y </w:t>
      </w:r>
    </w:p>
    <w:p w14:paraId="6306433F" w14:textId="77777777" w:rsidR="00711431" w:rsidRPr="000C7D46" w:rsidRDefault="00711431" w:rsidP="00FD4B64">
      <w:pPr>
        <w:pStyle w:val="ListParagraph"/>
        <w:numPr>
          <w:ilvl w:val="0"/>
          <w:numId w:val="7"/>
        </w:numPr>
        <w:spacing w:after="240"/>
        <w:ind w:left="924" w:hanging="357"/>
        <w:contextualSpacing w:val="0"/>
        <w:rPr>
          <w:lang w:val="es-ES_tradnl"/>
        </w:rPr>
      </w:pPr>
      <w:r w:rsidRPr="000C7D46">
        <w:rPr>
          <w:lang w:val="es-ES_tradnl"/>
        </w:rPr>
        <w:t>evaluación de los progresos realizados.</w:t>
      </w:r>
    </w:p>
    <w:p w14:paraId="024EB237" w14:textId="23A18408" w:rsidR="00711431" w:rsidRPr="000C7D46" w:rsidRDefault="00711431" w:rsidP="00FD4B64">
      <w:pPr>
        <w:pStyle w:val="ONUMFS"/>
        <w:rPr>
          <w:lang w:val="es-ES_tradnl"/>
        </w:rPr>
      </w:pPr>
      <w:r w:rsidRPr="000C7D46">
        <w:rPr>
          <w:lang w:val="es-ES_tradnl"/>
        </w:rPr>
        <w:t>A fin de prestar asistencia a los miembros de los equipos técnicos del CWS, la Secretaría distribuyó el calendario de las reuniones relacionadas con las normas técnicas de la OMPI para</w:t>
      </w:r>
      <w:r w:rsidR="007F1AF7" w:rsidRPr="000C7D46">
        <w:rPr>
          <w:lang w:val="es-ES_tradnl"/>
        </w:rPr>
        <w:t> </w:t>
      </w:r>
      <w:r w:rsidRPr="000C7D46">
        <w:rPr>
          <w:lang w:val="es-ES_tradnl"/>
        </w:rPr>
        <w:t xml:space="preserve">2025 y el calendario de reuniones actualizado más recientemente, es decir, la </w:t>
      </w:r>
      <w:r w:rsidR="0002004E" w:rsidRPr="000C7D46">
        <w:rPr>
          <w:lang w:val="es-ES_tradnl"/>
        </w:rPr>
        <w:t>c</w:t>
      </w:r>
      <w:r w:rsidRPr="000C7D46">
        <w:rPr>
          <w:lang w:val="es-ES_tradnl"/>
        </w:rPr>
        <w:t>ircular</w:t>
      </w:r>
      <w:r w:rsidR="00FD4B64" w:rsidRPr="000C7D46">
        <w:rPr>
          <w:lang w:val="es-ES_tradnl"/>
        </w:rPr>
        <w:t> </w:t>
      </w:r>
      <w:r w:rsidRPr="000C7D46">
        <w:rPr>
          <w:lang w:val="es-ES_tradnl"/>
        </w:rPr>
        <w:t>C.CWS</w:t>
      </w:r>
      <w:r w:rsidR="00FD4B64" w:rsidRPr="000C7D46">
        <w:rPr>
          <w:lang w:val="es-ES_tradnl"/>
        </w:rPr>
        <w:t> </w:t>
      </w:r>
      <w:r w:rsidRPr="000C7D46">
        <w:rPr>
          <w:lang w:val="es-ES_tradnl"/>
        </w:rPr>
        <w:t>190</w:t>
      </w:r>
      <w:r w:rsidR="00FD4B64" w:rsidRPr="000C7D46">
        <w:rPr>
          <w:lang w:val="es-ES_tradnl"/>
        </w:rPr>
        <w:t> </w:t>
      </w:r>
      <w:r w:rsidRPr="000C7D46">
        <w:rPr>
          <w:lang w:val="es-ES_tradnl"/>
        </w:rPr>
        <w:t xml:space="preserve">Rev. se publica en la página web del CWS en: </w:t>
      </w:r>
      <w:hyperlink r:id="rId9" w:anchor="circ2025." w:history="1">
        <w:r w:rsidRPr="000C7D46">
          <w:rPr>
            <w:rStyle w:val="Hyperlink"/>
            <w:lang w:val="es-ES_tradnl"/>
          </w:rPr>
          <w:t>https://www.wipo.int/es/web/cws/circulars/index#circ2025</w:t>
        </w:r>
      </w:hyperlink>
      <w:r w:rsidRPr="000C7D46">
        <w:rPr>
          <w:lang w:val="es-ES_tradnl"/>
        </w:rPr>
        <w:t>. En 2025 se organizaron o programaron tres talleres y 41 reuniones. Además, la Secretaría organizó varias reuniones oficiosas entre las Oficinas interesadas sobre temas concretos para hallar soluciones o preparar propuestas que se sometan a consideración de los equipos técnicos.</w:t>
      </w:r>
    </w:p>
    <w:p w14:paraId="201791CB" w14:textId="33C51521" w:rsidR="00711431" w:rsidRPr="000C7D46" w:rsidRDefault="00711431" w:rsidP="00FD4B64">
      <w:pPr>
        <w:pStyle w:val="ONUMFS"/>
        <w:spacing w:after="360"/>
        <w:rPr>
          <w:lang w:val="es-ES_tradnl"/>
        </w:rPr>
      </w:pPr>
      <w:r w:rsidRPr="000C7D46">
        <w:rPr>
          <w:lang w:val="es-ES_tradnl"/>
        </w:rPr>
        <w:t>En la sesión actual, los 13 equipos técnicos activos informarán sobre sus actividades y sobre los progresos realizados en relación con las tareas asignadas desde la duodécima sesión del CWS. Si no se asignan a un equipo técnico concreto, se ofrece información sobre los avances en esas tareas en el Anexo del presente documento.</w:t>
      </w:r>
    </w:p>
    <w:p w14:paraId="4340D9DC" w14:textId="77777777" w:rsidR="00711431" w:rsidRPr="000C7D46" w:rsidRDefault="00711431" w:rsidP="00FD4B64">
      <w:pPr>
        <w:pStyle w:val="Heading3"/>
        <w:spacing w:after="120"/>
        <w:rPr>
          <w:lang w:val="es-ES_tradnl"/>
        </w:rPr>
      </w:pPr>
      <w:r w:rsidRPr="000C7D46">
        <w:rPr>
          <w:lang w:val="es-ES_tradnl"/>
        </w:rPr>
        <w:t>Lista de tareas en curso</w:t>
      </w:r>
    </w:p>
    <w:p w14:paraId="29F2B7D9" w14:textId="31500F40" w:rsidR="00711431" w:rsidRPr="000C7D46" w:rsidRDefault="00711431" w:rsidP="00FD4B64">
      <w:pPr>
        <w:pStyle w:val="ONUMFS"/>
        <w:spacing w:after="120"/>
        <w:rPr>
          <w:lang w:val="es-ES_tradnl"/>
        </w:rPr>
      </w:pPr>
      <w:r w:rsidRPr="000C7D46">
        <w:rPr>
          <w:lang w:val="es-ES_tradnl"/>
        </w:rPr>
        <w:t xml:space="preserve">La Secretaría ha elaborado una nueva lista revisada de tareas para someterla a consideración del CWS, reproducida en el Anexo I del presente documento. Para cada tarea, en el Anexo figura la información siguiente: </w:t>
      </w:r>
    </w:p>
    <w:p w14:paraId="5F83BB06" w14:textId="77777777" w:rsidR="00711431" w:rsidRPr="000C7D46" w:rsidRDefault="00711431" w:rsidP="00FD4B64">
      <w:pPr>
        <w:pStyle w:val="ListParagraph"/>
        <w:keepNext/>
        <w:numPr>
          <w:ilvl w:val="0"/>
          <w:numId w:val="8"/>
        </w:numPr>
        <w:spacing w:after="120"/>
        <w:contextualSpacing w:val="0"/>
        <w:rPr>
          <w:lang w:val="es-ES_tradnl"/>
        </w:rPr>
      </w:pPr>
      <w:r w:rsidRPr="000C7D46">
        <w:rPr>
          <w:lang w:val="es-ES_tradnl"/>
        </w:rPr>
        <w:t xml:space="preserve">descripción de la tarea; </w:t>
      </w:r>
    </w:p>
    <w:p w14:paraId="5BAAC20D" w14:textId="77777777" w:rsidR="00711431" w:rsidRPr="000C7D46" w:rsidRDefault="00711431" w:rsidP="00FD4B64">
      <w:pPr>
        <w:pStyle w:val="ListParagraph"/>
        <w:numPr>
          <w:ilvl w:val="0"/>
          <w:numId w:val="8"/>
        </w:numPr>
        <w:spacing w:after="120"/>
        <w:contextualSpacing w:val="0"/>
        <w:rPr>
          <w:lang w:val="es-ES_tradnl"/>
        </w:rPr>
      </w:pPr>
      <w:r w:rsidRPr="000C7D46">
        <w:rPr>
          <w:lang w:val="es-ES_tradnl"/>
        </w:rPr>
        <w:t xml:space="preserve">equipo técnico, o responsable de la tarea o del equipo técnico; </w:t>
      </w:r>
    </w:p>
    <w:p w14:paraId="40E343A4" w14:textId="77777777" w:rsidR="00711431" w:rsidRPr="000C7D46" w:rsidRDefault="00711431" w:rsidP="00FD4B64">
      <w:pPr>
        <w:pStyle w:val="ListParagraph"/>
        <w:numPr>
          <w:ilvl w:val="0"/>
          <w:numId w:val="8"/>
        </w:numPr>
        <w:spacing w:after="120"/>
        <w:contextualSpacing w:val="0"/>
        <w:rPr>
          <w:lang w:val="es-ES_tradnl"/>
        </w:rPr>
      </w:pPr>
      <w:r w:rsidRPr="000C7D46">
        <w:rPr>
          <w:lang w:val="es-ES_tradnl"/>
        </w:rPr>
        <w:t xml:space="preserve">medidas previstas; </w:t>
      </w:r>
    </w:p>
    <w:p w14:paraId="69A6B907" w14:textId="77777777" w:rsidR="00711431" w:rsidRPr="000C7D46" w:rsidRDefault="00711431" w:rsidP="00FD4B64">
      <w:pPr>
        <w:pStyle w:val="ListParagraph"/>
        <w:numPr>
          <w:ilvl w:val="0"/>
          <w:numId w:val="8"/>
        </w:numPr>
        <w:spacing w:after="120"/>
        <w:contextualSpacing w:val="0"/>
        <w:rPr>
          <w:lang w:val="es-ES_tradnl"/>
        </w:rPr>
      </w:pPr>
      <w:r w:rsidRPr="000C7D46">
        <w:rPr>
          <w:lang w:val="es-ES_tradnl"/>
        </w:rPr>
        <w:t xml:space="preserve">observaciones e historial de información; y </w:t>
      </w:r>
    </w:p>
    <w:p w14:paraId="3C152233" w14:textId="77777777" w:rsidR="00711431" w:rsidRPr="000C7D46" w:rsidRDefault="00711431" w:rsidP="00FD4B64">
      <w:pPr>
        <w:pStyle w:val="ListParagraph"/>
        <w:numPr>
          <w:ilvl w:val="0"/>
          <w:numId w:val="8"/>
        </w:numPr>
        <w:spacing w:after="240"/>
        <w:ind w:left="924" w:hanging="357"/>
        <w:contextualSpacing w:val="0"/>
        <w:rPr>
          <w:lang w:val="es-ES_tradnl"/>
        </w:rPr>
      </w:pPr>
      <w:r w:rsidRPr="000C7D46">
        <w:rPr>
          <w:lang w:val="es-ES_tradnl"/>
        </w:rPr>
        <w:t xml:space="preserve">según proceda, propuestas para que el CWS las examine y adopte una decisión al respecto en la presente sesión. </w:t>
      </w:r>
    </w:p>
    <w:p w14:paraId="11CDE482" w14:textId="3BDD766D" w:rsidR="00711431" w:rsidRPr="000C7D46" w:rsidRDefault="00711431" w:rsidP="00FD4B64">
      <w:pPr>
        <w:pStyle w:val="ONUMFS"/>
        <w:spacing w:after="480"/>
        <w:rPr>
          <w:lang w:val="es-ES_tradnl"/>
        </w:rPr>
      </w:pPr>
      <w:r w:rsidRPr="000C7D46">
        <w:rPr>
          <w:lang w:val="es-ES_tradnl"/>
        </w:rPr>
        <w:t xml:space="preserve">La lista de tareas que se encuentran actualmente en curso de ejecución se publica en la página web del Resumen general del programa de trabajo del CWS en: </w:t>
      </w:r>
      <w:hyperlink r:id="rId10" w:history="1">
        <w:r w:rsidRPr="000C7D46">
          <w:rPr>
            <w:rStyle w:val="Hyperlink"/>
            <w:lang w:val="es-ES_tradnl"/>
          </w:rPr>
          <w:t>https://www.wipo.int/es/web/cws/work-program</w:t>
        </w:r>
      </w:hyperlink>
      <w:r w:rsidRPr="000C7D46">
        <w:rPr>
          <w:lang w:val="es-ES_tradnl"/>
        </w:rPr>
        <w:t xml:space="preserve">. En la página web de los equipos técnicos del CWS cabe consultar información detallada sobre los equipos técnicos, en: </w:t>
      </w:r>
      <w:hyperlink r:id="rId11" w:history="1">
        <w:r w:rsidRPr="000C7D46">
          <w:rPr>
            <w:rStyle w:val="Hyperlink"/>
            <w:lang w:val="es-ES_tradnl"/>
          </w:rPr>
          <w:t>https://www.wipo.int/es/web/cws/taskforce/index</w:t>
        </w:r>
      </w:hyperlink>
      <w:r w:rsidRPr="000C7D46">
        <w:rPr>
          <w:lang w:val="es-ES_tradnl"/>
        </w:rPr>
        <w:t>. El contenido de la página web del programa de trabajo se revisará y se pondrá al día tras la decimotercera sesión para reflejar los acuerdos que adopte el CWS.</w:t>
      </w:r>
    </w:p>
    <w:p w14:paraId="22C40ADF" w14:textId="77777777" w:rsidR="00711431" w:rsidRPr="000C7D46" w:rsidRDefault="00711431" w:rsidP="00FD4B64">
      <w:pPr>
        <w:pStyle w:val="Heading2"/>
        <w:spacing w:after="120"/>
        <w:rPr>
          <w:lang w:val="es-ES_tradnl"/>
        </w:rPr>
      </w:pPr>
      <w:r w:rsidRPr="000C7D46">
        <w:rPr>
          <w:lang w:val="es-ES_tradnl"/>
        </w:rPr>
        <w:t>ANÁLISIS DE LA COMPLEJIDAD Y EL NIVEL DE ACTIVIDAD Y PROPUESTA DE PRIORIZACIÓN DE LAS TAREAS</w:t>
      </w:r>
    </w:p>
    <w:p w14:paraId="55E1D6F7" w14:textId="6EA0281F" w:rsidR="00711431" w:rsidRPr="000C7D46" w:rsidRDefault="00711431" w:rsidP="00FD4B64">
      <w:pPr>
        <w:pStyle w:val="ONUMFS"/>
        <w:spacing w:after="120"/>
        <w:rPr>
          <w:lang w:val="es-ES_tradnl"/>
        </w:rPr>
      </w:pPr>
      <w:r w:rsidRPr="000C7D46">
        <w:rPr>
          <w:lang w:val="es-ES_tradnl"/>
        </w:rPr>
        <w:t>Tras las decisiones adoptadas en la duodécima sesión del CWS, la Secretaría analizó la complejidad y el nivel de actividad de cada tarea, teniendo en cuenta los comentarios de los responsables de los equipos técnicos. El nivel de actividad y complejidad de cada tarea se categorizó de la manera siguiente:</w:t>
      </w:r>
    </w:p>
    <w:p w14:paraId="5400A649" w14:textId="77777777" w:rsidR="00711431" w:rsidRPr="000C7D46" w:rsidRDefault="00711431" w:rsidP="00FD4B64">
      <w:pPr>
        <w:pStyle w:val="ListParagraph"/>
        <w:numPr>
          <w:ilvl w:val="0"/>
          <w:numId w:val="10"/>
        </w:numPr>
        <w:spacing w:after="120"/>
        <w:contextualSpacing w:val="0"/>
        <w:rPr>
          <w:lang w:val="es-ES_tradnl"/>
        </w:rPr>
      </w:pPr>
      <w:r w:rsidRPr="000C7D46">
        <w:rPr>
          <w:lang w:val="es-ES_tradnl"/>
        </w:rPr>
        <w:t>nivel de actividad: “muy activa”, “activa”, “ad hoc” o “en suspenso”; y</w:t>
      </w:r>
    </w:p>
    <w:p w14:paraId="37F80F38" w14:textId="77777777" w:rsidR="00711431" w:rsidRPr="000C7D46" w:rsidRDefault="00711431" w:rsidP="00FD4B64">
      <w:pPr>
        <w:pStyle w:val="ListParagraph"/>
        <w:numPr>
          <w:ilvl w:val="0"/>
          <w:numId w:val="10"/>
        </w:numPr>
        <w:spacing w:after="240"/>
        <w:ind w:left="924" w:hanging="357"/>
        <w:contextualSpacing w:val="0"/>
        <w:rPr>
          <w:color w:val="000000" w:themeColor="text1"/>
          <w:szCs w:val="22"/>
          <w:lang w:val="es-ES_tradnl"/>
        </w:rPr>
      </w:pPr>
      <w:r w:rsidRPr="000C7D46">
        <w:rPr>
          <w:lang w:val="es-ES_tradnl"/>
        </w:rPr>
        <w:t>complejidad: “baja”, “media”, “alta” y “no pertinente”.</w:t>
      </w:r>
    </w:p>
    <w:p w14:paraId="426CA2DF" w14:textId="47285EDB" w:rsidR="00711431" w:rsidRPr="000C7D46" w:rsidRDefault="00711431" w:rsidP="00FD4B64">
      <w:pPr>
        <w:pStyle w:val="ONUMFS"/>
        <w:rPr>
          <w:szCs w:val="22"/>
          <w:lang w:val="es-ES_tradnl"/>
        </w:rPr>
      </w:pPr>
      <w:r w:rsidRPr="000C7D46">
        <w:rPr>
          <w:lang w:val="es-ES_tradnl"/>
        </w:rPr>
        <w:t xml:space="preserve">La Secretaría llevó a cabo asimismo un examen anual de todas las tareas del CWS en consulta con los responsables de los equipos técnicos, con el fin de proponer las tareas que deben priorizarse o, de otro modo, dejarse en suspenso. Las tareas prioritarias se señalan como “esencial” o “importante”. La tareas “esenciales” guardan relación con normas técnicas de la OMPI o recomendaciones que son objeto de examen por las oficinas de PI para lograr una aplicación armoniosa. Las tareas “importantes” son las que se consideran prioritarias en cuanto a la elaboración o revisión de normas técnicas de la OMPI o al intercambio de prácticas de las Oficinas sobre las normas técnicas de la OMPI o las recomendaciones en 2026. </w:t>
      </w:r>
    </w:p>
    <w:p w14:paraId="12835CAA" w14:textId="7134FCCB" w:rsidR="00711431" w:rsidRPr="000C7D46" w:rsidRDefault="00711431" w:rsidP="00711431">
      <w:pPr>
        <w:pStyle w:val="ONUMFS"/>
        <w:rPr>
          <w:szCs w:val="22"/>
          <w:lang w:val="es-ES_tradnl"/>
        </w:rPr>
      </w:pPr>
      <w:r w:rsidRPr="000C7D46">
        <w:rPr>
          <w:lang w:val="es-ES_tradnl"/>
        </w:rPr>
        <w:t>La Secretaría presenta el resultado del análisis de la complejidad y el nivel de actividad de las tareas, así como una propuesta para priorizar las tareas en el Anexo II del presente documento.</w:t>
      </w:r>
    </w:p>
    <w:p w14:paraId="548692CA" w14:textId="1C817750" w:rsidR="00711431" w:rsidRPr="000C7D46" w:rsidRDefault="00711431" w:rsidP="00FD4B64">
      <w:pPr>
        <w:pStyle w:val="ONUMFS"/>
        <w:tabs>
          <w:tab w:val="clear" w:pos="567"/>
        </w:tabs>
        <w:ind w:left="5529"/>
        <w:rPr>
          <w:i/>
          <w:iCs/>
          <w:lang w:val="es-ES_tradnl"/>
        </w:rPr>
      </w:pPr>
      <w:r w:rsidRPr="000C7D46">
        <w:rPr>
          <w:i/>
          <w:iCs/>
          <w:lang w:val="es-ES_tradnl"/>
        </w:rPr>
        <w:t>Se invita al CWS a:</w:t>
      </w:r>
    </w:p>
    <w:p w14:paraId="49BA2F97" w14:textId="77777777" w:rsidR="00711431" w:rsidRPr="000C7D46" w:rsidRDefault="00711431" w:rsidP="00FD4B64">
      <w:pPr>
        <w:pStyle w:val="ONUMFS"/>
        <w:numPr>
          <w:ilvl w:val="1"/>
          <w:numId w:val="6"/>
        </w:numPr>
        <w:tabs>
          <w:tab w:val="clear" w:pos="1134"/>
        </w:tabs>
        <w:ind w:left="6096"/>
        <w:rPr>
          <w:i/>
          <w:iCs/>
          <w:lang w:val="es-ES_tradnl"/>
        </w:rPr>
      </w:pPr>
      <w:r w:rsidRPr="000C7D46">
        <w:rPr>
          <w:i/>
          <w:iCs/>
          <w:lang w:val="es-ES_tradnl"/>
        </w:rPr>
        <w:t>tomar nota del contenido del presente documento;</w:t>
      </w:r>
    </w:p>
    <w:p w14:paraId="06C09664" w14:textId="77777777" w:rsidR="00711431" w:rsidRPr="000C7D46" w:rsidRDefault="00711431" w:rsidP="00FD4B64">
      <w:pPr>
        <w:pStyle w:val="ONUMFS"/>
        <w:numPr>
          <w:ilvl w:val="1"/>
          <w:numId w:val="6"/>
        </w:numPr>
        <w:tabs>
          <w:tab w:val="clear" w:pos="1134"/>
        </w:tabs>
        <w:ind w:left="6096"/>
        <w:rPr>
          <w:i/>
          <w:iCs/>
          <w:lang w:val="es-ES_tradnl"/>
        </w:rPr>
      </w:pPr>
      <w:r w:rsidRPr="000C7D46">
        <w:rPr>
          <w:i/>
          <w:iCs/>
          <w:lang w:val="es-ES_tradnl"/>
        </w:rPr>
        <w:t>examinar la lista de tareas tal como se presenta en el Anexo del presente documento; y</w:t>
      </w:r>
    </w:p>
    <w:p w14:paraId="25562856" w14:textId="77777777" w:rsidR="00711431" w:rsidRPr="000C7D46" w:rsidRDefault="00711431" w:rsidP="00FD4B64">
      <w:pPr>
        <w:pStyle w:val="ONUMFS"/>
        <w:numPr>
          <w:ilvl w:val="1"/>
          <w:numId w:val="6"/>
        </w:numPr>
        <w:tabs>
          <w:tab w:val="clear" w:pos="1134"/>
        </w:tabs>
        <w:ind w:left="6096"/>
        <w:rPr>
          <w:i/>
          <w:iCs/>
          <w:lang w:val="es-ES_tradnl"/>
        </w:rPr>
      </w:pPr>
      <w:r w:rsidRPr="000C7D46">
        <w:rPr>
          <w:i/>
          <w:iCs/>
          <w:lang w:val="es-ES_tradnl"/>
        </w:rPr>
        <w:t xml:space="preserve">aprobar que la Secretaría incorpore los acuerdos que se alcancen en la presente sesión en el programa de trabajo del CWS y en el Resumen general del programa de trabajo del CWS, y los publique en el sitio web de la OMPI, según se describe en el párrafo 10; </w:t>
      </w:r>
    </w:p>
    <w:p w14:paraId="755632F2" w14:textId="707D5D5B" w:rsidR="00711431" w:rsidRPr="000C7D46" w:rsidRDefault="00711431" w:rsidP="00FD4B64">
      <w:pPr>
        <w:pStyle w:val="ONUMFS"/>
        <w:numPr>
          <w:ilvl w:val="1"/>
          <w:numId w:val="6"/>
        </w:numPr>
        <w:tabs>
          <w:tab w:val="clear" w:pos="1134"/>
        </w:tabs>
        <w:ind w:left="6096"/>
        <w:rPr>
          <w:i/>
          <w:iCs/>
          <w:lang w:val="es-ES_tradnl"/>
        </w:rPr>
      </w:pPr>
      <w:r w:rsidRPr="000C7D46">
        <w:rPr>
          <w:i/>
          <w:iCs/>
          <w:lang w:val="es-ES_tradnl"/>
        </w:rPr>
        <w:t>considerar la propuesta de alentar a más oficinas de PI a que participen en los equipos técnicos del CWS y pedir a la Secretaría que emita una circular del CWS en la que se invite a las oficinas de PI a nominar sus especialistas en la materia para los equipos técnicos del CWS, según se menciona en el párrafo</w:t>
      </w:r>
      <w:r w:rsidR="00FD4B64" w:rsidRPr="000C7D46">
        <w:rPr>
          <w:i/>
          <w:iCs/>
          <w:lang w:val="es-ES_tradnl"/>
        </w:rPr>
        <w:t> </w:t>
      </w:r>
      <w:r w:rsidRPr="000C7D46">
        <w:rPr>
          <w:i/>
          <w:iCs/>
          <w:lang w:val="es-ES_tradnl"/>
        </w:rPr>
        <w:t>5; y</w:t>
      </w:r>
    </w:p>
    <w:p w14:paraId="06ED679A" w14:textId="2B8B9266" w:rsidR="00711431" w:rsidRPr="000C7D46" w:rsidRDefault="00711431" w:rsidP="00FD4B64">
      <w:pPr>
        <w:pStyle w:val="ONUMFS"/>
        <w:numPr>
          <w:ilvl w:val="1"/>
          <w:numId w:val="6"/>
        </w:numPr>
        <w:tabs>
          <w:tab w:val="clear" w:pos="1134"/>
        </w:tabs>
        <w:spacing w:after="600"/>
        <w:ind w:left="6095"/>
        <w:rPr>
          <w:i/>
          <w:iCs/>
          <w:lang w:val="es-ES_tradnl"/>
        </w:rPr>
      </w:pPr>
      <w:r w:rsidRPr="000C7D46">
        <w:rPr>
          <w:i/>
          <w:iCs/>
          <w:lang w:val="es-ES_tradnl"/>
        </w:rPr>
        <w:t>considerar el análisis de la complejidad y el nivel de actividad: de las tareas, y la propuesta de priorización de las tareas descritos en los párrafos</w:t>
      </w:r>
      <w:r w:rsidR="00FD4B64" w:rsidRPr="000C7D46">
        <w:rPr>
          <w:i/>
          <w:iCs/>
          <w:lang w:val="es-ES_tradnl"/>
        </w:rPr>
        <w:t> </w:t>
      </w:r>
      <w:r w:rsidRPr="000C7D46">
        <w:rPr>
          <w:i/>
          <w:iCs/>
          <w:lang w:val="es-ES_tradnl"/>
        </w:rPr>
        <w:t>11 a 13 y expuestos en el Anexo II del presente documento.</w:t>
      </w:r>
    </w:p>
    <w:p w14:paraId="0615AE72" w14:textId="3979CBF9" w:rsidR="00152CEA" w:rsidRPr="000C7D46" w:rsidRDefault="00711431" w:rsidP="00FD4B64">
      <w:pPr>
        <w:pStyle w:val="Endofdocument"/>
        <w:spacing w:line="240" w:lineRule="auto"/>
        <w:rPr>
          <w:lang w:val="es-ES_tradnl"/>
        </w:rPr>
      </w:pPr>
      <w:r w:rsidRPr="000C7D46">
        <w:rPr>
          <w:lang w:val="es-ES_tradnl"/>
        </w:rPr>
        <w:t>[Sigue el Anexo I]</w:t>
      </w:r>
    </w:p>
    <w:sectPr w:rsidR="00152CEA" w:rsidRPr="000C7D46" w:rsidSect="00711431">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4030" w14:textId="77777777" w:rsidR="005D072D" w:rsidRDefault="005D072D">
      <w:r>
        <w:separator/>
      </w:r>
    </w:p>
  </w:endnote>
  <w:endnote w:type="continuationSeparator" w:id="0">
    <w:p w14:paraId="2B88913C" w14:textId="77777777" w:rsidR="005D072D" w:rsidRPr="009D30E6" w:rsidRDefault="005D072D" w:rsidP="007E663E">
      <w:pPr>
        <w:rPr>
          <w:sz w:val="17"/>
          <w:szCs w:val="17"/>
        </w:rPr>
      </w:pPr>
      <w:r w:rsidRPr="009D30E6">
        <w:rPr>
          <w:sz w:val="17"/>
          <w:szCs w:val="17"/>
        </w:rPr>
        <w:separator/>
      </w:r>
    </w:p>
    <w:p w14:paraId="313869F6" w14:textId="77777777" w:rsidR="005D072D" w:rsidRPr="007E663E" w:rsidRDefault="005D072D" w:rsidP="007E663E">
      <w:pPr>
        <w:spacing w:after="60"/>
        <w:rPr>
          <w:sz w:val="17"/>
          <w:szCs w:val="17"/>
        </w:rPr>
      </w:pPr>
      <w:r>
        <w:rPr>
          <w:sz w:val="17"/>
        </w:rPr>
        <w:t>[Continuación de la nota de la página anterior]</w:t>
      </w:r>
    </w:p>
  </w:endnote>
  <w:endnote w:type="continuationNotice" w:id="1">
    <w:p w14:paraId="7FD2C6C6" w14:textId="77777777" w:rsidR="005D072D" w:rsidRPr="007E663E" w:rsidRDefault="005D07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C036" w14:textId="77777777" w:rsidR="005D072D" w:rsidRDefault="005D072D">
      <w:r>
        <w:separator/>
      </w:r>
    </w:p>
  </w:footnote>
  <w:footnote w:type="continuationSeparator" w:id="0">
    <w:p w14:paraId="2B2DCC6C" w14:textId="77777777" w:rsidR="005D072D" w:rsidRPr="009D30E6" w:rsidRDefault="005D072D" w:rsidP="007E663E">
      <w:pPr>
        <w:rPr>
          <w:sz w:val="17"/>
          <w:szCs w:val="17"/>
        </w:rPr>
      </w:pPr>
      <w:r w:rsidRPr="009D30E6">
        <w:rPr>
          <w:sz w:val="17"/>
          <w:szCs w:val="17"/>
        </w:rPr>
        <w:separator/>
      </w:r>
    </w:p>
    <w:p w14:paraId="1708223B" w14:textId="77777777" w:rsidR="005D072D" w:rsidRPr="007E663E" w:rsidRDefault="005D072D" w:rsidP="007E663E">
      <w:pPr>
        <w:spacing w:after="60"/>
        <w:rPr>
          <w:sz w:val="17"/>
          <w:szCs w:val="17"/>
        </w:rPr>
      </w:pPr>
      <w:r>
        <w:rPr>
          <w:sz w:val="17"/>
        </w:rPr>
        <w:t>[Continuación de la nota de la página anterior]</w:t>
      </w:r>
    </w:p>
  </w:footnote>
  <w:footnote w:type="continuationNotice" w:id="1">
    <w:p w14:paraId="1851F7F3" w14:textId="77777777" w:rsidR="005D072D" w:rsidRPr="007E663E" w:rsidRDefault="005D072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7C34" w14:textId="198EB5F0" w:rsidR="00AE7F20" w:rsidRDefault="00711431" w:rsidP="00477D6B">
    <w:pPr>
      <w:jc w:val="right"/>
    </w:pPr>
    <w:bookmarkStart w:id="5" w:name="Code2"/>
    <w:bookmarkEnd w:id="5"/>
    <w:r>
      <w:t>CWS/13/31</w:t>
    </w:r>
    <w:r w:rsidR="000C7D46">
      <w:t xml:space="preserve"> Rev. 2</w:t>
    </w:r>
  </w:p>
  <w:p w14:paraId="21CBC137"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20C02B3B" w14:textId="77777777" w:rsidR="00AE7F20" w:rsidRDefault="00AE7F20" w:rsidP="00477D6B">
    <w:pPr>
      <w:jc w:val="right"/>
    </w:pPr>
  </w:p>
  <w:p w14:paraId="07473E85"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0C36AC"/>
    <w:multiLevelType w:val="hybridMultilevel"/>
    <w:tmpl w:val="41A27008"/>
    <w:lvl w:ilvl="0" w:tplc="DDA6CF12">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E33117"/>
    <w:multiLevelType w:val="hybridMultilevel"/>
    <w:tmpl w:val="E6F60770"/>
    <w:lvl w:ilvl="0" w:tplc="BE485ECE">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63C548CF"/>
    <w:multiLevelType w:val="hybridMultilevel"/>
    <w:tmpl w:val="F3B656AA"/>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F220532"/>
    <w:multiLevelType w:val="multilevel"/>
    <w:tmpl w:val="E1F8A3E6"/>
    <w:lvl w:ilvl="0">
      <w:start w:val="1"/>
      <w:numFmt w:val="lowerLetter"/>
      <w:lvlText w:val="%1)"/>
      <w:lvlJc w:val="left"/>
      <w:pPr>
        <w:tabs>
          <w:tab w:val="num" w:pos="6804"/>
        </w:tabs>
        <w:ind w:left="6237" w:firstLine="0"/>
      </w:pPr>
      <w:rPr>
        <w:rFonts w:hint="default"/>
      </w:rPr>
    </w:lvl>
    <w:lvl w:ilvl="1">
      <w:start w:val="1"/>
      <w:numFmt w:val="lowerLetter"/>
      <w:lvlText w:val="(%2)"/>
      <w:lvlJc w:val="left"/>
      <w:pPr>
        <w:ind w:left="7164" w:hanging="360"/>
      </w:pPr>
      <w:rPr>
        <w:rFonts w:hint="default"/>
      </w:rPr>
    </w:lvl>
    <w:lvl w:ilvl="2">
      <w:start w:val="1"/>
      <w:numFmt w:val="lowerRoman"/>
      <w:lvlText w:val="(%3)"/>
      <w:lvlJc w:val="left"/>
      <w:pPr>
        <w:tabs>
          <w:tab w:val="num" w:pos="7938"/>
        </w:tabs>
        <w:ind w:left="7371" w:firstLine="0"/>
      </w:pPr>
    </w:lvl>
    <w:lvl w:ilvl="3">
      <w:start w:val="1"/>
      <w:numFmt w:val="bullet"/>
      <w:lvlText w:val=""/>
      <w:lvlJc w:val="left"/>
      <w:pPr>
        <w:tabs>
          <w:tab w:val="num" w:pos="8505"/>
        </w:tabs>
        <w:ind w:left="7938" w:firstLine="0"/>
      </w:pPr>
    </w:lvl>
    <w:lvl w:ilvl="4">
      <w:start w:val="1"/>
      <w:numFmt w:val="bullet"/>
      <w:lvlText w:val=""/>
      <w:lvlJc w:val="left"/>
      <w:pPr>
        <w:tabs>
          <w:tab w:val="num" w:pos="9072"/>
        </w:tabs>
        <w:ind w:left="8505" w:firstLine="0"/>
      </w:pPr>
    </w:lvl>
    <w:lvl w:ilvl="5">
      <w:start w:val="1"/>
      <w:numFmt w:val="bullet"/>
      <w:lvlText w:val=""/>
      <w:lvlJc w:val="left"/>
      <w:pPr>
        <w:tabs>
          <w:tab w:val="num" w:pos="9639"/>
        </w:tabs>
        <w:ind w:left="9072" w:firstLine="0"/>
      </w:pPr>
    </w:lvl>
    <w:lvl w:ilvl="6">
      <w:start w:val="1"/>
      <w:numFmt w:val="bullet"/>
      <w:lvlText w:val=""/>
      <w:lvlJc w:val="left"/>
      <w:pPr>
        <w:tabs>
          <w:tab w:val="num" w:pos="10206"/>
        </w:tabs>
        <w:ind w:left="9639" w:firstLine="0"/>
      </w:pPr>
    </w:lvl>
    <w:lvl w:ilvl="7">
      <w:start w:val="1"/>
      <w:numFmt w:val="bullet"/>
      <w:lvlText w:val=""/>
      <w:lvlJc w:val="left"/>
      <w:pPr>
        <w:tabs>
          <w:tab w:val="num" w:pos="10772"/>
        </w:tabs>
        <w:ind w:left="10206" w:firstLine="0"/>
      </w:pPr>
    </w:lvl>
    <w:lvl w:ilvl="8">
      <w:start w:val="1"/>
      <w:numFmt w:val="bullet"/>
      <w:lvlText w:val=""/>
      <w:lvlJc w:val="left"/>
      <w:pPr>
        <w:tabs>
          <w:tab w:val="num" w:pos="11339"/>
        </w:tabs>
        <w:ind w:left="10772" w:firstLine="0"/>
      </w:pPr>
    </w:lvl>
  </w:abstractNum>
  <w:num w:numId="1" w16cid:durableId="412514718">
    <w:abstractNumId w:val="2"/>
  </w:num>
  <w:num w:numId="2" w16cid:durableId="998191314">
    <w:abstractNumId w:val="5"/>
  </w:num>
  <w:num w:numId="3" w16cid:durableId="1991902540">
    <w:abstractNumId w:val="0"/>
  </w:num>
  <w:num w:numId="4" w16cid:durableId="666519932">
    <w:abstractNumId w:val="6"/>
  </w:num>
  <w:num w:numId="5" w16cid:durableId="208078558">
    <w:abstractNumId w:val="1"/>
  </w:num>
  <w:num w:numId="6" w16cid:durableId="1679113719">
    <w:abstractNumId w:val="3"/>
  </w:num>
  <w:num w:numId="7" w16cid:durableId="246352957">
    <w:abstractNumId w:val="7"/>
  </w:num>
  <w:num w:numId="8" w16cid:durableId="395592218">
    <w:abstractNumId w:val="4"/>
  </w:num>
  <w:num w:numId="9" w16cid:durableId="222257233">
    <w:abstractNumId w:val="9"/>
  </w:num>
  <w:num w:numId="10" w16cid:durableId="677662934">
    <w:abstractNumId w:val="8"/>
  </w:num>
  <w:num w:numId="11" w16cid:durableId="128302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1"/>
    <w:rsid w:val="00010686"/>
    <w:rsid w:val="0002004E"/>
    <w:rsid w:val="00036D4B"/>
    <w:rsid w:val="00044EDD"/>
    <w:rsid w:val="00050EF7"/>
    <w:rsid w:val="00052915"/>
    <w:rsid w:val="00071BE5"/>
    <w:rsid w:val="0008465A"/>
    <w:rsid w:val="000C7D46"/>
    <w:rsid w:val="000E3BB3"/>
    <w:rsid w:val="000F5E56"/>
    <w:rsid w:val="001362EE"/>
    <w:rsid w:val="00152CEA"/>
    <w:rsid w:val="001832A6"/>
    <w:rsid w:val="001B08BB"/>
    <w:rsid w:val="001D3950"/>
    <w:rsid w:val="002634C4"/>
    <w:rsid w:val="00264478"/>
    <w:rsid w:val="002C2E2F"/>
    <w:rsid w:val="002E0F47"/>
    <w:rsid w:val="002F4E68"/>
    <w:rsid w:val="002F6F35"/>
    <w:rsid w:val="00310826"/>
    <w:rsid w:val="00354647"/>
    <w:rsid w:val="003608AB"/>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D226B"/>
    <w:rsid w:val="004E28BB"/>
    <w:rsid w:val="004E297D"/>
    <w:rsid w:val="005242C0"/>
    <w:rsid w:val="00531B02"/>
    <w:rsid w:val="005332F0"/>
    <w:rsid w:val="0055013B"/>
    <w:rsid w:val="00571B99"/>
    <w:rsid w:val="00597D4C"/>
    <w:rsid w:val="005D072D"/>
    <w:rsid w:val="005F6C09"/>
    <w:rsid w:val="00605827"/>
    <w:rsid w:val="00675021"/>
    <w:rsid w:val="006A06C6"/>
    <w:rsid w:val="006F7F0B"/>
    <w:rsid w:val="007036CD"/>
    <w:rsid w:val="00711431"/>
    <w:rsid w:val="007224C8"/>
    <w:rsid w:val="00745B80"/>
    <w:rsid w:val="00760CE8"/>
    <w:rsid w:val="00767841"/>
    <w:rsid w:val="007814BA"/>
    <w:rsid w:val="00794BE2"/>
    <w:rsid w:val="007A5581"/>
    <w:rsid w:val="007B71FE"/>
    <w:rsid w:val="007D781E"/>
    <w:rsid w:val="007E663E"/>
    <w:rsid w:val="007F1AF7"/>
    <w:rsid w:val="008148E9"/>
    <w:rsid w:val="00815082"/>
    <w:rsid w:val="0088395E"/>
    <w:rsid w:val="008B2CC1"/>
    <w:rsid w:val="008C748C"/>
    <w:rsid w:val="008D4171"/>
    <w:rsid w:val="008E6BD6"/>
    <w:rsid w:val="0090731E"/>
    <w:rsid w:val="00966A22"/>
    <w:rsid w:val="00972F03"/>
    <w:rsid w:val="0098367F"/>
    <w:rsid w:val="009A0C8B"/>
    <w:rsid w:val="009A20CD"/>
    <w:rsid w:val="009B6241"/>
    <w:rsid w:val="009D6285"/>
    <w:rsid w:val="00A16FC0"/>
    <w:rsid w:val="00A32C9E"/>
    <w:rsid w:val="00A50FE8"/>
    <w:rsid w:val="00AB613D"/>
    <w:rsid w:val="00AE7F20"/>
    <w:rsid w:val="00B27FD6"/>
    <w:rsid w:val="00B534D5"/>
    <w:rsid w:val="00B65A0A"/>
    <w:rsid w:val="00B67CDC"/>
    <w:rsid w:val="00B72D36"/>
    <w:rsid w:val="00BB3FB4"/>
    <w:rsid w:val="00BC4164"/>
    <w:rsid w:val="00BD2DCC"/>
    <w:rsid w:val="00C277A0"/>
    <w:rsid w:val="00C90559"/>
    <w:rsid w:val="00CA0500"/>
    <w:rsid w:val="00CA2251"/>
    <w:rsid w:val="00D05A35"/>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42120"/>
    <w:rsid w:val="00F55408"/>
    <w:rsid w:val="00F66152"/>
    <w:rsid w:val="00F664B7"/>
    <w:rsid w:val="00F80845"/>
    <w:rsid w:val="00F84474"/>
    <w:rsid w:val="00F91BE8"/>
    <w:rsid w:val="00FA0F0D"/>
    <w:rsid w:val="00FD4B64"/>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19F65"/>
  <w15:docId w15:val="{B3243341-BC7B-400C-8520-246EAF3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nhideWhenUsed/>
    <w:rsid w:val="00711431"/>
    <w:rPr>
      <w:color w:val="0000FF"/>
      <w:u w:val="single"/>
    </w:rPr>
  </w:style>
  <w:style w:type="paragraph" w:customStyle="1" w:styleId="Endofdocument">
    <w:name w:val="End of document"/>
    <w:basedOn w:val="Normal"/>
    <w:rsid w:val="00711431"/>
    <w:pPr>
      <w:spacing w:line="260" w:lineRule="atLeast"/>
      <w:ind w:left="5534"/>
    </w:pPr>
    <w:rPr>
      <w:rFonts w:eastAsia="Times New Roman" w:cs="Times New Roman"/>
      <w:sz w:val="20"/>
      <w:lang w:eastAsia="en-US"/>
    </w:rPr>
  </w:style>
  <w:style w:type="character" w:customStyle="1" w:styleId="ONUMEChar">
    <w:name w:val="ONUM E Char"/>
    <w:basedOn w:val="DefaultParagraphFont"/>
    <w:link w:val="ONUME"/>
    <w:rsid w:val="00711431"/>
    <w:rPr>
      <w:rFonts w:ascii="Arial" w:eastAsia="SimSun" w:hAnsi="Arial" w:cs="Arial"/>
      <w:sz w:val="22"/>
      <w:lang w:val="es-ES" w:eastAsia="zh-CN"/>
    </w:rPr>
  </w:style>
  <w:style w:type="paragraph" w:styleId="ListParagraph">
    <w:name w:val="List Paragraph"/>
    <w:basedOn w:val="Normal"/>
    <w:uiPriority w:val="34"/>
    <w:qFormat/>
    <w:rsid w:val="00711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cws/taskforce/mem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s/web/cws/taskforce/index." TargetMode="External"/><Relationship Id="rId5" Type="http://schemas.openxmlformats.org/officeDocument/2006/relationships/footnotes" Target="footnotes.xml"/><Relationship Id="rId10" Type="http://schemas.openxmlformats.org/officeDocument/2006/relationships/hyperlink" Target="https://www.wipo.int/es/web/cws/work-program." TargetMode="External"/><Relationship Id="rId4" Type="http://schemas.openxmlformats.org/officeDocument/2006/relationships/webSettings" Target="webSettings.xml"/><Relationship Id="rId9" Type="http://schemas.openxmlformats.org/officeDocument/2006/relationships/hyperlink" Target="https://www.wipo.int/es/web/cws/circulars/inde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9</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CWS/13/31 Rev. 2 (Spanish)</vt:lpstr>
    </vt:vector>
  </TitlesOfParts>
  <Company>WIPO</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(Spanish)</dc:title>
  <dc:subject>Programa de trabajo del CWS </dc:subject>
  <dc:creator>WIPO</dc:creator>
  <cp:keywords>WIPO CWS decimotercera sesión, Programa de trabajo del CWS </cp:keywords>
  <cp:lastModifiedBy>EMMETT Claudia</cp:lastModifiedBy>
  <cp:revision>4</cp:revision>
  <cp:lastPrinted>2025-10-31T16:05:00Z</cp:lastPrinted>
  <dcterms:created xsi:type="dcterms:W3CDTF">2025-10-29T16:21:00Z</dcterms:created>
  <dcterms:modified xsi:type="dcterms:W3CDTF">2025-10-31T16:35:00Z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