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44184" w14:textId="29095F5B" w:rsidR="002B3F16" w:rsidRPr="00042F4E" w:rsidRDefault="00493285" w:rsidP="7408AFB7">
      <w:pPr>
        <w:spacing w:after="360"/>
        <w:rPr>
          <w:rFonts w:ascii="Arial" w:hAnsi="Arial" w:cs="Arial"/>
          <w:b/>
          <w:bCs/>
          <w:lang w:val="es-ES_tradnl"/>
        </w:rPr>
      </w:pPr>
      <w:r w:rsidRPr="00042F4E">
        <w:rPr>
          <w:rFonts w:ascii="Arial" w:hAnsi="Arial"/>
          <w:b/>
          <w:lang w:val="es-ES_tradnl"/>
        </w:rPr>
        <w:t>ANÁLISIS DE LA SECRETARÍA DE LAS TAREAS DEL CWS PARA LA ASIGNACIÓN DE RECURSOS</w:t>
      </w:r>
    </w:p>
    <w:p w14:paraId="7B151C75" w14:textId="679BEE4A" w:rsidR="00B91C8D" w:rsidRPr="00042F4E" w:rsidRDefault="004E0CAF" w:rsidP="004E0CAF">
      <w:pPr>
        <w:spacing w:after="220"/>
        <w:rPr>
          <w:rFonts w:ascii="Arial" w:hAnsi="Arial" w:cs="Arial"/>
          <w:lang w:val="es-ES_tradnl"/>
        </w:rPr>
      </w:pPr>
      <w:r w:rsidRPr="00042F4E">
        <w:rPr>
          <w:rFonts w:ascii="Arial" w:hAnsi="Arial"/>
          <w:lang w:val="es-ES_tradnl"/>
        </w:rPr>
        <w:t>Tras las decisiones adoptadas en la duodécima sesión del CWS, la Secretaría analizó la complejidad y el nivel de actividad de cada tarea del CWS, teniendo en cuenta los comentarios de los responsables de los equipos técnicos. La Secretaría llevó a cabo igualmente un examen anual de todas las tareas del CWS con miras a proponer tareas que deben priorizarse o, de otro modo, dejarse en suspenso, a fin de que sean consideradas por los miembros y observadores del CWS para asignar sus recursos en el futuro.</w:t>
      </w:r>
    </w:p>
    <w:p w14:paraId="3EF042CA" w14:textId="1163382B" w:rsidR="004E0CAF" w:rsidRPr="00042F4E" w:rsidRDefault="004E0CAF" w:rsidP="00AB5EE4">
      <w:pPr>
        <w:spacing w:after="220"/>
        <w:rPr>
          <w:rFonts w:ascii="Arial" w:hAnsi="Arial" w:cs="Arial"/>
          <w:b/>
          <w:bCs/>
          <w:lang w:val="es-ES_tradnl"/>
        </w:rPr>
      </w:pPr>
      <w:r w:rsidRPr="00042F4E">
        <w:rPr>
          <w:rFonts w:ascii="Arial" w:hAnsi="Arial"/>
          <w:lang w:val="es-ES_tradnl"/>
        </w:rPr>
        <w:t>Las tareas prioritarias se señalan como “esencial” o “importante”. La tareas “esenciales” guardan relación con normas técnicas de la OMPI o recomendaciones que son objeto de examen por las oficinas de PI para lograr una aplicación armoniosa. Las tareas “importantes” son las que se consideran prioritarias en cuanto a la elaboración o revisión de normas técnicas de la OMPI o al intercambio de prácticas de las Oficinas sobre las normas técnicas de la OMPI o las recomendaciones en 2026.</w:t>
      </w:r>
      <w:r w:rsidR="00F81B22" w:rsidRPr="00042F4E">
        <w:rPr>
          <w:rFonts w:ascii="Arial" w:hAnsi="Arial"/>
          <w:lang w:val="es-ES_tradnl"/>
        </w:rPr>
        <w:t xml:space="preserve"> </w:t>
      </w:r>
    </w:p>
    <w:tbl>
      <w:tblPr>
        <w:tblpPr w:leftFromText="180" w:rightFromText="180" w:vertAnchor="text" w:tblpY="1"/>
        <w:tblOverlap w:val="neve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4770"/>
        <w:gridCol w:w="1260"/>
        <w:gridCol w:w="1620"/>
        <w:gridCol w:w="1350"/>
      </w:tblGrid>
      <w:tr w:rsidR="00915A8B" w:rsidRPr="00042F4E" w14:paraId="289A31BA" w14:textId="67971ED3" w:rsidTr="00CE1E58">
        <w:trPr>
          <w:trHeight w:val="144"/>
        </w:trPr>
        <w:tc>
          <w:tcPr>
            <w:tcW w:w="805" w:type="dxa"/>
            <w:noWrap/>
            <w:vAlign w:val="center"/>
            <w:hideMark/>
          </w:tcPr>
          <w:p w14:paraId="4AB3A7BB" w14:textId="71398291" w:rsidR="0010477A" w:rsidRPr="00042F4E" w:rsidRDefault="0010477A" w:rsidP="006908A8">
            <w:pPr>
              <w:spacing w:before="40" w:after="40" w:line="240" w:lineRule="auto"/>
              <w:rPr>
                <w:rFonts w:ascii="Arial" w:eastAsia="Times New Roman" w:hAnsi="Arial" w:cs="Arial"/>
                <w:b/>
                <w:bCs/>
                <w:color w:val="000000"/>
                <w:kern w:val="0"/>
                <w:lang w:val="es-ES_tradnl"/>
                <w14:ligatures w14:val="none"/>
              </w:rPr>
            </w:pPr>
            <w:r w:rsidRPr="00042F4E">
              <w:rPr>
                <w:rFonts w:ascii="Arial" w:hAnsi="Arial"/>
                <w:b/>
                <w:color w:val="000000"/>
                <w:lang w:val="es-ES_tradnl"/>
              </w:rPr>
              <w:t>Tarea N.º</w:t>
            </w:r>
          </w:p>
        </w:tc>
        <w:tc>
          <w:tcPr>
            <w:tcW w:w="4770" w:type="dxa"/>
            <w:noWrap/>
            <w:vAlign w:val="center"/>
            <w:hideMark/>
          </w:tcPr>
          <w:p w14:paraId="693684ED" w14:textId="77777777" w:rsidR="0010477A" w:rsidRPr="00042F4E" w:rsidRDefault="0010477A" w:rsidP="006908A8">
            <w:pPr>
              <w:spacing w:before="40" w:after="40" w:line="240" w:lineRule="auto"/>
              <w:rPr>
                <w:rFonts w:ascii="Arial" w:eastAsia="Times New Roman" w:hAnsi="Arial" w:cs="Arial"/>
                <w:b/>
                <w:bCs/>
                <w:color w:val="000000"/>
                <w:kern w:val="0"/>
                <w:lang w:val="es-ES_tradnl"/>
                <w14:ligatures w14:val="none"/>
              </w:rPr>
            </w:pPr>
            <w:r w:rsidRPr="00042F4E">
              <w:rPr>
                <w:rFonts w:ascii="Arial" w:hAnsi="Arial"/>
                <w:b/>
                <w:color w:val="000000"/>
                <w:lang w:val="es-ES_tradnl"/>
              </w:rPr>
              <w:t>Descripción de la tarea</w:t>
            </w:r>
          </w:p>
        </w:tc>
        <w:tc>
          <w:tcPr>
            <w:tcW w:w="1260" w:type="dxa"/>
            <w:noWrap/>
            <w:vAlign w:val="center"/>
            <w:hideMark/>
          </w:tcPr>
          <w:p w14:paraId="6B9669B0" w14:textId="77777777" w:rsidR="0010477A" w:rsidRPr="00042F4E" w:rsidRDefault="0010477A" w:rsidP="006908A8">
            <w:pPr>
              <w:spacing w:before="40" w:after="40" w:line="240" w:lineRule="auto"/>
              <w:rPr>
                <w:rFonts w:ascii="Arial" w:eastAsia="Times New Roman" w:hAnsi="Arial" w:cs="Arial"/>
                <w:b/>
                <w:bCs/>
                <w:color w:val="000000"/>
                <w:kern w:val="0"/>
                <w:lang w:val="es-ES_tradnl"/>
                <w14:ligatures w14:val="none"/>
              </w:rPr>
            </w:pPr>
            <w:r w:rsidRPr="00042F4E">
              <w:rPr>
                <w:rFonts w:ascii="Arial" w:hAnsi="Arial"/>
                <w:b/>
                <w:color w:val="000000"/>
                <w:lang w:val="es-ES_tradnl"/>
              </w:rPr>
              <w:t>Nivel de actividad</w:t>
            </w:r>
          </w:p>
        </w:tc>
        <w:tc>
          <w:tcPr>
            <w:tcW w:w="1620" w:type="dxa"/>
            <w:noWrap/>
            <w:vAlign w:val="center"/>
            <w:hideMark/>
          </w:tcPr>
          <w:p w14:paraId="04616CDE" w14:textId="77777777" w:rsidR="0010477A" w:rsidRPr="00042F4E" w:rsidRDefault="0010477A" w:rsidP="006908A8">
            <w:pPr>
              <w:spacing w:before="40" w:after="40" w:line="240" w:lineRule="auto"/>
              <w:rPr>
                <w:rFonts w:ascii="Arial" w:eastAsia="Times New Roman" w:hAnsi="Arial" w:cs="Arial"/>
                <w:b/>
                <w:bCs/>
                <w:color w:val="000000"/>
                <w:kern w:val="0"/>
                <w:lang w:val="es-ES_tradnl"/>
                <w14:ligatures w14:val="none"/>
              </w:rPr>
            </w:pPr>
            <w:r w:rsidRPr="00042F4E">
              <w:rPr>
                <w:rFonts w:ascii="Arial" w:hAnsi="Arial"/>
                <w:b/>
                <w:color w:val="000000"/>
                <w:lang w:val="es-ES_tradnl"/>
              </w:rPr>
              <w:t>Complejidad</w:t>
            </w:r>
          </w:p>
        </w:tc>
        <w:tc>
          <w:tcPr>
            <w:tcW w:w="1350" w:type="dxa"/>
            <w:vAlign w:val="center"/>
          </w:tcPr>
          <w:p w14:paraId="2B867BA4" w14:textId="4853A6DB" w:rsidR="0010477A" w:rsidRPr="00042F4E" w:rsidRDefault="00567F95" w:rsidP="006908A8">
            <w:pPr>
              <w:spacing w:before="40" w:after="40" w:line="240" w:lineRule="auto"/>
              <w:rPr>
                <w:rFonts w:ascii="Arial" w:eastAsia="Times New Roman" w:hAnsi="Arial" w:cs="Arial"/>
                <w:b/>
                <w:bCs/>
                <w:color w:val="000000"/>
                <w:kern w:val="0"/>
                <w:lang w:val="es-ES_tradnl"/>
                <w14:ligatures w14:val="none"/>
              </w:rPr>
            </w:pPr>
            <w:r w:rsidRPr="00042F4E">
              <w:rPr>
                <w:rFonts w:ascii="Arial" w:hAnsi="Arial"/>
                <w:b/>
                <w:color w:val="000000"/>
                <w:lang w:val="es-ES_tradnl"/>
              </w:rPr>
              <w:t>Prioridad</w:t>
            </w:r>
          </w:p>
        </w:tc>
      </w:tr>
      <w:tr w:rsidR="00915A8B" w:rsidRPr="00042F4E" w14:paraId="335D59A0" w14:textId="766F62EF" w:rsidTr="00CE1E58">
        <w:trPr>
          <w:trHeight w:val="144"/>
        </w:trPr>
        <w:tc>
          <w:tcPr>
            <w:tcW w:w="805" w:type="dxa"/>
            <w:noWrap/>
            <w:vAlign w:val="center"/>
            <w:hideMark/>
          </w:tcPr>
          <w:p w14:paraId="3E728570" w14:textId="77777777" w:rsidR="0010477A" w:rsidRPr="00042F4E" w:rsidRDefault="0010477A"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i/>
                <w:iCs/>
                <w:color w:val="000000"/>
                <w:lang w:val="es-ES_tradnl"/>
              </w:rPr>
              <w:t>18</w:t>
            </w:r>
          </w:p>
        </w:tc>
        <w:tc>
          <w:tcPr>
            <w:tcW w:w="4770" w:type="dxa"/>
            <w:noWrap/>
            <w:vAlign w:val="center"/>
            <w:hideMark/>
          </w:tcPr>
          <w:p w14:paraId="4A75DD7F" w14:textId="442BF9CA" w:rsidR="0010477A" w:rsidRPr="00042F4E" w:rsidRDefault="0010477A"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lang w:val="es-ES_tradnl"/>
              </w:rPr>
              <w:t>Establecer las esferas de normalización pertinentes para el intercambio de datos legibles por máquina sobre la base de proyectos previstos por órganos como las Oficinas de la Cooperación Pentalateral, las Cinco Oficinas de Marcas (TM5), el Foro Industrial Design 5 (ID5), la ISO, la CEI y otros órganos conocidos dedicados al establecimiento de normas en esta rama de actividad.</w:t>
            </w:r>
          </w:p>
        </w:tc>
        <w:tc>
          <w:tcPr>
            <w:tcW w:w="1260" w:type="dxa"/>
            <w:noWrap/>
            <w:vAlign w:val="center"/>
            <w:hideMark/>
          </w:tcPr>
          <w:p w14:paraId="26BF39BD" w14:textId="793BC801" w:rsidR="0010477A" w:rsidRPr="00042F4E" w:rsidRDefault="00A95ED5"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i/>
                <w:iCs/>
                <w:color w:val="000000"/>
                <w:lang w:val="es-ES_tradnl"/>
              </w:rPr>
              <w:t>Ad-hoc</w:t>
            </w:r>
          </w:p>
        </w:tc>
        <w:tc>
          <w:tcPr>
            <w:tcW w:w="1620" w:type="dxa"/>
            <w:noWrap/>
            <w:vAlign w:val="center"/>
            <w:hideMark/>
          </w:tcPr>
          <w:p w14:paraId="1116D105" w14:textId="69C70938" w:rsidR="0010477A" w:rsidRPr="00042F4E" w:rsidRDefault="00F20F12"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Media</w:t>
            </w:r>
          </w:p>
        </w:tc>
        <w:tc>
          <w:tcPr>
            <w:tcW w:w="1350" w:type="dxa"/>
            <w:vAlign w:val="center"/>
          </w:tcPr>
          <w:p w14:paraId="2A33681B" w14:textId="77777777" w:rsidR="0010477A" w:rsidRPr="00042F4E" w:rsidRDefault="0010477A" w:rsidP="006908A8">
            <w:pPr>
              <w:spacing w:before="40" w:after="40" w:line="240" w:lineRule="auto"/>
              <w:rPr>
                <w:rFonts w:ascii="Arial" w:eastAsia="Times New Roman" w:hAnsi="Arial" w:cs="Arial"/>
                <w:color w:val="000000"/>
                <w:kern w:val="0"/>
                <w:lang w:val="es-ES_tradnl"/>
                <w14:ligatures w14:val="none"/>
              </w:rPr>
            </w:pPr>
          </w:p>
        </w:tc>
      </w:tr>
      <w:tr w:rsidR="00915A8B" w:rsidRPr="00042F4E" w14:paraId="4FF1EBC4" w14:textId="5EF092D4" w:rsidTr="00CE1E58">
        <w:trPr>
          <w:trHeight w:val="144"/>
        </w:trPr>
        <w:tc>
          <w:tcPr>
            <w:tcW w:w="805" w:type="dxa"/>
            <w:noWrap/>
            <w:vAlign w:val="center"/>
            <w:hideMark/>
          </w:tcPr>
          <w:p w14:paraId="1F441A6E" w14:textId="77777777" w:rsidR="0010477A" w:rsidRPr="00042F4E" w:rsidRDefault="0010477A"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i/>
                <w:iCs/>
                <w:color w:val="000000"/>
                <w:lang w:val="es-ES_tradnl"/>
              </w:rPr>
              <w:t>24</w:t>
            </w:r>
          </w:p>
        </w:tc>
        <w:tc>
          <w:tcPr>
            <w:tcW w:w="4770" w:type="dxa"/>
            <w:noWrap/>
            <w:vAlign w:val="center"/>
            <w:hideMark/>
          </w:tcPr>
          <w:p w14:paraId="12B6B67F" w14:textId="2CA2069D" w:rsidR="0010477A" w:rsidRPr="00042F4E" w:rsidRDefault="0010477A"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Compilar y publicar informes técnicos anuales sobre las actividades de los miembros del CWS (ATR/PI, ATR/TM, ATR/ID) relativas a información en materia de patentes, marcas y diseños industriales.</w:t>
            </w:r>
          </w:p>
        </w:tc>
        <w:tc>
          <w:tcPr>
            <w:tcW w:w="1260" w:type="dxa"/>
            <w:noWrap/>
            <w:vAlign w:val="center"/>
            <w:hideMark/>
          </w:tcPr>
          <w:p w14:paraId="0683D306" w14:textId="571F75D6" w:rsidR="0010477A" w:rsidRPr="00042F4E" w:rsidRDefault="003B0276"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Activa</w:t>
            </w:r>
          </w:p>
        </w:tc>
        <w:tc>
          <w:tcPr>
            <w:tcW w:w="1620" w:type="dxa"/>
            <w:noWrap/>
            <w:vAlign w:val="center"/>
            <w:hideMark/>
          </w:tcPr>
          <w:p w14:paraId="0A433917" w14:textId="77777777" w:rsidR="0010477A" w:rsidRPr="00042F4E" w:rsidRDefault="0010477A"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Media</w:t>
            </w:r>
          </w:p>
        </w:tc>
        <w:tc>
          <w:tcPr>
            <w:tcW w:w="1350" w:type="dxa"/>
            <w:vAlign w:val="center"/>
          </w:tcPr>
          <w:p w14:paraId="4E3DB105" w14:textId="25FA6720" w:rsidR="0010477A" w:rsidRPr="00042F4E" w:rsidRDefault="00525C74"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Importante</w:t>
            </w:r>
          </w:p>
        </w:tc>
      </w:tr>
      <w:tr w:rsidR="00915A8B" w:rsidRPr="00042F4E" w14:paraId="390AC8CB" w14:textId="614BC5FA" w:rsidTr="00CE1E58">
        <w:trPr>
          <w:trHeight w:val="144"/>
        </w:trPr>
        <w:tc>
          <w:tcPr>
            <w:tcW w:w="805" w:type="dxa"/>
            <w:noWrap/>
            <w:vAlign w:val="center"/>
            <w:hideMark/>
          </w:tcPr>
          <w:p w14:paraId="0EEE91D4" w14:textId="77777777" w:rsidR="0010477A" w:rsidRPr="00042F4E" w:rsidRDefault="0010477A"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i/>
                <w:iCs/>
                <w:color w:val="000000"/>
                <w:lang w:val="es-ES_tradnl"/>
              </w:rPr>
              <w:t>33</w:t>
            </w:r>
          </w:p>
        </w:tc>
        <w:tc>
          <w:tcPr>
            <w:tcW w:w="4770" w:type="dxa"/>
            <w:noWrap/>
            <w:vAlign w:val="center"/>
            <w:hideMark/>
          </w:tcPr>
          <w:p w14:paraId="715D1A66" w14:textId="70338E94" w:rsidR="0010477A" w:rsidRPr="00042F4E" w:rsidRDefault="0010477A"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Revisión continua de normas técnicas de la OMPI.</w:t>
            </w:r>
          </w:p>
        </w:tc>
        <w:tc>
          <w:tcPr>
            <w:tcW w:w="1260" w:type="dxa"/>
            <w:noWrap/>
            <w:vAlign w:val="center"/>
            <w:hideMark/>
          </w:tcPr>
          <w:p w14:paraId="1BCAB797" w14:textId="5E79F986" w:rsidR="0010477A" w:rsidRPr="00042F4E" w:rsidRDefault="00AA634D"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i/>
                <w:iCs/>
                <w:color w:val="000000"/>
                <w:lang w:val="es-ES_tradnl"/>
              </w:rPr>
              <w:t>Ad-hoc</w:t>
            </w:r>
          </w:p>
        </w:tc>
        <w:tc>
          <w:tcPr>
            <w:tcW w:w="1620" w:type="dxa"/>
            <w:noWrap/>
            <w:vAlign w:val="center"/>
            <w:hideMark/>
          </w:tcPr>
          <w:p w14:paraId="4AF1CB23" w14:textId="77777777" w:rsidR="0010477A" w:rsidRPr="00042F4E" w:rsidRDefault="0010477A"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Media</w:t>
            </w:r>
          </w:p>
        </w:tc>
        <w:tc>
          <w:tcPr>
            <w:tcW w:w="1350" w:type="dxa"/>
            <w:vAlign w:val="center"/>
          </w:tcPr>
          <w:p w14:paraId="32F6F9B7" w14:textId="06C9E024" w:rsidR="0010477A" w:rsidRPr="00042F4E" w:rsidRDefault="0010477A" w:rsidP="006908A8">
            <w:pPr>
              <w:spacing w:before="40" w:after="40" w:line="240" w:lineRule="auto"/>
              <w:rPr>
                <w:rFonts w:ascii="Arial" w:eastAsia="Times New Roman" w:hAnsi="Arial" w:cs="Arial"/>
                <w:color w:val="000000"/>
                <w:kern w:val="0"/>
                <w:lang w:val="es-ES_tradnl"/>
                <w14:ligatures w14:val="none"/>
              </w:rPr>
            </w:pPr>
          </w:p>
        </w:tc>
      </w:tr>
      <w:tr w:rsidR="00915A8B" w:rsidRPr="00042F4E" w14:paraId="7C844EE5" w14:textId="7716A7FE" w:rsidTr="00CE1E58">
        <w:trPr>
          <w:trHeight w:val="144"/>
        </w:trPr>
        <w:tc>
          <w:tcPr>
            <w:tcW w:w="805" w:type="dxa"/>
            <w:noWrap/>
            <w:vAlign w:val="center"/>
            <w:hideMark/>
          </w:tcPr>
          <w:p w14:paraId="6DC5EDBC" w14:textId="77777777" w:rsidR="0010477A" w:rsidRPr="00042F4E" w:rsidRDefault="0010477A"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33/3</w:t>
            </w:r>
          </w:p>
        </w:tc>
        <w:tc>
          <w:tcPr>
            <w:tcW w:w="4770" w:type="dxa"/>
            <w:noWrap/>
            <w:vAlign w:val="center"/>
            <w:hideMark/>
          </w:tcPr>
          <w:p w14:paraId="5D3E24E7" w14:textId="0FE730B2" w:rsidR="0010477A" w:rsidRPr="00042F4E" w:rsidRDefault="0010477A"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Revisión continua de la Norma ST.3 de la OMPI.</w:t>
            </w:r>
          </w:p>
        </w:tc>
        <w:tc>
          <w:tcPr>
            <w:tcW w:w="1260" w:type="dxa"/>
            <w:noWrap/>
            <w:vAlign w:val="center"/>
            <w:hideMark/>
          </w:tcPr>
          <w:p w14:paraId="341AA96E" w14:textId="5B9190A6" w:rsidR="0010477A" w:rsidRPr="00042F4E" w:rsidRDefault="00AA634D"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i/>
                <w:iCs/>
                <w:color w:val="000000"/>
                <w:lang w:val="es-ES_tradnl"/>
              </w:rPr>
              <w:t>Ad-hoc</w:t>
            </w:r>
          </w:p>
        </w:tc>
        <w:tc>
          <w:tcPr>
            <w:tcW w:w="1620" w:type="dxa"/>
            <w:noWrap/>
            <w:vAlign w:val="center"/>
            <w:hideMark/>
          </w:tcPr>
          <w:p w14:paraId="7DE2AFEF" w14:textId="7A6725F0" w:rsidR="0010477A" w:rsidRPr="00042F4E" w:rsidRDefault="00E77E88"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Baja</w:t>
            </w:r>
          </w:p>
        </w:tc>
        <w:tc>
          <w:tcPr>
            <w:tcW w:w="1350" w:type="dxa"/>
            <w:vAlign w:val="center"/>
          </w:tcPr>
          <w:p w14:paraId="3B37BD0D" w14:textId="77777777" w:rsidR="0010477A" w:rsidRPr="00042F4E" w:rsidRDefault="0010477A" w:rsidP="006908A8">
            <w:pPr>
              <w:spacing w:before="40" w:after="40" w:line="240" w:lineRule="auto"/>
              <w:rPr>
                <w:rFonts w:ascii="Arial" w:eastAsia="Times New Roman" w:hAnsi="Arial" w:cs="Arial"/>
                <w:color w:val="000000"/>
                <w:kern w:val="0"/>
                <w:lang w:val="es-ES_tradnl"/>
                <w14:ligatures w14:val="none"/>
              </w:rPr>
            </w:pPr>
          </w:p>
        </w:tc>
      </w:tr>
      <w:tr w:rsidR="00915A8B" w:rsidRPr="00042F4E" w14:paraId="58B19154" w14:textId="0B8BC93F" w:rsidTr="00CE1E58">
        <w:trPr>
          <w:trHeight w:val="144"/>
        </w:trPr>
        <w:tc>
          <w:tcPr>
            <w:tcW w:w="805" w:type="dxa"/>
            <w:noWrap/>
            <w:vAlign w:val="center"/>
            <w:hideMark/>
          </w:tcPr>
          <w:p w14:paraId="7AD396C2" w14:textId="77777777" w:rsidR="0010477A" w:rsidRPr="00042F4E" w:rsidRDefault="0010477A"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41</w:t>
            </w:r>
          </w:p>
        </w:tc>
        <w:tc>
          <w:tcPr>
            <w:tcW w:w="4770" w:type="dxa"/>
            <w:noWrap/>
            <w:vAlign w:val="center"/>
            <w:hideMark/>
          </w:tcPr>
          <w:p w14:paraId="224B7C27" w14:textId="661A98F1" w:rsidR="0010477A" w:rsidRPr="00042F4E" w:rsidRDefault="0010477A"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Aplicar las revisiones y actualizaciones necesarias de las normas técnicas de la OMPI ST.36, ST.66, ST.86 y ST.96; y apoyar la aplicación de esas normas.</w:t>
            </w:r>
          </w:p>
        </w:tc>
        <w:tc>
          <w:tcPr>
            <w:tcW w:w="1260" w:type="dxa"/>
            <w:noWrap/>
            <w:vAlign w:val="center"/>
            <w:hideMark/>
          </w:tcPr>
          <w:p w14:paraId="44E69865" w14:textId="10A12ADB" w:rsidR="0010477A" w:rsidRPr="00042F4E" w:rsidRDefault="003B0276"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Muy activa</w:t>
            </w:r>
          </w:p>
        </w:tc>
        <w:tc>
          <w:tcPr>
            <w:tcW w:w="1620" w:type="dxa"/>
            <w:noWrap/>
            <w:vAlign w:val="center"/>
            <w:hideMark/>
          </w:tcPr>
          <w:p w14:paraId="5D712552" w14:textId="1A37716C" w:rsidR="0010477A" w:rsidRPr="00042F4E" w:rsidRDefault="00E77E88"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Alta</w:t>
            </w:r>
          </w:p>
        </w:tc>
        <w:tc>
          <w:tcPr>
            <w:tcW w:w="1350" w:type="dxa"/>
            <w:vAlign w:val="center"/>
          </w:tcPr>
          <w:p w14:paraId="0CB41E0D" w14:textId="1252FEDC" w:rsidR="0010477A" w:rsidRPr="00042F4E" w:rsidRDefault="00525C74"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Importante</w:t>
            </w:r>
          </w:p>
        </w:tc>
      </w:tr>
      <w:tr w:rsidR="00915A8B" w:rsidRPr="00042F4E" w14:paraId="0D20C6B6" w14:textId="77777777" w:rsidTr="00CE1E58">
        <w:trPr>
          <w:trHeight w:val="144"/>
        </w:trPr>
        <w:tc>
          <w:tcPr>
            <w:tcW w:w="805" w:type="dxa"/>
            <w:noWrap/>
            <w:vAlign w:val="center"/>
          </w:tcPr>
          <w:p w14:paraId="53972DEE" w14:textId="51DB0F19" w:rsidR="00994AC0" w:rsidRPr="00042F4E" w:rsidRDefault="00994AC0"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43</w:t>
            </w:r>
          </w:p>
        </w:tc>
        <w:tc>
          <w:tcPr>
            <w:tcW w:w="4770" w:type="dxa"/>
            <w:noWrap/>
            <w:vAlign w:val="center"/>
          </w:tcPr>
          <w:p w14:paraId="69C9E803" w14:textId="06CFDECB" w:rsidR="00994AC0" w:rsidRPr="00042F4E" w:rsidRDefault="00A61192"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 xml:space="preserve">Elaborar directrices relativas a la numeración de los párrafos, la longitud de los párrafos y el modo de uniformar la presentación de los </w:t>
            </w:r>
            <w:r w:rsidRPr="00042F4E">
              <w:rPr>
                <w:rFonts w:ascii="Arial" w:hAnsi="Arial"/>
                <w:color w:val="000000"/>
                <w:lang w:val="es-ES_tradnl"/>
              </w:rPr>
              <w:lastRenderedPageBreak/>
              <w:t>documentos de patente para su aplicación por las Oficinas de PI.</w:t>
            </w:r>
          </w:p>
        </w:tc>
        <w:tc>
          <w:tcPr>
            <w:tcW w:w="1260" w:type="dxa"/>
            <w:noWrap/>
            <w:vAlign w:val="center"/>
          </w:tcPr>
          <w:p w14:paraId="01D6BD9E" w14:textId="16C4CA6C" w:rsidR="00994AC0" w:rsidRPr="00042F4E" w:rsidRDefault="00994AC0"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lastRenderedPageBreak/>
              <w:t>En suspenso</w:t>
            </w:r>
          </w:p>
        </w:tc>
        <w:tc>
          <w:tcPr>
            <w:tcW w:w="1620" w:type="dxa"/>
            <w:noWrap/>
            <w:vAlign w:val="center"/>
          </w:tcPr>
          <w:p w14:paraId="263519E9" w14:textId="74267EF0" w:rsidR="00994AC0" w:rsidRPr="00042F4E" w:rsidRDefault="006662B9"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 xml:space="preserve">No </w:t>
            </w:r>
            <w:r w:rsidR="00B46545" w:rsidRPr="00042F4E">
              <w:rPr>
                <w:rFonts w:ascii="Arial" w:hAnsi="Arial"/>
                <w:color w:val="000000"/>
                <w:lang w:val="es-ES_tradnl"/>
              </w:rPr>
              <w:t>pertinente</w:t>
            </w:r>
          </w:p>
        </w:tc>
        <w:tc>
          <w:tcPr>
            <w:tcW w:w="1350" w:type="dxa"/>
            <w:vAlign w:val="center"/>
          </w:tcPr>
          <w:p w14:paraId="5E2FCC5F" w14:textId="77777777" w:rsidR="00994AC0" w:rsidRPr="00042F4E" w:rsidRDefault="00994AC0" w:rsidP="006908A8">
            <w:pPr>
              <w:spacing w:before="40" w:after="40" w:line="240" w:lineRule="auto"/>
              <w:rPr>
                <w:rFonts w:ascii="Arial" w:eastAsia="Times New Roman" w:hAnsi="Arial" w:cs="Arial"/>
                <w:color w:val="000000"/>
                <w:kern w:val="0"/>
                <w:lang w:val="es-ES_tradnl"/>
                <w14:ligatures w14:val="none"/>
              </w:rPr>
            </w:pPr>
          </w:p>
        </w:tc>
      </w:tr>
      <w:tr w:rsidR="00915A8B" w:rsidRPr="00042F4E" w14:paraId="6752C799" w14:textId="57A663F3" w:rsidTr="00CE1E58">
        <w:trPr>
          <w:trHeight w:val="144"/>
        </w:trPr>
        <w:tc>
          <w:tcPr>
            <w:tcW w:w="805" w:type="dxa"/>
            <w:noWrap/>
            <w:vAlign w:val="center"/>
            <w:hideMark/>
          </w:tcPr>
          <w:p w14:paraId="7A01552B" w14:textId="77777777" w:rsidR="0010477A" w:rsidRPr="00042F4E" w:rsidRDefault="0010477A"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44</w:t>
            </w:r>
          </w:p>
        </w:tc>
        <w:tc>
          <w:tcPr>
            <w:tcW w:w="4770" w:type="dxa"/>
            <w:noWrap/>
            <w:vAlign w:val="center"/>
            <w:hideMark/>
          </w:tcPr>
          <w:p w14:paraId="202D5500" w14:textId="09057916" w:rsidR="0010477A" w:rsidRPr="00042F4E" w:rsidRDefault="0010477A"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Apoyar a la Oficina Internacional probando nuevas versiones teniendo en cuenta los recursos disponibles y transmitiendo los comentarios de los usuarios sobre el uso del conjunto de programas de WIPO Sequence; y preparar las revisiones necesarias de la Norma</w:t>
            </w:r>
            <w:r w:rsidR="00042F4E">
              <w:rPr>
                <w:rFonts w:ascii="Arial" w:hAnsi="Arial"/>
                <w:color w:val="000000"/>
                <w:lang w:val="es-ES_tradnl"/>
              </w:rPr>
              <w:t> </w:t>
            </w:r>
            <w:r w:rsidRPr="00042F4E">
              <w:rPr>
                <w:rFonts w:ascii="Arial" w:hAnsi="Arial"/>
                <w:color w:val="000000"/>
                <w:lang w:val="es-ES_tradnl"/>
              </w:rPr>
              <w:t>ST.26 de la OMPI.</w:t>
            </w:r>
          </w:p>
        </w:tc>
        <w:tc>
          <w:tcPr>
            <w:tcW w:w="1260" w:type="dxa"/>
            <w:noWrap/>
            <w:vAlign w:val="center"/>
            <w:hideMark/>
          </w:tcPr>
          <w:p w14:paraId="06229694" w14:textId="1FCCD452" w:rsidR="0010477A" w:rsidRPr="00042F4E" w:rsidRDefault="003B0276"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Muy activa</w:t>
            </w:r>
          </w:p>
        </w:tc>
        <w:tc>
          <w:tcPr>
            <w:tcW w:w="1620" w:type="dxa"/>
            <w:noWrap/>
            <w:vAlign w:val="center"/>
            <w:hideMark/>
          </w:tcPr>
          <w:p w14:paraId="77F75A5E" w14:textId="24FA24D8" w:rsidR="0010477A" w:rsidRPr="00042F4E" w:rsidRDefault="00A47E45"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Alta</w:t>
            </w:r>
          </w:p>
        </w:tc>
        <w:tc>
          <w:tcPr>
            <w:tcW w:w="1350" w:type="dxa"/>
            <w:vAlign w:val="center"/>
          </w:tcPr>
          <w:p w14:paraId="255535B9" w14:textId="0FFA0384" w:rsidR="0010477A" w:rsidRPr="00042F4E" w:rsidRDefault="00396263" w:rsidP="006908A8">
            <w:pPr>
              <w:spacing w:before="40" w:after="40" w:line="240" w:lineRule="auto"/>
              <w:rPr>
                <w:rFonts w:ascii="Arial" w:eastAsia="Times New Roman" w:hAnsi="Arial" w:cs="Arial"/>
                <w:color w:val="000000"/>
                <w:kern w:val="0"/>
                <w:lang w:val="es-ES_tradnl"/>
                <w14:ligatures w14:val="none"/>
              </w:rPr>
            </w:pPr>
            <w:r w:rsidRPr="00042F4E">
              <w:rPr>
                <w:rFonts w:ascii="Arial" w:hAnsi="Arial"/>
                <w:lang w:val="es-ES_tradnl"/>
              </w:rPr>
              <w:t>Imprescindible</w:t>
            </w:r>
          </w:p>
        </w:tc>
      </w:tr>
    </w:tbl>
    <w:p w14:paraId="3394A53C" w14:textId="35B0E646" w:rsidR="0037258A" w:rsidRPr="00042F4E" w:rsidRDefault="0037258A">
      <w:pPr>
        <w:rPr>
          <w:lang w:val="es-ES_tradnl"/>
        </w:rPr>
      </w:pPr>
    </w:p>
    <w:tbl>
      <w:tblPr>
        <w:tblpPr w:leftFromText="180" w:rightFromText="180" w:vertAnchor="text" w:tblpY="1"/>
        <w:tblOverlap w:val="neve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4860"/>
        <w:gridCol w:w="1276"/>
        <w:gridCol w:w="1559"/>
        <w:gridCol w:w="1305"/>
      </w:tblGrid>
      <w:tr w:rsidR="0037258A" w:rsidRPr="00042F4E" w14:paraId="2F7E2563" w14:textId="77777777" w:rsidTr="00C75B60">
        <w:trPr>
          <w:trHeight w:val="144"/>
        </w:trPr>
        <w:tc>
          <w:tcPr>
            <w:tcW w:w="805" w:type="dxa"/>
            <w:noWrap/>
            <w:vAlign w:val="center"/>
          </w:tcPr>
          <w:p w14:paraId="1E521F31" w14:textId="64606DF7"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b/>
                <w:color w:val="000000"/>
                <w:lang w:val="es-ES_tradnl"/>
              </w:rPr>
              <w:t>Tarea N.º</w:t>
            </w:r>
          </w:p>
        </w:tc>
        <w:tc>
          <w:tcPr>
            <w:tcW w:w="4860" w:type="dxa"/>
            <w:noWrap/>
            <w:vAlign w:val="center"/>
          </w:tcPr>
          <w:p w14:paraId="4F83534C" w14:textId="62677CB6"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b/>
                <w:color w:val="000000"/>
                <w:lang w:val="es-ES_tradnl"/>
              </w:rPr>
              <w:t>Descripción de la tarea</w:t>
            </w:r>
          </w:p>
        </w:tc>
        <w:tc>
          <w:tcPr>
            <w:tcW w:w="1276" w:type="dxa"/>
            <w:noWrap/>
            <w:vAlign w:val="center"/>
          </w:tcPr>
          <w:p w14:paraId="7C1F62CC" w14:textId="3728461B"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b/>
                <w:color w:val="000000"/>
                <w:lang w:val="es-ES_tradnl"/>
              </w:rPr>
              <w:t>Nivel de actividad</w:t>
            </w:r>
          </w:p>
        </w:tc>
        <w:tc>
          <w:tcPr>
            <w:tcW w:w="1559" w:type="dxa"/>
            <w:noWrap/>
            <w:vAlign w:val="center"/>
          </w:tcPr>
          <w:p w14:paraId="5B1E244B" w14:textId="1F165A8B"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b/>
                <w:color w:val="000000"/>
                <w:lang w:val="es-ES_tradnl"/>
              </w:rPr>
              <w:t>Complejidad</w:t>
            </w:r>
          </w:p>
        </w:tc>
        <w:tc>
          <w:tcPr>
            <w:tcW w:w="1305" w:type="dxa"/>
            <w:vAlign w:val="center"/>
          </w:tcPr>
          <w:p w14:paraId="2E633893" w14:textId="379C4D14"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b/>
                <w:color w:val="000000"/>
                <w:lang w:val="es-ES_tradnl"/>
              </w:rPr>
              <w:t>Prioridad</w:t>
            </w:r>
          </w:p>
        </w:tc>
      </w:tr>
      <w:tr w:rsidR="0037258A" w:rsidRPr="00042F4E" w14:paraId="09EFD9A3" w14:textId="5B4A4496" w:rsidTr="00C75B60">
        <w:trPr>
          <w:trHeight w:val="144"/>
        </w:trPr>
        <w:tc>
          <w:tcPr>
            <w:tcW w:w="805" w:type="dxa"/>
            <w:noWrap/>
            <w:vAlign w:val="center"/>
            <w:hideMark/>
          </w:tcPr>
          <w:p w14:paraId="6DC037BC" w14:textId="4E01BBF6"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47</w:t>
            </w:r>
          </w:p>
        </w:tc>
        <w:tc>
          <w:tcPr>
            <w:tcW w:w="4860" w:type="dxa"/>
            <w:noWrap/>
            <w:vAlign w:val="center"/>
            <w:hideMark/>
          </w:tcPr>
          <w:p w14:paraId="02270A82" w14:textId="2445B430"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Garantizar las necesarias revisiones y actualizaciones de las Normas ST.27, ST.87 y</w:t>
            </w:r>
            <w:r w:rsidR="00F81B22" w:rsidRPr="00042F4E">
              <w:rPr>
                <w:rFonts w:ascii="Arial" w:hAnsi="Arial"/>
                <w:color w:val="000000"/>
                <w:lang w:val="es-ES_tradnl"/>
              </w:rPr>
              <w:t> </w:t>
            </w:r>
            <w:r w:rsidRPr="00042F4E">
              <w:rPr>
                <w:rFonts w:ascii="Arial" w:hAnsi="Arial"/>
                <w:color w:val="000000"/>
                <w:lang w:val="es-ES_tradnl"/>
              </w:rPr>
              <w:t>ST.61 de la OMPI; preparar material de apoyo que complemente el uso de esas normas en la comunidad de la PI; y prestar apoyo al Equipo Técnico XML4IP para que desarrolle componentes XML para los datos sobre la situación jurídica.</w:t>
            </w:r>
          </w:p>
        </w:tc>
        <w:tc>
          <w:tcPr>
            <w:tcW w:w="1276" w:type="dxa"/>
            <w:noWrap/>
            <w:vAlign w:val="center"/>
            <w:hideMark/>
          </w:tcPr>
          <w:p w14:paraId="2ECABD39" w14:textId="05659B80"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Activa</w:t>
            </w:r>
          </w:p>
        </w:tc>
        <w:tc>
          <w:tcPr>
            <w:tcW w:w="1559" w:type="dxa"/>
            <w:noWrap/>
            <w:vAlign w:val="center"/>
            <w:hideMark/>
          </w:tcPr>
          <w:p w14:paraId="32C9FCB1" w14:textId="753722A3"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Media</w:t>
            </w:r>
          </w:p>
        </w:tc>
        <w:tc>
          <w:tcPr>
            <w:tcW w:w="1305" w:type="dxa"/>
            <w:vAlign w:val="center"/>
          </w:tcPr>
          <w:p w14:paraId="4B36119F" w14:textId="1507F54C"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Importante</w:t>
            </w:r>
          </w:p>
        </w:tc>
      </w:tr>
      <w:tr w:rsidR="0037258A" w:rsidRPr="00042F4E" w14:paraId="0BB17472" w14:textId="77C3A67A" w:rsidTr="00C75B60">
        <w:trPr>
          <w:trHeight w:val="144"/>
        </w:trPr>
        <w:tc>
          <w:tcPr>
            <w:tcW w:w="805" w:type="dxa"/>
            <w:noWrap/>
            <w:vAlign w:val="center"/>
            <w:hideMark/>
          </w:tcPr>
          <w:p w14:paraId="517CF2B1" w14:textId="77777777"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50</w:t>
            </w:r>
          </w:p>
        </w:tc>
        <w:tc>
          <w:tcPr>
            <w:tcW w:w="4860" w:type="dxa"/>
            <w:noWrap/>
            <w:vAlign w:val="center"/>
            <w:hideMark/>
          </w:tcPr>
          <w:p w14:paraId="41775E25" w14:textId="34C2E447"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Velar por el mantenimiento y la actualización necesarios de los estudios publicados en la parte</w:t>
            </w:r>
            <w:r w:rsidR="00042F4E">
              <w:rPr>
                <w:rFonts w:ascii="Arial" w:hAnsi="Arial"/>
                <w:color w:val="000000"/>
                <w:lang w:val="es-ES_tradnl"/>
              </w:rPr>
              <w:t> </w:t>
            </w:r>
            <w:r w:rsidRPr="00042F4E">
              <w:rPr>
                <w:rFonts w:ascii="Arial" w:hAnsi="Arial"/>
                <w:color w:val="000000"/>
                <w:lang w:val="es-ES_tradnl"/>
              </w:rPr>
              <w:t>7 del Manual de la OMPI de Información y Documentación en materia de Propiedad Intelectual.</w:t>
            </w:r>
          </w:p>
        </w:tc>
        <w:tc>
          <w:tcPr>
            <w:tcW w:w="1276" w:type="dxa"/>
            <w:noWrap/>
            <w:vAlign w:val="center"/>
            <w:hideMark/>
          </w:tcPr>
          <w:p w14:paraId="1B639639" w14:textId="1509C804"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Activa</w:t>
            </w:r>
          </w:p>
        </w:tc>
        <w:tc>
          <w:tcPr>
            <w:tcW w:w="1559" w:type="dxa"/>
            <w:noWrap/>
            <w:vAlign w:val="center"/>
            <w:hideMark/>
          </w:tcPr>
          <w:p w14:paraId="5686C7F2" w14:textId="57B76265"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Media</w:t>
            </w:r>
          </w:p>
        </w:tc>
        <w:tc>
          <w:tcPr>
            <w:tcW w:w="1305" w:type="dxa"/>
            <w:vAlign w:val="center"/>
          </w:tcPr>
          <w:p w14:paraId="27D680B8" w14:textId="6D5A2100"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Importante</w:t>
            </w:r>
          </w:p>
        </w:tc>
      </w:tr>
      <w:tr w:rsidR="0037258A" w:rsidRPr="00042F4E" w14:paraId="4C067116" w14:textId="5BA9B15C" w:rsidTr="00C75B60">
        <w:trPr>
          <w:trHeight w:val="144"/>
        </w:trPr>
        <w:tc>
          <w:tcPr>
            <w:tcW w:w="805" w:type="dxa"/>
            <w:noWrap/>
            <w:vAlign w:val="center"/>
            <w:hideMark/>
          </w:tcPr>
          <w:p w14:paraId="31CCF19D" w14:textId="77777777"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52</w:t>
            </w:r>
          </w:p>
        </w:tc>
        <w:tc>
          <w:tcPr>
            <w:tcW w:w="4860" w:type="dxa"/>
            <w:noWrap/>
            <w:vAlign w:val="center"/>
            <w:hideMark/>
          </w:tcPr>
          <w:p w14:paraId="1E5DD05B" w14:textId="594FB423"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Preparar una propuesta de actualización de la Parte</w:t>
            </w:r>
            <w:r w:rsidR="00042F4E">
              <w:rPr>
                <w:rFonts w:ascii="Arial" w:hAnsi="Arial"/>
                <w:color w:val="000000"/>
                <w:lang w:val="es-ES_tradnl"/>
              </w:rPr>
              <w:t> </w:t>
            </w:r>
            <w:r w:rsidRPr="00042F4E">
              <w:rPr>
                <w:rFonts w:ascii="Arial" w:hAnsi="Arial"/>
                <w:color w:val="000000"/>
                <w:lang w:val="es-ES_tradnl"/>
              </w:rPr>
              <w:t>6.1 del Manual de la OMPI: “Recomendaciones sobre el contenido básico de los sitios web de las oficinas de propiedad intelectual”.</w:t>
            </w:r>
          </w:p>
        </w:tc>
        <w:tc>
          <w:tcPr>
            <w:tcW w:w="1276" w:type="dxa"/>
            <w:noWrap/>
            <w:vAlign w:val="center"/>
            <w:hideMark/>
          </w:tcPr>
          <w:p w14:paraId="100EEF01" w14:textId="2D444FF7"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i/>
                <w:iCs/>
                <w:color w:val="000000"/>
                <w:lang w:val="es-ES_tradnl"/>
              </w:rPr>
              <w:t>Ad-hoc</w:t>
            </w:r>
          </w:p>
        </w:tc>
        <w:tc>
          <w:tcPr>
            <w:tcW w:w="1559" w:type="dxa"/>
            <w:noWrap/>
            <w:vAlign w:val="center"/>
            <w:hideMark/>
          </w:tcPr>
          <w:p w14:paraId="27F3B8D4" w14:textId="30BC72E6"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Baja</w:t>
            </w:r>
          </w:p>
        </w:tc>
        <w:tc>
          <w:tcPr>
            <w:tcW w:w="1305" w:type="dxa"/>
            <w:vAlign w:val="center"/>
          </w:tcPr>
          <w:p w14:paraId="18060B76" w14:textId="77777777"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p>
        </w:tc>
      </w:tr>
      <w:tr w:rsidR="0037258A" w:rsidRPr="00042F4E" w14:paraId="1BB8B1F5" w14:textId="4A6DFE83" w:rsidTr="00C75B60">
        <w:trPr>
          <w:trHeight w:val="144"/>
        </w:trPr>
        <w:tc>
          <w:tcPr>
            <w:tcW w:w="805" w:type="dxa"/>
            <w:noWrap/>
            <w:vAlign w:val="center"/>
            <w:hideMark/>
          </w:tcPr>
          <w:p w14:paraId="2E2D2B31" w14:textId="009E4999"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55</w:t>
            </w:r>
          </w:p>
        </w:tc>
        <w:tc>
          <w:tcPr>
            <w:tcW w:w="4860" w:type="dxa"/>
            <w:noWrap/>
            <w:vAlign w:val="center"/>
            <w:hideMark/>
          </w:tcPr>
          <w:p w14:paraId="15DEB43F" w14:textId="572BF1CD"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Preparar una propuesta de acciones futuras destinadas a lograr la normalización de los nombres en los documentos de propiedad intelectual (PI), con vistas a desarrollar una norma de la OMPI que ayude a las Oficinas de PI a proporcionar una mejor "calidad en origen" en relación con los nombres.</w:t>
            </w:r>
          </w:p>
        </w:tc>
        <w:tc>
          <w:tcPr>
            <w:tcW w:w="1276" w:type="dxa"/>
            <w:noWrap/>
            <w:vAlign w:val="center"/>
            <w:hideMark/>
          </w:tcPr>
          <w:p w14:paraId="1BB58644" w14:textId="5CF0E826"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Ocasional</w:t>
            </w:r>
          </w:p>
        </w:tc>
        <w:tc>
          <w:tcPr>
            <w:tcW w:w="1559" w:type="dxa"/>
            <w:noWrap/>
            <w:vAlign w:val="center"/>
            <w:hideMark/>
          </w:tcPr>
          <w:p w14:paraId="1DECAD15" w14:textId="01180E29"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Media</w:t>
            </w:r>
          </w:p>
        </w:tc>
        <w:tc>
          <w:tcPr>
            <w:tcW w:w="1305" w:type="dxa"/>
            <w:vAlign w:val="center"/>
          </w:tcPr>
          <w:p w14:paraId="78C9CD57" w14:textId="4D258538"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p>
        </w:tc>
      </w:tr>
      <w:tr w:rsidR="0037258A" w:rsidRPr="00042F4E" w14:paraId="02B23D32" w14:textId="734EA2EE" w:rsidTr="00C75B60">
        <w:trPr>
          <w:trHeight w:val="144"/>
        </w:trPr>
        <w:tc>
          <w:tcPr>
            <w:tcW w:w="805" w:type="dxa"/>
            <w:noWrap/>
            <w:vAlign w:val="center"/>
            <w:hideMark/>
          </w:tcPr>
          <w:p w14:paraId="178FC7BE" w14:textId="77777777"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56</w:t>
            </w:r>
          </w:p>
        </w:tc>
        <w:tc>
          <w:tcPr>
            <w:tcW w:w="4860" w:type="dxa"/>
            <w:noWrap/>
            <w:vAlign w:val="center"/>
            <w:hideMark/>
          </w:tcPr>
          <w:p w14:paraId="01EE7F4C" w14:textId="71BC60BF"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Garantizar las necesarias revisiones y actualizaciones de la Norma ST.90 de la OMPI; prestar apoyo a la Oficina Internacional en la promoción y aplicación de la Norma ST.90 de la OMPI; y promover el catálogo API para la propiedad intelectual.</w:t>
            </w:r>
          </w:p>
        </w:tc>
        <w:tc>
          <w:tcPr>
            <w:tcW w:w="1276" w:type="dxa"/>
            <w:noWrap/>
            <w:vAlign w:val="center"/>
            <w:hideMark/>
          </w:tcPr>
          <w:p w14:paraId="35962DB9" w14:textId="2106EC86"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Muy activa</w:t>
            </w:r>
          </w:p>
        </w:tc>
        <w:tc>
          <w:tcPr>
            <w:tcW w:w="1559" w:type="dxa"/>
            <w:noWrap/>
            <w:vAlign w:val="center"/>
            <w:hideMark/>
          </w:tcPr>
          <w:p w14:paraId="5D64E501" w14:textId="37D62EA3"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Alta</w:t>
            </w:r>
          </w:p>
        </w:tc>
        <w:tc>
          <w:tcPr>
            <w:tcW w:w="1305" w:type="dxa"/>
            <w:vAlign w:val="center"/>
          </w:tcPr>
          <w:p w14:paraId="2ACD88F0" w14:textId="21AC87AE"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Importante</w:t>
            </w:r>
          </w:p>
        </w:tc>
      </w:tr>
      <w:tr w:rsidR="0037258A" w:rsidRPr="00042F4E" w14:paraId="4E600E5B" w14:textId="47F17E7A" w:rsidTr="00C75B60">
        <w:trPr>
          <w:trHeight w:val="144"/>
        </w:trPr>
        <w:tc>
          <w:tcPr>
            <w:tcW w:w="805" w:type="dxa"/>
            <w:noWrap/>
            <w:vAlign w:val="center"/>
            <w:hideMark/>
          </w:tcPr>
          <w:p w14:paraId="0AE254E0" w14:textId="77777777" w:rsidR="0037258A" w:rsidRPr="00042F4E" w:rsidRDefault="0037258A" w:rsidP="00C75B60">
            <w:pPr>
              <w:keepNext/>
              <w:keepLines/>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58</w:t>
            </w:r>
          </w:p>
        </w:tc>
        <w:tc>
          <w:tcPr>
            <w:tcW w:w="4860" w:type="dxa"/>
            <w:noWrap/>
            <w:vAlign w:val="center"/>
            <w:hideMark/>
          </w:tcPr>
          <w:p w14:paraId="27DEC136" w14:textId="0B5A749D" w:rsidR="0037258A" w:rsidRPr="00042F4E" w:rsidRDefault="0037258A" w:rsidP="00C75B60">
            <w:pPr>
              <w:keepNext/>
              <w:keepLines/>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Facilitar la aplicación de las recomendaciones relacionadas con las TIC por parte de las oficinas de PI y la Oficina Internacional; y evaluar y actualizar estas recomendaciones según sea necesario para que sigan siendo pertinentes.</w:t>
            </w:r>
          </w:p>
        </w:tc>
        <w:tc>
          <w:tcPr>
            <w:tcW w:w="1276" w:type="dxa"/>
            <w:noWrap/>
            <w:vAlign w:val="center"/>
            <w:hideMark/>
          </w:tcPr>
          <w:p w14:paraId="27A7090E" w14:textId="72DDDE1F" w:rsidR="0037258A" w:rsidRPr="00042F4E" w:rsidRDefault="0037258A" w:rsidP="00C75B60">
            <w:pPr>
              <w:keepNext/>
              <w:keepLines/>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Activa</w:t>
            </w:r>
          </w:p>
        </w:tc>
        <w:tc>
          <w:tcPr>
            <w:tcW w:w="1559" w:type="dxa"/>
            <w:noWrap/>
            <w:vAlign w:val="center"/>
            <w:hideMark/>
          </w:tcPr>
          <w:p w14:paraId="4E131D83" w14:textId="4CA11A1A" w:rsidR="0037258A" w:rsidRPr="00042F4E" w:rsidRDefault="0037258A" w:rsidP="00C75B60">
            <w:pPr>
              <w:keepNext/>
              <w:keepLines/>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Alta</w:t>
            </w:r>
          </w:p>
        </w:tc>
        <w:tc>
          <w:tcPr>
            <w:tcW w:w="1305" w:type="dxa"/>
            <w:vAlign w:val="center"/>
          </w:tcPr>
          <w:p w14:paraId="168DF786" w14:textId="449F4924" w:rsidR="0037258A" w:rsidRPr="00042F4E" w:rsidRDefault="0037258A" w:rsidP="00C75B60">
            <w:pPr>
              <w:keepNext/>
              <w:keepLines/>
              <w:spacing w:before="40" w:after="40" w:line="240" w:lineRule="auto"/>
              <w:rPr>
                <w:rFonts w:ascii="Arial" w:eastAsia="Times New Roman" w:hAnsi="Arial" w:cs="Arial"/>
                <w:color w:val="000000"/>
                <w:kern w:val="0"/>
                <w:lang w:val="es-ES_tradnl"/>
                <w14:ligatures w14:val="none"/>
              </w:rPr>
            </w:pPr>
            <w:r w:rsidRPr="00042F4E">
              <w:rPr>
                <w:rFonts w:ascii="Arial" w:hAnsi="Arial"/>
                <w:lang w:val="es-ES_tradnl"/>
              </w:rPr>
              <w:t>Imprescindible</w:t>
            </w:r>
          </w:p>
        </w:tc>
      </w:tr>
    </w:tbl>
    <w:p w14:paraId="154DB9F0" w14:textId="28069715" w:rsidR="0037258A" w:rsidRPr="00042F4E" w:rsidRDefault="0037258A">
      <w:pPr>
        <w:rPr>
          <w:lang w:val="es-ES_tradnl"/>
        </w:rPr>
      </w:pPr>
    </w:p>
    <w:tbl>
      <w:tblPr>
        <w:tblpPr w:leftFromText="180" w:rightFromText="180" w:vertAnchor="text" w:tblpY="1"/>
        <w:tblOverlap w:val="neve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4860"/>
        <w:gridCol w:w="1170"/>
        <w:gridCol w:w="1620"/>
        <w:gridCol w:w="1350"/>
      </w:tblGrid>
      <w:tr w:rsidR="0037258A" w:rsidRPr="00042F4E" w14:paraId="5185CDD0" w14:textId="77777777" w:rsidTr="00CE1E58">
        <w:trPr>
          <w:trHeight w:val="144"/>
        </w:trPr>
        <w:tc>
          <w:tcPr>
            <w:tcW w:w="805" w:type="dxa"/>
            <w:noWrap/>
            <w:vAlign w:val="center"/>
          </w:tcPr>
          <w:p w14:paraId="0F681D73" w14:textId="11AFB844"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b/>
                <w:color w:val="000000"/>
                <w:lang w:val="es-ES_tradnl"/>
              </w:rPr>
              <w:t>Tarea N.º</w:t>
            </w:r>
          </w:p>
        </w:tc>
        <w:tc>
          <w:tcPr>
            <w:tcW w:w="4860" w:type="dxa"/>
            <w:noWrap/>
            <w:vAlign w:val="center"/>
          </w:tcPr>
          <w:p w14:paraId="283E7C73" w14:textId="1D3CD582"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b/>
                <w:color w:val="000000"/>
                <w:lang w:val="es-ES_tradnl"/>
              </w:rPr>
              <w:t>Descripción de la tarea</w:t>
            </w:r>
          </w:p>
        </w:tc>
        <w:tc>
          <w:tcPr>
            <w:tcW w:w="1170" w:type="dxa"/>
            <w:noWrap/>
            <w:vAlign w:val="center"/>
          </w:tcPr>
          <w:p w14:paraId="0039200C" w14:textId="41D796AC"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b/>
                <w:color w:val="000000"/>
                <w:lang w:val="es-ES_tradnl"/>
              </w:rPr>
              <w:t>Nivel de actividad</w:t>
            </w:r>
          </w:p>
        </w:tc>
        <w:tc>
          <w:tcPr>
            <w:tcW w:w="1620" w:type="dxa"/>
            <w:noWrap/>
            <w:vAlign w:val="center"/>
          </w:tcPr>
          <w:p w14:paraId="2A8F1ECA" w14:textId="06BC120A"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b/>
                <w:color w:val="000000"/>
                <w:lang w:val="es-ES_tradnl"/>
              </w:rPr>
              <w:t>Complejidad</w:t>
            </w:r>
          </w:p>
        </w:tc>
        <w:tc>
          <w:tcPr>
            <w:tcW w:w="1350" w:type="dxa"/>
            <w:vAlign w:val="center"/>
          </w:tcPr>
          <w:p w14:paraId="4F9CE83A" w14:textId="780CBD08"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b/>
                <w:color w:val="000000"/>
                <w:lang w:val="es-ES_tradnl"/>
              </w:rPr>
              <w:t>Prioridad</w:t>
            </w:r>
          </w:p>
        </w:tc>
      </w:tr>
      <w:tr w:rsidR="0037258A" w:rsidRPr="00042F4E" w14:paraId="55E20C55" w14:textId="0E3A05F9" w:rsidTr="00CE1E58">
        <w:trPr>
          <w:trHeight w:val="144"/>
        </w:trPr>
        <w:tc>
          <w:tcPr>
            <w:tcW w:w="805" w:type="dxa"/>
            <w:noWrap/>
            <w:vAlign w:val="center"/>
            <w:hideMark/>
          </w:tcPr>
          <w:p w14:paraId="5613A075" w14:textId="31E4102F"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59</w:t>
            </w:r>
          </w:p>
        </w:tc>
        <w:tc>
          <w:tcPr>
            <w:tcW w:w="4860" w:type="dxa"/>
            <w:noWrap/>
            <w:vAlign w:val="center"/>
            <w:hideMark/>
          </w:tcPr>
          <w:p w14:paraId="49FF9BD1" w14:textId="2E09253E" w:rsidR="0037258A" w:rsidRPr="00042F4E" w:rsidRDefault="0037258A" w:rsidP="00A21372">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Considerar la posibilidad de utilizar la tecnología de cadenas de bloques en los procesos relativos a la concesión de protección para los derechos de PI y al tratamiento de la información sobre los objetos de PI y su utilización; recopilar información sobre los avances de las Oficinas de PI en la utilización de la cadena de bloques y la experiencia obtenida en este ámbito, evaluar las normas relativas a la cadena de bloques vigentes en el sector y considerar su validez y aplicabilidad en las Oficinas de PI; elaborar modelos de referencia del uso de la tecnología de cadena de bloques en el ámbito de la PI que dé cabida a los principios rectores, las prácticas comunes y el uso de la terminología como marco de fomento de la colaboración, los proyectos conjuntos y las pruebas de concepto; y preparar una propuesta de nueva norma técnica de la OMPI que apoye la posible aplicación de la tecnología de la cadena de bloques en el ecosistema de la PI.</w:t>
            </w:r>
          </w:p>
        </w:tc>
        <w:tc>
          <w:tcPr>
            <w:tcW w:w="1170" w:type="dxa"/>
            <w:noWrap/>
            <w:vAlign w:val="center"/>
            <w:hideMark/>
          </w:tcPr>
          <w:p w14:paraId="6E098FAB" w14:textId="2DC5C9EA"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Ocasional</w:t>
            </w:r>
          </w:p>
        </w:tc>
        <w:tc>
          <w:tcPr>
            <w:tcW w:w="1620" w:type="dxa"/>
            <w:noWrap/>
            <w:vAlign w:val="center"/>
            <w:hideMark/>
          </w:tcPr>
          <w:p w14:paraId="7FD97ECA" w14:textId="77777777"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Media</w:t>
            </w:r>
          </w:p>
        </w:tc>
        <w:tc>
          <w:tcPr>
            <w:tcW w:w="1350" w:type="dxa"/>
            <w:vAlign w:val="center"/>
          </w:tcPr>
          <w:p w14:paraId="6303CDD0" w14:textId="77777777"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p>
        </w:tc>
      </w:tr>
      <w:tr w:rsidR="0037258A" w:rsidRPr="00042F4E" w14:paraId="1DC39893" w14:textId="77777777" w:rsidTr="00CE1E58">
        <w:trPr>
          <w:trHeight w:val="144"/>
        </w:trPr>
        <w:tc>
          <w:tcPr>
            <w:tcW w:w="805" w:type="dxa"/>
            <w:noWrap/>
            <w:vAlign w:val="center"/>
          </w:tcPr>
          <w:p w14:paraId="5C63EAE6" w14:textId="1B65EB3E"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60</w:t>
            </w:r>
          </w:p>
        </w:tc>
        <w:tc>
          <w:tcPr>
            <w:tcW w:w="4860" w:type="dxa"/>
            <w:noWrap/>
            <w:vAlign w:val="center"/>
          </w:tcPr>
          <w:p w14:paraId="00375100" w14:textId="4368C482"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Preparar una propuesta para la numeración de los códigos INID en relación con las marcas denominativas y marcas figurativas; sobre la división del código INID (551) y la posible creación de un código INID para marcas combinadas.</w:t>
            </w:r>
          </w:p>
        </w:tc>
        <w:tc>
          <w:tcPr>
            <w:tcW w:w="1170" w:type="dxa"/>
            <w:noWrap/>
            <w:vAlign w:val="center"/>
          </w:tcPr>
          <w:p w14:paraId="652B1F80" w14:textId="2DB89FF0"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En suspenso</w:t>
            </w:r>
          </w:p>
        </w:tc>
        <w:tc>
          <w:tcPr>
            <w:tcW w:w="1620" w:type="dxa"/>
            <w:noWrap/>
            <w:vAlign w:val="center"/>
          </w:tcPr>
          <w:p w14:paraId="42645BAD" w14:textId="506F7ADE"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 xml:space="preserve">No </w:t>
            </w:r>
            <w:r w:rsidR="00EB6653" w:rsidRPr="00042F4E">
              <w:rPr>
                <w:rFonts w:ascii="Arial" w:hAnsi="Arial"/>
                <w:color w:val="000000"/>
                <w:lang w:val="es-ES_tradnl"/>
              </w:rPr>
              <w:t>pertinente</w:t>
            </w:r>
          </w:p>
        </w:tc>
        <w:tc>
          <w:tcPr>
            <w:tcW w:w="1350" w:type="dxa"/>
            <w:vAlign w:val="center"/>
          </w:tcPr>
          <w:p w14:paraId="1F1DCC79" w14:textId="77777777"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p>
        </w:tc>
      </w:tr>
      <w:tr w:rsidR="0037258A" w:rsidRPr="00042F4E" w14:paraId="6E46B3E5" w14:textId="3F465901" w:rsidTr="00CE1E58">
        <w:trPr>
          <w:trHeight w:val="144"/>
        </w:trPr>
        <w:tc>
          <w:tcPr>
            <w:tcW w:w="805" w:type="dxa"/>
            <w:noWrap/>
            <w:vAlign w:val="center"/>
            <w:hideMark/>
          </w:tcPr>
          <w:p w14:paraId="5C73CE58" w14:textId="77777777"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61</w:t>
            </w:r>
          </w:p>
        </w:tc>
        <w:tc>
          <w:tcPr>
            <w:tcW w:w="4860" w:type="dxa"/>
            <w:noWrap/>
            <w:vAlign w:val="center"/>
            <w:hideMark/>
          </w:tcPr>
          <w:p w14:paraId="61BFEC18" w14:textId="4770B8AE"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Garantizar las revisiones y actualizaciones necesarias de la Norma ST.91 de la OMPI, incluidos los métodos de búsqueda de modelos e imágenes tridimensionales.</w:t>
            </w:r>
          </w:p>
        </w:tc>
        <w:tc>
          <w:tcPr>
            <w:tcW w:w="1170" w:type="dxa"/>
            <w:noWrap/>
            <w:vAlign w:val="center"/>
            <w:hideMark/>
          </w:tcPr>
          <w:p w14:paraId="1AD144AA" w14:textId="17DFD5B3"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Activa</w:t>
            </w:r>
          </w:p>
        </w:tc>
        <w:tc>
          <w:tcPr>
            <w:tcW w:w="1620" w:type="dxa"/>
            <w:noWrap/>
            <w:vAlign w:val="center"/>
            <w:hideMark/>
          </w:tcPr>
          <w:p w14:paraId="6943EF78" w14:textId="77777777"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Media</w:t>
            </w:r>
          </w:p>
        </w:tc>
        <w:tc>
          <w:tcPr>
            <w:tcW w:w="1350" w:type="dxa"/>
            <w:vAlign w:val="center"/>
          </w:tcPr>
          <w:p w14:paraId="08D162C5" w14:textId="6D5D7EC3"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p>
        </w:tc>
      </w:tr>
      <w:tr w:rsidR="0037258A" w:rsidRPr="00042F4E" w14:paraId="4B53B4A7" w14:textId="0BA53A52" w:rsidTr="00CE1E58">
        <w:trPr>
          <w:trHeight w:val="144"/>
        </w:trPr>
        <w:tc>
          <w:tcPr>
            <w:tcW w:w="805" w:type="dxa"/>
            <w:noWrap/>
            <w:vAlign w:val="center"/>
            <w:hideMark/>
          </w:tcPr>
          <w:p w14:paraId="29704836" w14:textId="77777777"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62</w:t>
            </w:r>
          </w:p>
        </w:tc>
        <w:tc>
          <w:tcPr>
            <w:tcW w:w="4860" w:type="dxa"/>
            <w:noWrap/>
            <w:vAlign w:val="center"/>
            <w:hideMark/>
          </w:tcPr>
          <w:p w14:paraId="538F085F" w14:textId="2FE67D3D"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Revisar las normas de la OMPI desarrolladas para la comunicación en papel o en imágenes con vistas a la presentación y publicación electrónicas y al intercambio de documentación sobre PI y proponer revisiones de esas normas o nuevas recomendaciones, de ser necesario; y preparar una propuesta de recomendación sobre una especificación de requisitos comunes relativa a un convertidor de DOCX a XML (DOCX2XML).</w:t>
            </w:r>
          </w:p>
        </w:tc>
        <w:tc>
          <w:tcPr>
            <w:tcW w:w="1170" w:type="dxa"/>
            <w:noWrap/>
            <w:vAlign w:val="center"/>
            <w:hideMark/>
          </w:tcPr>
          <w:p w14:paraId="31410CAA" w14:textId="0115F6A5"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Activa</w:t>
            </w:r>
          </w:p>
        </w:tc>
        <w:tc>
          <w:tcPr>
            <w:tcW w:w="1620" w:type="dxa"/>
            <w:noWrap/>
            <w:vAlign w:val="center"/>
            <w:hideMark/>
          </w:tcPr>
          <w:p w14:paraId="278F9BAB" w14:textId="27AD11F8"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Media</w:t>
            </w:r>
          </w:p>
        </w:tc>
        <w:tc>
          <w:tcPr>
            <w:tcW w:w="1350" w:type="dxa"/>
            <w:vAlign w:val="center"/>
          </w:tcPr>
          <w:p w14:paraId="5CBB0FF0" w14:textId="35971AD4"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p>
        </w:tc>
      </w:tr>
      <w:tr w:rsidR="0037258A" w:rsidRPr="00042F4E" w14:paraId="0A74D51B" w14:textId="2C7C79C1" w:rsidTr="00CE1E58">
        <w:trPr>
          <w:trHeight w:val="144"/>
        </w:trPr>
        <w:tc>
          <w:tcPr>
            <w:tcW w:w="805" w:type="dxa"/>
            <w:noWrap/>
            <w:vAlign w:val="center"/>
            <w:hideMark/>
          </w:tcPr>
          <w:p w14:paraId="65465A16" w14:textId="77777777"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63</w:t>
            </w:r>
          </w:p>
        </w:tc>
        <w:tc>
          <w:tcPr>
            <w:tcW w:w="4860" w:type="dxa"/>
            <w:noWrap/>
            <w:vAlign w:val="center"/>
            <w:hideMark/>
          </w:tcPr>
          <w:p w14:paraId="56FADBA7" w14:textId="43F9D575"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Desarrollar representaciones visuales de los datos XML, sobre la base de las normas XML de la OMPI, para su publicación electrónica.</w:t>
            </w:r>
          </w:p>
        </w:tc>
        <w:tc>
          <w:tcPr>
            <w:tcW w:w="1170" w:type="dxa"/>
            <w:noWrap/>
            <w:vAlign w:val="center"/>
            <w:hideMark/>
          </w:tcPr>
          <w:p w14:paraId="70C97174" w14:textId="42A3B769"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Ocasional</w:t>
            </w:r>
          </w:p>
        </w:tc>
        <w:tc>
          <w:tcPr>
            <w:tcW w:w="1620" w:type="dxa"/>
            <w:noWrap/>
            <w:vAlign w:val="center"/>
            <w:hideMark/>
          </w:tcPr>
          <w:p w14:paraId="7B125C88" w14:textId="0F7B4878"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Media</w:t>
            </w:r>
          </w:p>
        </w:tc>
        <w:tc>
          <w:tcPr>
            <w:tcW w:w="1350" w:type="dxa"/>
            <w:vAlign w:val="center"/>
          </w:tcPr>
          <w:p w14:paraId="3E57B389" w14:textId="77777777"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p>
        </w:tc>
      </w:tr>
      <w:tr w:rsidR="0037258A" w:rsidRPr="00042F4E" w14:paraId="7D17D870" w14:textId="588B7E4A" w:rsidTr="00CE1E58">
        <w:trPr>
          <w:trHeight w:val="144"/>
        </w:trPr>
        <w:tc>
          <w:tcPr>
            <w:tcW w:w="805" w:type="dxa"/>
            <w:noWrap/>
            <w:vAlign w:val="center"/>
            <w:hideMark/>
          </w:tcPr>
          <w:p w14:paraId="3F201E7D" w14:textId="77777777"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64</w:t>
            </w:r>
          </w:p>
        </w:tc>
        <w:tc>
          <w:tcPr>
            <w:tcW w:w="4860" w:type="dxa"/>
            <w:noWrap/>
            <w:vAlign w:val="center"/>
            <w:hideMark/>
          </w:tcPr>
          <w:p w14:paraId="4E3E654B" w14:textId="4FC3C8C1"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Garantizar las necesarias revisiones y actualizaciones de la Norma ST.97 de la OMPI.</w:t>
            </w:r>
          </w:p>
        </w:tc>
        <w:tc>
          <w:tcPr>
            <w:tcW w:w="1170" w:type="dxa"/>
            <w:noWrap/>
            <w:vAlign w:val="center"/>
            <w:hideMark/>
          </w:tcPr>
          <w:p w14:paraId="4AC0DDD0" w14:textId="1DC01C14"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Muy activa</w:t>
            </w:r>
          </w:p>
        </w:tc>
        <w:tc>
          <w:tcPr>
            <w:tcW w:w="1620" w:type="dxa"/>
            <w:noWrap/>
            <w:vAlign w:val="center"/>
            <w:hideMark/>
          </w:tcPr>
          <w:p w14:paraId="640A6028" w14:textId="29FF8FE0"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Alta</w:t>
            </w:r>
          </w:p>
        </w:tc>
        <w:tc>
          <w:tcPr>
            <w:tcW w:w="1350" w:type="dxa"/>
            <w:vAlign w:val="center"/>
          </w:tcPr>
          <w:p w14:paraId="7A78D25E" w14:textId="6E01DD8A"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Importante</w:t>
            </w:r>
          </w:p>
        </w:tc>
      </w:tr>
      <w:tr w:rsidR="0037258A" w:rsidRPr="00042F4E" w14:paraId="18D9E552" w14:textId="10C6CFE8" w:rsidTr="00CE1E58">
        <w:trPr>
          <w:trHeight w:val="144"/>
        </w:trPr>
        <w:tc>
          <w:tcPr>
            <w:tcW w:w="805" w:type="dxa"/>
            <w:noWrap/>
            <w:vAlign w:val="center"/>
            <w:hideMark/>
          </w:tcPr>
          <w:p w14:paraId="16D72ED6" w14:textId="77777777" w:rsidR="0037258A" w:rsidRPr="00042F4E" w:rsidRDefault="0037258A" w:rsidP="0037258A">
            <w:pPr>
              <w:spacing w:before="40" w:after="40" w:line="240" w:lineRule="auto"/>
              <w:rPr>
                <w:rFonts w:ascii="Arial" w:eastAsia="Times New Roman" w:hAnsi="Arial" w:cs="Arial"/>
                <w:kern w:val="0"/>
                <w:lang w:val="es-ES_tradnl"/>
                <w14:ligatures w14:val="none"/>
              </w:rPr>
            </w:pPr>
            <w:r w:rsidRPr="00042F4E">
              <w:rPr>
                <w:rFonts w:ascii="Arial" w:hAnsi="Arial"/>
                <w:lang w:val="es-ES_tradnl"/>
              </w:rPr>
              <w:t>65</w:t>
            </w:r>
          </w:p>
        </w:tc>
        <w:tc>
          <w:tcPr>
            <w:tcW w:w="4860" w:type="dxa"/>
            <w:noWrap/>
            <w:vAlign w:val="center"/>
            <w:hideMark/>
          </w:tcPr>
          <w:p w14:paraId="582C7BD1" w14:textId="25479714" w:rsidR="0037258A" w:rsidRPr="00042F4E" w:rsidRDefault="0037258A" w:rsidP="0037258A">
            <w:pPr>
              <w:spacing w:before="40" w:after="40" w:line="240" w:lineRule="auto"/>
              <w:rPr>
                <w:rFonts w:ascii="Arial" w:eastAsia="Times New Roman" w:hAnsi="Arial" w:cs="Arial"/>
                <w:kern w:val="0"/>
                <w:lang w:val="es-ES_tradnl"/>
                <w14:ligatures w14:val="none"/>
              </w:rPr>
            </w:pPr>
            <w:r w:rsidRPr="00042F4E">
              <w:rPr>
                <w:rStyle w:val="normaltextrun"/>
                <w:rFonts w:ascii="Arial" w:hAnsi="Arial"/>
                <w:bdr w:val="none" w:sz="0" w:space="0" w:color="auto" w:frame="1"/>
                <w:lang w:val="es-ES_tradnl"/>
              </w:rPr>
              <w:t>Garantizar las revisiones y actualizaciones necesarias de la Norma ST.92 de la OMPI y apoyar a las oficinas de PI para que apliquen la Norma antes del 1 de julio de 2027.</w:t>
            </w:r>
          </w:p>
        </w:tc>
        <w:tc>
          <w:tcPr>
            <w:tcW w:w="1170" w:type="dxa"/>
            <w:noWrap/>
            <w:vAlign w:val="center"/>
            <w:hideMark/>
          </w:tcPr>
          <w:p w14:paraId="3D96E3FB" w14:textId="589CF2C3"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Muy activa</w:t>
            </w:r>
          </w:p>
        </w:tc>
        <w:tc>
          <w:tcPr>
            <w:tcW w:w="1620" w:type="dxa"/>
            <w:noWrap/>
            <w:vAlign w:val="center"/>
            <w:hideMark/>
          </w:tcPr>
          <w:p w14:paraId="60B4F2F7" w14:textId="5365D081"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Alta</w:t>
            </w:r>
          </w:p>
        </w:tc>
        <w:tc>
          <w:tcPr>
            <w:tcW w:w="1350" w:type="dxa"/>
            <w:vAlign w:val="center"/>
          </w:tcPr>
          <w:p w14:paraId="3622C3C9" w14:textId="181A17F5" w:rsidR="0037258A" w:rsidRPr="00042F4E" w:rsidRDefault="0037258A" w:rsidP="0037258A">
            <w:pPr>
              <w:spacing w:before="40" w:after="40" w:line="240" w:lineRule="auto"/>
              <w:rPr>
                <w:rFonts w:ascii="Arial" w:eastAsia="Times New Roman" w:hAnsi="Arial" w:cs="Arial"/>
                <w:color w:val="000000"/>
                <w:kern w:val="0"/>
                <w:lang w:val="es-ES_tradnl"/>
                <w14:ligatures w14:val="none"/>
              </w:rPr>
            </w:pPr>
            <w:r w:rsidRPr="00042F4E">
              <w:rPr>
                <w:rFonts w:ascii="Arial" w:hAnsi="Arial"/>
                <w:lang w:val="es-ES_tradnl"/>
              </w:rPr>
              <w:t>Imprescindible</w:t>
            </w:r>
          </w:p>
        </w:tc>
      </w:tr>
    </w:tbl>
    <w:p w14:paraId="40508154" w14:textId="1010A8F7" w:rsidR="00102BB9" w:rsidRPr="00042F4E" w:rsidRDefault="00102BB9">
      <w:pPr>
        <w:rPr>
          <w:lang w:val="es-ES_tradnl"/>
        </w:rPr>
      </w:pPr>
    </w:p>
    <w:tbl>
      <w:tblPr>
        <w:tblpPr w:leftFromText="180" w:rightFromText="180" w:vertAnchor="text" w:tblpY="1"/>
        <w:tblOverlap w:val="neve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4860"/>
        <w:gridCol w:w="1170"/>
        <w:gridCol w:w="1620"/>
        <w:gridCol w:w="1350"/>
      </w:tblGrid>
      <w:tr w:rsidR="00102BB9" w:rsidRPr="00042F4E" w14:paraId="27639491" w14:textId="77777777" w:rsidTr="00A43BB3">
        <w:trPr>
          <w:trHeight w:val="144"/>
        </w:trPr>
        <w:tc>
          <w:tcPr>
            <w:tcW w:w="805" w:type="dxa"/>
            <w:noWrap/>
            <w:vAlign w:val="center"/>
          </w:tcPr>
          <w:p w14:paraId="0492F632" w14:textId="0B89AEEA" w:rsidR="00102BB9" w:rsidRPr="00042F4E" w:rsidRDefault="00102BB9" w:rsidP="00102BB9">
            <w:pPr>
              <w:spacing w:before="40" w:after="40" w:line="240" w:lineRule="auto"/>
              <w:rPr>
                <w:rFonts w:ascii="Arial" w:eastAsia="Times New Roman" w:hAnsi="Arial" w:cs="Arial"/>
                <w:color w:val="000000"/>
                <w:kern w:val="0"/>
                <w:lang w:val="es-ES_tradnl"/>
                <w14:ligatures w14:val="none"/>
              </w:rPr>
            </w:pPr>
            <w:r w:rsidRPr="00042F4E">
              <w:rPr>
                <w:rFonts w:ascii="Arial" w:hAnsi="Arial"/>
                <w:b/>
                <w:color w:val="000000"/>
                <w:lang w:val="es-ES_tradnl"/>
              </w:rPr>
              <w:t>Tarea N.º</w:t>
            </w:r>
          </w:p>
        </w:tc>
        <w:tc>
          <w:tcPr>
            <w:tcW w:w="4860" w:type="dxa"/>
            <w:noWrap/>
            <w:vAlign w:val="center"/>
          </w:tcPr>
          <w:p w14:paraId="14FBA11A" w14:textId="3C0801AD" w:rsidR="00102BB9" w:rsidRPr="00042F4E" w:rsidRDefault="00102BB9" w:rsidP="00102BB9">
            <w:pPr>
              <w:spacing w:before="40" w:after="40" w:line="240" w:lineRule="auto"/>
              <w:rPr>
                <w:rFonts w:ascii="Arial" w:eastAsia="Times New Roman" w:hAnsi="Arial" w:cs="Arial"/>
                <w:color w:val="000000"/>
                <w:kern w:val="0"/>
                <w:lang w:val="es-ES_tradnl"/>
                <w14:ligatures w14:val="none"/>
              </w:rPr>
            </w:pPr>
            <w:r w:rsidRPr="00042F4E">
              <w:rPr>
                <w:rFonts w:ascii="Arial" w:hAnsi="Arial"/>
                <w:b/>
                <w:color w:val="000000"/>
                <w:lang w:val="es-ES_tradnl"/>
              </w:rPr>
              <w:t>Descripción de la tarea</w:t>
            </w:r>
          </w:p>
        </w:tc>
        <w:tc>
          <w:tcPr>
            <w:tcW w:w="1170" w:type="dxa"/>
            <w:noWrap/>
            <w:vAlign w:val="center"/>
          </w:tcPr>
          <w:p w14:paraId="14601A1F" w14:textId="1A352C4E" w:rsidR="00102BB9" w:rsidRPr="00042F4E" w:rsidRDefault="00102BB9" w:rsidP="00102BB9">
            <w:pPr>
              <w:spacing w:before="40" w:after="40" w:line="240" w:lineRule="auto"/>
              <w:rPr>
                <w:rFonts w:ascii="Arial" w:eastAsia="Times New Roman" w:hAnsi="Arial" w:cs="Arial"/>
                <w:color w:val="000000"/>
                <w:kern w:val="0"/>
                <w:lang w:val="es-ES_tradnl"/>
                <w14:ligatures w14:val="none"/>
              </w:rPr>
            </w:pPr>
            <w:r w:rsidRPr="00042F4E">
              <w:rPr>
                <w:rFonts w:ascii="Arial" w:hAnsi="Arial"/>
                <w:b/>
                <w:color w:val="000000"/>
                <w:lang w:val="es-ES_tradnl"/>
              </w:rPr>
              <w:t>Nivel de actividad</w:t>
            </w:r>
          </w:p>
        </w:tc>
        <w:tc>
          <w:tcPr>
            <w:tcW w:w="1620" w:type="dxa"/>
            <w:noWrap/>
            <w:vAlign w:val="center"/>
          </w:tcPr>
          <w:p w14:paraId="45D6C92A" w14:textId="04F179BE" w:rsidR="00102BB9" w:rsidRPr="00042F4E" w:rsidRDefault="00102BB9" w:rsidP="00102BB9">
            <w:pPr>
              <w:spacing w:before="40" w:after="40" w:line="240" w:lineRule="auto"/>
              <w:rPr>
                <w:rFonts w:ascii="Arial" w:eastAsia="Times New Roman" w:hAnsi="Arial" w:cs="Arial"/>
                <w:color w:val="000000"/>
                <w:kern w:val="0"/>
                <w:lang w:val="es-ES_tradnl"/>
                <w14:ligatures w14:val="none"/>
              </w:rPr>
            </w:pPr>
            <w:r w:rsidRPr="00042F4E">
              <w:rPr>
                <w:rFonts w:ascii="Arial" w:hAnsi="Arial"/>
                <w:b/>
                <w:color w:val="000000"/>
                <w:lang w:val="es-ES_tradnl"/>
              </w:rPr>
              <w:t>Complejidad</w:t>
            </w:r>
          </w:p>
        </w:tc>
        <w:tc>
          <w:tcPr>
            <w:tcW w:w="1350" w:type="dxa"/>
            <w:vAlign w:val="center"/>
          </w:tcPr>
          <w:p w14:paraId="5BF0290C" w14:textId="3ED8137D" w:rsidR="00102BB9" w:rsidRPr="00042F4E" w:rsidRDefault="00102BB9" w:rsidP="00102BB9">
            <w:pPr>
              <w:spacing w:before="40" w:after="40" w:line="240" w:lineRule="auto"/>
              <w:rPr>
                <w:rFonts w:ascii="Arial" w:hAnsi="Arial" w:cs="Arial"/>
                <w:caps/>
                <w:lang w:val="es-ES_tradnl"/>
              </w:rPr>
            </w:pPr>
            <w:r w:rsidRPr="00042F4E">
              <w:rPr>
                <w:rFonts w:ascii="Arial" w:hAnsi="Arial"/>
                <w:b/>
                <w:caps/>
                <w:color w:val="000000"/>
                <w:lang w:val="es-ES_tradnl"/>
              </w:rPr>
              <w:t>Prioridad</w:t>
            </w:r>
          </w:p>
        </w:tc>
      </w:tr>
      <w:tr w:rsidR="00102BB9" w:rsidRPr="00042F4E" w14:paraId="27E784CF" w14:textId="5C29C1B2" w:rsidTr="00A43BB3">
        <w:trPr>
          <w:trHeight w:val="144"/>
        </w:trPr>
        <w:tc>
          <w:tcPr>
            <w:tcW w:w="805" w:type="dxa"/>
            <w:noWrap/>
            <w:vAlign w:val="center"/>
            <w:hideMark/>
          </w:tcPr>
          <w:p w14:paraId="7A3F2A5E" w14:textId="09C40716" w:rsidR="00102BB9" w:rsidRPr="00042F4E" w:rsidRDefault="00102BB9" w:rsidP="00102BB9">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66</w:t>
            </w:r>
          </w:p>
        </w:tc>
        <w:tc>
          <w:tcPr>
            <w:tcW w:w="4860" w:type="dxa"/>
            <w:noWrap/>
            <w:vAlign w:val="center"/>
            <w:hideMark/>
          </w:tcPr>
          <w:p w14:paraId="64493F19" w14:textId="4A120157" w:rsidR="00102BB9" w:rsidRPr="00042F4E" w:rsidRDefault="00102BB9" w:rsidP="00102BB9">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Alentar a las Oficinas de PI a que presenten su fichero de referencia de patentes de conformidad con la Norma ST.37 de la OMPI, prestando toda la asistencia técnica o formación necesaria, en función de los recursos disponibles.</w:t>
            </w:r>
          </w:p>
        </w:tc>
        <w:tc>
          <w:tcPr>
            <w:tcW w:w="1170" w:type="dxa"/>
            <w:noWrap/>
            <w:vAlign w:val="center"/>
            <w:hideMark/>
          </w:tcPr>
          <w:p w14:paraId="69069219" w14:textId="3C15C1CF" w:rsidR="00102BB9" w:rsidRPr="00042F4E" w:rsidRDefault="00102BB9" w:rsidP="00102BB9">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Activa</w:t>
            </w:r>
          </w:p>
        </w:tc>
        <w:tc>
          <w:tcPr>
            <w:tcW w:w="1620" w:type="dxa"/>
            <w:noWrap/>
            <w:vAlign w:val="center"/>
            <w:hideMark/>
          </w:tcPr>
          <w:p w14:paraId="3C1FB820" w14:textId="44B0AFB0" w:rsidR="00102BB9" w:rsidRPr="00042F4E" w:rsidRDefault="00102BB9" w:rsidP="00102BB9">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Media</w:t>
            </w:r>
          </w:p>
        </w:tc>
        <w:tc>
          <w:tcPr>
            <w:tcW w:w="1350" w:type="dxa"/>
            <w:vAlign w:val="center"/>
          </w:tcPr>
          <w:p w14:paraId="48F8B051" w14:textId="29B8F7B2" w:rsidR="00102BB9" w:rsidRPr="00042F4E" w:rsidDel="00674183" w:rsidRDefault="00102BB9" w:rsidP="00102BB9">
            <w:pPr>
              <w:spacing w:before="40" w:after="40" w:line="240" w:lineRule="auto"/>
              <w:rPr>
                <w:rFonts w:ascii="Arial" w:eastAsia="Times New Roman" w:hAnsi="Arial" w:cs="Arial"/>
                <w:caps/>
                <w:color w:val="000000"/>
                <w:kern w:val="0"/>
                <w:lang w:val="es-ES_tradnl"/>
                <w14:ligatures w14:val="none"/>
              </w:rPr>
            </w:pPr>
            <w:r w:rsidRPr="00042F4E">
              <w:rPr>
                <w:rFonts w:ascii="Arial" w:hAnsi="Arial"/>
                <w:caps/>
                <w:lang w:val="es-ES_tradnl"/>
              </w:rPr>
              <w:t>Imprescindible</w:t>
            </w:r>
          </w:p>
        </w:tc>
      </w:tr>
      <w:tr w:rsidR="00102BB9" w:rsidRPr="00042F4E" w14:paraId="13D0A02D" w14:textId="77777777" w:rsidTr="00A43BB3">
        <w:trPr>
          <w:trHeight w:val="144"/>
        </w:trPr>
        <w:tc>
          <w:tcPr>
            <w:tcW w:w="805" w:type="dxa"/>
            <w:noWrap/>
            <w:vAlign w:val="center"/>
          </w:tcPr>
          <w:p w14:paraId="5DA3A7DA" w14:textId="2E3F51E1" w:rsidR="00102BB9" w:rsidRPr="00042F4E" w:rsidRDefault="00102BB9" w:rsidP="00102BB9">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67</w:t>
            </w:r>
          </w:p>
        </w:tc>
        <w:tc>
          <w:tcPr>
            <w:tcW w:w="4860" w:type="dxa"/>
            <w:noWrap/>
            <w:vAlign w:val="center"/>
          </w:tcPr>
          <w:p w14:paraId="6A6B4769" w14:textId="27829DC0" w:rsidR="00102BB9" w:rsidRPr="00042F4E" w:rsidRDefault="00102BB9" w:rsidP="00102BB9">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Analizar las prácticas y la problemática a las que se enfrentan actualmente las Oficinas de PI con miras a buscar soluciones que mejoren el acceso al intercambio de datos mundiales de PI. </w:t>
            </w:r>
          </w:p>
        </w:tc>
        <w:tc>
          <w:tcPr>
            <w:tcW w:w="1170" w:type="dxa"/>
            <w:noWrap/>
            <w:vAlign w:val="center"/>
          </w:tcPr>
          <w:p w14:paraId="309F7298" w14:textId="380324CE" w:rsidR="00102BB9" w:rsidRPr="00042F4E" w:rsidRDefault="00102BB9" w:rsidP="00102BB9">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Muy activa</w:t>
            </w:r>
          </w:p>
        </w:tc>
        <w:tc>
          <w:tcPr>
            <w:tcW w:w="1620" w:type="dxa"/>
            <w:noWrap/>
            <w:vAlign w:val="center"/>
          </w:tcPr>
          <w:p w14:paraId="6FFBF6D3" w14:textId="3F17FABA" w:rsidR="00102BB9" w:rsidRPr="00042F4E" w:rsidDel="00674183" w:rsidRDefault="00102BB9" w:rsidP="00102BB9">
            <w:pPr>
              <w:spacing w:before="40" w:after="40" w:line="240" w:lineRule="auto"/>
              <w:rPr>
                <w:rFonts w:ascii="Arial" w:eastAsia="Times New Roman" w:hAnsi="Arial" w:cs="Arial"/>
                <w:color w:val="000000"/>
                <w:kern w:val="0"/>
                <w:lang w:val="es-ES_tradnl"/>
                <w14:ligatures w14:val="none"/>
              </w:rPr>
            </w:pPr>
            <w:r w:rsidRPr="00042F4E">
              <w:rPr>
                <w:rFonts w:ascii="Arial" w:hAnsi="Arial"/>
                <w:color w:val="000000"/>
                <w:lang w:val="es-ES_tradnl"/>
              </w:rPr>
              <w:t>Alta</w:t>
            </w:r>
          </w:p>
        </w:tc>
        <w:tc>
          <w:tcPr>
            <w:tcW w:w="1350" w:type="dxa"/>
            <w:vAlign w:val="center"/>
          </w:tcPr>
          <w:p w14:paraId="3038F30A" w14:textId="6BA7D511" w:rsidR="00102BB9" w:rsidRPr="00042F4E" w:rsidRDefault="00102BB9" w:rsidP="00102BB9">
            <w:pPr>
              <w:spacing w:before="40" w:after="40" w:line="240" w:lineRule="auto"/>
              <w:rPr>
                <w:rFonts w:ascii="Arial" w:eastAsia="Times New Roman" w:hAnsi="Arial" w:cs="Arial"/>
                <w:caps/>
                <w:color w:val="000000"/>
                <w:kern w:val="0"/>
                <w:lang w:val="es-ES_tradnl"/>
                <w14:ligatures w14:val="none"/>
              </w:rPr>
            </w:pPr>
            <w:r w:rsidRPr="00042F4E">
              <w:rPr>
                <w:rFonts w:ascii="Arial" w:hAnsi="Arial"/>
                <w:caps/>
                <w:color w:val="000000"/>
                <w:lang w:val="es-ES_tradnl"/>
              </w:rPr>
              <w:t>Importante</w:t>
            </w:r>
          </w:p>
        </w:tc>
      </w:tr>
    </w:tbl>
    <w:p w14:paraId="7E5DFC1A" w14:textId="424CE58F" w:rsidR="00727CB3" w:rsidRPr="00042F4E" w:rsidRDefault="00727CB3" w:rsidP="00F81B22">
      <w:pPr>
        <w:pStyle w:val="Endofdocument"/>
        <w:spacing w:before="600"/>
        <w:rPr>
          <w:lang w:val="es-ES_tradnl"/>
        </w:rPr>
      </w:pPr>
      <w:r w:rsidRPr="00042F4E">
        <w:rPr>
          <w:lang w:val="es-ES_tradnl"/>
        </w:rPr>
        <w:t>[Fin del Anexo II y del documento]</w:t>
      </w:r>
    </w:p>
    <w:sectPr w:rsidR="00727CB3" w:rsidRPr="00042F4E" w:rsidSect="00992A75">
      <w:headerReference w:type="default" r:id="rId13"/>
      <w:headerReference w:type="first" r:id="rId14"/>
      <w:pgSz w:w="12240" w:h="15840"/>
      <w:pgMar w:top="562" w:right="1138" w:bottom="1282" w:left="141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9A886" w14:textId="77777777" w:rsidR="006E4841" w:rsidRDefault="006E4841" w:rsidP="002506EC">
      <w:pPr>
        <w:spacing w:after="0" w:line="240" w:lineRule="auto"/>
      </w:pPr>
      <w:r>
        <w:separator/>
      </w:r>
    </w:p>
  </w:endnote>
  <w:endnote w:type="continuationSeparator" w:id="0">
    <w:p w14:paraId="056C9E82" w14:textId="77777777" w:rsidR="006E4841" w:rsidRDefault="006E4841" w:rsidP="00250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59D46" w14:textId="77777777" w:rsidR="006E4841" w:rsidRDefault="006E4841" w:rsidP="002506EC">
      <w:pPr>
        <w:spacing w:after="0" w:line="240" w:lineRule="auto"/>
      </w:pPr>
      <w:r>
        <w:separator/>
      </w:r>
    </w:p>
  </w:footnote>
  <w:footnote w:type="continuationSeparator" w:id="0">
    <w:p w14:paraId="33D46F47" w14:textId="77777777" w:rsidR="006E4841" w:rsidRDefault="006E4841" w:rsidP="00250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903F7" w14:textId="3F5EECBF" w:rsidR="002B3F16" w:rsidRPr="00532691" w:rsidRDefault="002B3F16" w:rsidP="002B3F16">
    <w:pPr>
      <w:pStyle w:val="Header"/>
      <w:jc w:val="right"/>
      <w:rPr>
        <w:rFonts w:asciiTheme="minorBidi" w:hAnsiTheme="minorBidi"/>
      </w:rPr>
    </w:pPr>
    <w:r>
      <w:rPr>
        <w:rFonts w:asciiTheme="minorBidi" w:hAnsiTheme="minorBidi"/>
      </w:rPr>
      <w:t>CWS/13/31</w:t>
    </w:r>
    <w:r w:rsidR="00C57A8F">
      <w:rPr>
        <w:rFonts w:asciiTheme="minorBidi" w:hAnsiTheme="minorBidi"/>
      </w:rPr>
      <w:t xml:space="preserve"> Rev.</w:t>
    </w:r>
    <w:r w:rsidR="00042F4E">
      <w:rPr>
        <w:rFonts w:asciiTheme="minorBidi" w:hAnsiTheme="minorBidi"/>
      </w:rPr>
      <w:t xml:space="preserve"> </w:t>
    </w:r>
    <w:r w:rsidR="00BE0E95">
      <w:rPr>
        <w:rFonts w:asciiTheme="minorBidi" w:hAnsiTheme="minorBidi"/>
      </w:rPr>
      <w:t>2</w:t>
    </w:r>
  </w:p>
  <w:p w14:paraId="1D015D37" w14:textId="04ED9992" w:rsidR="002B3F16" w:rsidRPr="00532691" w:rsidRDefault="00532691" w:rsidP="002B3F16">
    <w:pPr>
      <w:pStyle w:val="Header"/>
      <w:jc w:val="right"/>
      <w:rPr>
        <w:rFonts w:asciiTheme="minorBidi" w:hAnsiTheme="minorBidi"/>
      </w:rPr>
    </w:pPr>
    <w:r>
      <w:rPr>
        <w:rFonts w:asciiTheme="minorBidi" w:hAnsiTheme="minorBidi"/>
      </w:rPr>
      <w:t>Anexo II, página</w:t>
    </w:r>
    <w:r w:rsidR="00D07902">
      <w:rPr>
        <w:rFonts w:asciiTheme="minorBidi" w:hAnsiTheme="minorBidi"/>
      </w:rPr>
      <w:t xml:space="preserve"> </w:t>
    </w:r>
    <w:r w:rsidRPr="00532691">
      <w:rPr>
        <w:rFonts w:asciiTheme="minorBidi" w:hAnsiTheme="minorBidi"/>
      </w:rPr>
      <w:fldChar w:fldCharType="begin"/>
    </w:r>
    <w:r w:rsidRPr="00532691">
      <w:rPr>
        <w:rFonts w:asciiTheme="minorBidi" w:hAnsiTheme="minorBidi"/>
      </w:rPr>
      <w:instrText xml:space="preserve"> PAGE   \* MERGEFORMAT </w:instrText>
    </w:r>
    <w:r w:rsidRPr="00532691">
      <w:rPr>
        <w:rFonts w:asciiTheme="minorBidi" w:hAnsiTheme="minorBidi"/>
      </w:rPr>
      <w:fldChar w:fldCharType="separate"/>
    </w:r>
    <w:r w:rsidRPr="00532691">
      <w:rPr>
        <w:rFonts w:asciiTheme="minorBidi" w:hAnsiTheme="minorBidi"/>
      </w:rPr>
      <w:t>1</w:t>
    </w:r>
    <w:r w:rsidRPr="00532691">
      <w:rPr>
        <w:rFonts w:asciiTheme="minorBidi" w:hAnsiTheme="minorBidi"/>
      </w:rPr>
      <w:fldChar w:fldCharType="end"/>
    </w:r>
  </w:p>
  <w:p w14:paraId="5D0BAD9B" w14:textId="77777777" w:rsidR="00532691" w:rsidRPr="00532691" w:rsidRDefault="00532691" w:rsidP="002B3F16">
    <w:pPr>
      <w:pStyle w:val="Header"/>
      <w:jc w:val="right"/>
      <w:rPr>
        <w:rFonts w:asciiTheme="minorBidi" w:hAnsiTheme="minorBidi"/>
      </w:rPr>
    </w:pPr>
  </w:p>
  <w:p w14:paraId="131D9010" w14:textId="77777777" w:rsidR="00532691" w:rsidRPr="00532691" w:rsidRDefault="00532691" w:rsidP="002B3F16">
    <w:pPr>
      <w:pStyle w:val="Header"/>
      <w:jc w:val="right"/>
      <w:rPr>
        <w:rFonts w:asciiTheme="minorBidi" w:hAnsiTheme="minorBid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2DA3" w14:textId="3D88ACEE" w:rsidR="00532691" w:rsidRPr="00532691" w:rsidRDefault="00532691" w:rsidP="00532691">
    <w:pPr>
      <w:pStyle w:val="Header"/>
      <w:jc w:val="right"/>
      <w:rPr>
        <w:rFonts w:asciiTheme="minorBidi" w:hAnsiTheme="minorBidi"/>
      </w:rPr>
    </w:pPr>
    <w:r>
      <w:rPr>
        <w:rFonts w:asciiTheme="minorBidi" w:hAnsiTheme="minorBidi"/>
      </w:rPr>
      <w:t>CWS/13/31</w:t>
    </w:r>
    <w:r w:rsidR="00C57A8F">
      <w:rPr>
        <w:rFonts w:asciiTheme="minorBidi" w:hAnsiTheme="minorBidi"/>
      </w:rPr>
      <w:t xml:space="preserve"> Rev.</w:t>
    </w:r>
    <w:r w:rsidR="00042F4E">
      <w:rPr>
        <w:rFonts w:asciiTheme="minorBidi" w:hAnsiTheme="minorBidi"/>
      </w:rPr>
      <w:t xml:space="preserve"> </w:t>
    </w:r>
    <w:r w:rsidR="00BE0E95">
      <w:rPr>
        <w:rFonts w:asciiTheme="minorBidi" w:hAnsiTheme="minorBidi"/>
      </w:rPr>
      <w:t>2</w:t>
    </w:r>
  </w:p>
  <w:p w14:paraId="5360A466" w14:textId="2DCC0E7B" w:rsidR="00532691" w:rsidRPr="00532691" w:rsidRDefault="00532691" w:rsidP="00532691">
    <w:pPr>
      <w:pStyle w:val="Header"/>
      <w:jc w:val="right"/>
      <w:rPr>
        <w:rFonts w:asciiTheme="minorBidi" w:hAnsiTheme="minorBidi"/>
      </w:rPr>
    </w:pPr>
    <w:r>
      <w:rPr>
        <w:rFonts w:asciiTheme="minorBidi" w:hAnsiTheme="minorBidi"/>
      </w:rPr>
      <w:t>ANEXO</w:t>
    </w:r>
    <w:r w:rsidR="00F81B22">
      <w:rPr>
        <w:rFonts w:asciiTheme="minorBidi" w:hAnsiTheme="minorBidi"/>
      </w:rPr>
      <w:t xml:space="preserve"> </w:t>
    </w:r>
    <w:r>
      <w:rPr>
        <w:rFonts w:asciiTheme="minorBidi" w:hAnsiTheme="minorBidi"/>
      </w:rPr>
      <w:t>II</w:t>
    </w:r>
  </w:p>
  <w:p w14:paraId="3D8FC342" w14:textId="77777777" w:rsidR="00532691" w:rsidRPr="00532691" w:rsidRDefault="00532691" w:rsidP="00532691">
    <w:pPr>
      <w:pStyle w:val="Header"/>
      <w:jc w:val="right"/>
      <w:rPr>
        <w:rFonts w:asciiTheme="minorBidi" w:hAnsiTheme="minorBidi"/>
      </w:rPr>
    </w:pPr>
  </w:p>
  <w:p w14:paraId="4F428B86" w14:textId="77777777" w:rsidR="00532691" w:rsidRPr="00532691" w:rsidRDefault="00532691" w:rsidP="00532691">
    <w:pPr>
      <w:pStyle w:val="Header"/>
      <w:jc w:val="right"/>
      <w:rPr>
        <w:rFonts w:asciiTheme="minorBidi" w:hAnsiTheme="min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E75"/>
    <w:multiLevelType w:val="hybridMultilevel"/>
    <w:tmpl w:val="355A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0E54ED"/>
    <w:multiLevelType w:val="hybridMultilevel"/>
    <w:tmpl w:val="8D7A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C548CF"/>
    <w:multiLevelType w:val="hybridMultilevel"/>
    <w:tmpl w:val="F3B656AA"/>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524EA1"/>
    <w:multiLevelType w:val="hybridMultilevel"/>
    <w:tmpl w:val="6CF8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6954037">
    <w:abstractNumId w:val="0"/>
  </w:num>
  <w:num w:numId="2" w16cid:durableId="196816423">
    <w:abstractNumId w:val="1"/>
  </w:num>
  <w:num w:numId="3" w16cid:durableId="129902249">
    <w:abstractNumId w:val="3"/>
  </w:num>
  <w:num w:numId="4" w16cid:durableId="677662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EC"/>
    <w:rsid w:val="00010BCB"/>
    <w:rsid w:val="00014E31"/>
    <w:rsid w:val="000361B8"/>
    <w:rsid w:val="00036854"/>
    <w:rsid w:val="00042F4E"/>
    <w:rsid w:val="0004451B"/>
    <w:rsid w:val="00050EF7"/>
    <w:rsid w:val="00061692"/>
    <w:rsid w:val="000702B9"/>
    <w:rsid w:val="00071CFB"/>
    <w:rsid w:val="0007341E"/>
    <w:rsid w:val="000879A0"/>
    <w:rsid w:val="000A7F1E"/>
    <w:rsid w:val="000B3291"/>
    <w:rsid w:val="000C0B01"/>
    <w:rsid w:val="000D3A20"/>
    <w:rsid w:val="00102BB9"/>
    <w:rsid w:val="00103EDE"/>
    <w:rsid w:val="0010477A"/>
    <w:rsid w:val="001164F7"/>
    <w:rsid w:val="001269C7"/>
    <w:rsid w:val="00126CCA"/>
    <w:rsid w:val="00127818"/>
    <w:rsid w:val="001319A1"/>
    <w:rsid w:val="0013313A"/>
    <w:rsid w:val="00136BEC"/>
    <w:rsid w:val="00145AF6"/>
    <w:rsid w:val="00150DA6"/>
    <w:rsid w:val="00151276"/>
    <w:rsid w:val="00173676"/>
    <w:rsid w:val="00175D3E"/>
    <w:rsid w:val="00182A89"/>
    <w:rsid w:val="00183AD8"/>
    <w:rsid w:val="001A1B7C"/>
    <w:rsid w:val="001C6F82"/>
    <w:rsid w:val="001D1AF2"/>
    <w:rsid w:val="001F7CE5"/>
    <w:rsid w:val="00213A00"/>
    <w:rsid w:val="00222215"/>
    <w:rsid w:val="002506EC"/>
    <w:rsid w:val="00261006"/>
    <w:rsid w:val="002647A4"/>
    <w:rsid w:val="00265489"/>
    <w:rsid w:val="002679D8"/>
    <w:rsid w:val="00267C13"/>
    <w:rsid w:val="002712AC"/>
    <w:rsid w:val="00290941"/>
    <w:rsid w:val="00290F5E"/>
    <w:rsid w:val="002B3F16"/>
    <w:rsid w:val="002C03D7"/>
    <w:rsid w:val="002D2661"/>
    <w:rsid w:val="002E6B75"/>
    <w:rsid w:val="002F10A5"/>
    <w:rsid w:val="002F16DE"/>
    <w:rsid w:val="003007BF"/>
    <w:rsid w:val="00305BFF"/>
    <w:rsid w:val="00306079"/>
    <w:rsid w:val="00310F38"/>
    <w:rsid w:val="00313858"/>
    <w:rsid w:val="00315B11"/>
    <w:rsid w:val="003216FA"/>
    <w:rsid w:val="00322CAF"/>
    <w:rsid w:val="0032641E"/>
    <w:rsid w:val="00327B6B"/>
    <w:rsid w:val="00327EDE"/>
    <w:rsid w:val="003361D3"/>
    <w:rsid w:val="00347199"/>
    <w:rsid w:val="003608AB"/>
    <w:rsid w:val="003716AF"/>
    <w:rsid w:val="0037258A"/>
    <w:rsid w:val="00396263"/>
    <w:rsid w:val="003A6804"/>
    <w:rsid w:val="003B0276"/>
    <w:rsid w:val="003D041D"/>
    <w:rsid w:val="004074E9"/>
    <w:rsid w:val="00421060"/>
    <w:rsid w:val="00426A4D"/>
    <w:rsid w:val="00434951"/>
    <w:rsid w:val="00470F6F"/>
    <w:rsid w:val="00472D4F"/>
    <w:rsid w:val="00472DD9"/>
    <w:rsid w:val="004739AB"/>
    <w:rsid w:val="00482283"/>
    <w:rsid w:val="00493285"/>
    <w:rsid w:val="004A0F34"/>
    <w:rsid w:val="004A539C"/>
    <w:rsid w:val="004A62CB"/>
    <w:rsid w:val="004A73B6"/>
    <w:rsid w:val="004B6532"/>
    <w:rsid w:val="004C2591"/>
    <w:rsid w:val="004C50E8"/>
    <w:rsid w:val="004C5BC9"/>
    <w:rsid w:val="004E07D8"/>
    <w:rsid w:val="004E0CAF"/>
    <w:rsid w:val="00504BB3"/>
    <w:rsid w:val="005129A8"/>
    <w:rsid w:val="00522E4A"/>
    <w:rsid w:val="005247C5"/>
    <w:rsid w:val="00524E7E"/>
    <w:rsid w:val="00525C74"/>
    <w:rsid w:val="00527E61"/>
    <w:rsid w:val="00530CCB"/>
    <w:rsid w:val="00531E4F"/>
    <w:rsid w:val="00532691"/>
    <w:rsid w:val="0054282C"/>
    <w:rsid w:val="00567F95"/>
    <w:rsid w:val="00580AC0"/>
    <w:rsid w:val="00583D45"/>
    <w:rsid w:val="00585F19"/>
    <w:rsid w:val="00586AFA"/>
    <w:rsid w:val="005A3588"/>
    <w:rsid w:val="005A43F5"/>
    <w:rsid w:val="005A552E"/>
    <w:rsid w:val="005A59F8"/>
    <w:rsid w:val="005D5BCB"/>
    <w:rsid w:val="005E33A7"/>
    <w:rsid w:val="005F0504"/>
    <w:rsid w:val="00600784"/>
    <w:rsid w:val="006046F9"/>
    <w:rsid w:val="0060477B"/>
    <w:rsid w:val="00607F30"/>
    <w:rsid w:val="00610694"/>
    <w:rsid w:val="006662B9"/>
    <w:rsid w:val="00671E66"/>
    <w:rsid w:val="00674183"/>
    <w:rsid w:val="00684385"/>
    <w:rsid w:val="00687739"/>
    <w:rsid w:val="006908A8"/>
    <w:rsid w:val="00694445"/>
    <w:rsid w:val="006A550E"/>
    <w:rsid w:val="006A6D3C"/>
    <w:rsid w:val="006B4DFA"/>
    <w:rsid w:val="006C015D"/>
    <w:rsid w:val="006C24C5"/>
    <w:rsid w:val="006D6BE2"/>
    <w:rsid w:val="006D7349"/>
    <w:rsid w:val="006E4841"/>
    <w:rsid w:val="006F23B2"/>
    <w:rsid w:val="00701833"/>
    <w:rsid w:val="00701926"/>
    <w:rsid w:val="00702D3A"/>
    <w:rsid w:val="00727CB3"/>
    <w:rsid w:val="00741F97"/>
    <w:rsid w:val="0075511A"/>
    <w:rsid w:val="00761CA8"/>
    <w:rsid w:val="007743B8"/>
    <w:rsid w:val="0079347E"/>
    <w:rsid w:val="007A63A9"/>
    <w:rsid w:val="007C198E"/>
    <w:rsid w:val="007D0010"/>
    <w:rsid w:val="007D228A"/>
    <w:rsid w:val="007E5C22"/>
    <w:rsid w:val="0080650E"/>
    <w:rsid w:val="008148E9"/>
    <w:rsid w:val="00815118"/>
    <w:rsid w:val="00815837"/>
    <w:rsid w:val="00821AE1"/>
    <w:rsid w:val="008326B5"/>
    <w:rsid w:val="00833CB3"/>
    <w:rsid w:val="008342D1"/>
    <w:rsid w:val="00844DC9"/>
    <w:rsid w:val="00855D85"/>
    <w:rsid w:val="008663AD"/>
    <w:rsid w:val="00873E96"/>
    <w:rsid w:val="008828A1"/>
    <w:rsid w:val="00884845"/>
    <w:rsid w:val="008930F2"/>
    <w:rsid w:val="008948DA"/>
    <w:rsid w:val="008A190B"/>
    <w:rsid w:val="008A6642"/>
    <w:rsid w:val="008C2946"/>
    <w:rsid w:val="008C7818"/>
    <w:rsid w:val="008D3155"/>
    <w:rsid w:val="008D543D"/>
    <w:rsid w:val="008F7158"/>
    <w:rsid w:val="00907C17"/>
    <w:rsid w:val="00915A8B"/>
    <w:rsid w:val="00916659"/>
    <w:rsid w:val="00923802"/>
    <w:rsid w:val="00936103"/>
    <w:rsid w:val="00954EA8"/>
    <w:rsid w:val="00961EB9"/>
    <w:rsid w:val="00975FC0"/>
    <w:rsid w:val="0098606B"/>
    <w:rsid w:val="00992009"/>
    <w:rsid w:val="00992A75"/>
    <w:rsid w:val="00994AC0"/>
    <w:rsid w:val="009A2F2F"/>
    <w:rsid w:val="009A3D85"/>
    <w:rsid w:val="009B651D"/>
    <w:rsid w:val="009C0217"/>
    <w:rsid w:val="009C257A"/>
    <w:rsid w:val="009C2D97"/>
    <w:rsid w:val="009C3717"/>
    <w:rsid w:val="009C5D18"/>
    <w:rsid w:val="009C6244"/>
    <w:rsid w:val="009C6FEC"/>
    <w:rsid w:val="009D4C49"/>
    <w:rsid w:val="009D56AC"/>
    <w:rsid w:val="009F2150"/>
    <w:rsid w:val="009F4DD9"/>
    <w:rsid w:val="00A15899"/>
    <w:rsid w:val="00A21372"/>
    <w:rsid w:val="00A352DD"/>
    <w:rsid w:val="00A371DF"/>
    <w:rsid w:val="00A43BB3"/>
    <w:rsid w:val="00A47E45"/>
    <w:rsid w:val="00A60ED9"/>
    <w:rsid w:val="00A61192"/>
    <w:rsid w:val="00A63182"/>
    <w:rsid w:val="00A72B34"/>
    <w:rsid w:val="00A7451E"/>
    <w:rsid w:val="00A83443"/>
    <w:rsid w:val="00A94559"/>
    <w:rsid w:val="00A95ED5"/>
    <w:rsid w:val="00AA0094"/>
    <w:rsid w:val="00AA21A3"/>
    <w:rsid w:val="00AA634D"/>
    <w:rsid w:val="00AB43B6"/>
    <w:rsid w:val="00AB5EE4"/>
    <w:rsid w:val="00AB7BDC"/>
    <w:rsid w:val="00AC2684"/>
    <w:rsid w:val="00B07F3B"/>
    <w:rsid w:val="00B1264A"/>
    <w:rsid w:val="00B31211"/>
    <w:rsid w:val="00B3708D"/>
    <w:rsid w:val="00B46545"/>
    <w:rsid w:val="00B563B1"/>
    <w:rsid w:val="00B60749"/>
    <w:rsid w:val="00B6743D"/>
    <w:rsid w:val="00B72CF3"/>
    <w:rsid w:val="00B744CD"/>
    <w:rsid w:val="00B91C8D"/>
    <w:rsid w:val="00B95E2F"/>
    <w:rsid w:val="00BA1997"/>
    <w:rsid w:val="00BA1E4F"/>
    <w:rsid w:val="00BA3845"/>
    <w:rsid w:val="00BB3A57"/>
    <w:rsid w:val="00BB5584"/>
    <w:rsid w:val="00BC3B18"/>
    <w:rsid w:val="00BC6617"/>
    <w:rsid w:val="00BD4920"/>
    <w:rsid w:val="00BE044E"/>
    <w:rsid w:val="00BE0E95"/>
    <w:rsid w:val="00BE259B"/>
    <w:rsid w:val="00BE6AE5"/>
    <w:rsid w:val="00BF2E59"/>
    <w:rsid w:val="00BF4FCE"/>
    <w:rsid w:val="00C05F3D"/>
    <w:rsid w:val="00C11C9E"/>
    <w:rsid w:val="00C27494"/>
    <w:rsid w:val="00C27A3A"/>
    <w:rsid w:val="00C52075"/>
    <w:rsid w:val="00C57A8F"/>
    <w:rsid w:val="00C672BD"/>
    <w:rsid w:val="00C67461"/>
    <w:rsid w:val="00C677C4"/>
    <w:rsid w:val="00C75B60"/>
    <w:rsid w:val="00C75EA5"/>
    <w:rsid w:val="00CA09C0"/>
    <w:rsid w:val="00CB2A2E"/>
    <w:rsid w:val="00CB4F84"/>
    <w:rsid w:val="00CD229C"/>
    <w:rsid w:val="00CE1E58"/>
    <w:rsid w:val="00CE31A5"/>
    <w:rsid w:val="00CE3B75"/>
    <w:rsid w:val="00CE4A48"/>
    <w:rsid w:val="00CE4AED"/>
    <w:rsid w:val="00CE6289"/>
    <w:rsid w:val="00CF0462"/>
    <w:rsid w:val="00CF363E"/>
    <w:rsid w:val="00CF416A"/>
    <w:rsid w:val="00CF669F"/>
    <w:rsid w:val="00D06412"/>
    <w:rsid w:val="00D07902"/>
    <w:rsid w:val="00D14142"/>
    <w:rsid w:val="00D34929"/>
    <w:rsid w:val="00D45694"/>
    <w:rsid w:val="00D508A0"/>
    <w:rsid w:val="00D5486C"/>
    <w:rsid w:val="00D55C85"/>
    <w:rsid w:val="00D615E3"/>
    <w:rsid w:val="00D72572"/>
    <w:rsid w:val="00D76948"/>
    <w:rsid w:val="00D8505B"/>
    <w:rsid w:val="00D93F6C"/>
    <w:rsid w:val="00DA32E9"/>
    <w:rsid w:val="00DA77C7"/>
    <w:rsid w:val="00DB136F"/>
    <w:rsid w:val="00DB16C9"/>
    <w:rsid w:val="00DB3546"/>
    <w:rsid w:val="00DD27F7"/>
    <w:rsid w:val="00DD6E8B"/>
    <w:rsid w:val="00DE6376"/>
    <w:rsid w:val="00E029BE"/>
    <w:rsid w:val="00E059A1"/>
    <w:rsid w:val="00E10512"/>
    <w:rsid w:val="00E226E5"/>
    <w:rsid w:val="00E24B48"/>
    <w:rsid w:val="00E30D1E"/>
    <w:rsid w:val="00E30D26"/>
    <w:rsid w:val="00E5210A"/>
    <w:rsid w:val="00E56EBF"/>
    <w:rsid w:val="00E7280F"/>
    <w:rsid w:val="00E77E88"/>
    <w:rsid w:val="00E96B99"/>
    <w:rsid w:val="00EA2FCA"/>
    <w:rsid w:val="00EB6653"/>
    <w:rsid w:val="00F11FEB"/>
    <w:rsid w:val="00F20F12"/>
    <w:rsid w:val="00F521DA"/>
    <w:rsid w:val="00F60F08"/>
    <w:rsid w:val="00F66132"/>
    <w:rsid w:val="00F66AC8"/>
    <w:rsid w:val="00F738FE"/>
    <w:rsid w:val="00F77239"/>
    <w:rsid w:val="00F81B22"/>
    <w:rsid w:val="00F823BB"/>
    <w:rsid w:val="00F91800"/>
    <w:rsid w:val="00F93495"/>
    <w:rsid w:val="00F94832"/>
    <w:rsid w:val="00FB39A0"/>
    <w:rsid w:val="00FB5110"/>
    <w:rsid w:val="00FF31BA"/>
    <w:rsid w:val="018FE636"/>
    <w:rsid w:val="09693ABE"/>
    <w:rsid w:val="09A68F86"/>
    <w:rsid w:val="177C34A2"/>
    <w:rsid w:val="1891F3A4"/>
    <w:rsid w:val="1B1B6305"/>
    <w:rsid w:val="1C934FBD"/>
    <w:rsid w:val="1F0C6972"/>
    <w:rsid w:val="1FEA6FD4"/>
    <w:rsid w:val="2789D2C6"/>
    <w:rsid w:val="2D6E6F3F"/>
    <w:rsid w:val="461D2177"/>
    <w:rsid w:val="536D712D"/>
    <w:rsid w:val="5E55F26F"/>
    <w:rsid w:val="600ECF19"/>
    <w:rsid w:val="61732803"/>
    <w:rsid w:val="64E59D84"/>
    <w:rsid w:val="729A9E17"/>
    <w:rsid w:val="7408AF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3C4AF"/>
  <w15:chartTrackingRefBased/>
  <w15:docId w15:val="{B5A83246-6F53-499D-A9DC-E10ADD15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6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6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6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6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6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6EC"/>
    <w:rPr>
      <w:rFonts w:eastAsiaTheme="majorEastAsia" w:cstheme="majorBidi"/>
      <w:color w:val="272727" w:themeColor="text1" w:themeTint="D8"/>
    </w:rPr>
  </w:style>
  <w:style w:type="paragraph" w:styleId="Title">
    <w:name w:val="Title"/>
    <w:basedOn w:val="Normal"/>
    <w:next w:val="Normal"/>
    <w:link w:val="TitleChar"/>
    <w:uiPriority w:val="10"/>
    <w:qFormat/>
    <w:rsid w:val="00250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6EC"/>
    <w:pPr>
      <w:spacing w:before="160"/>
      <w:jc w:val="center"/>
    </w:pPr>
    <w:rPr>
      <w:i/>
      <w:iCs/>
      <w:color w:val="404040" w:themeColor="text1" w:themeTint="BF"/>
    </w:rPr>
  </w:style>
  <w:style w:type="character" w:customStyle="1" w:styleId="QuoteChar">
    <w:name w:val="Quote Char"/>
    <w:basedOn w:val="DefaultParagraphFont"/>
    <w:link w:val="Quote"/>
    <w:uiPriority w:val="29"/>
    <w:rsid w:val="002506EC"/>
    <w:rPr>
      <w:i/>
      <w:iCs/>
      <w:color w:val="404040" w:themeColor="text1" w:themeTint="BF"/>
    </w:rPr>
  </w:style>
  <w:style w:type="paragraph" w:styleId="ListParagraph">
    <w:name w:val="List Paragraph"/>
    <w:basedOn w:val="Normal"/>
    <w:uiPriority w:val="34"/>
    <w:qFormat/>
    <w:rsid w:val="002506EC"/>
    <w:pPr>
      <w:ind w:left="720"/>
      <w:contextualSpacing/>
    </w:pPr>
  </w:style>
  <w:style w:type="character" w:styleId="IntenseEmphasis">
    <w:name w:val="Intense Emphasis"/>
    <w:basedOn w:val="DefaultParagraphFont"/>
    <w:uiPriority w:val="21"/>
    <w:qFormat/>
    <w:rsid w:val="002506EC"/>
    <w:rPr>
      <w:i/>
      <w:iCs/>
      <w:color w:val="0F4761" w:themeColor="accent1" w:themeShade="BF"/>
    </w:rPr>
  </w:style>
  <w:style w:type="paragraph" w:styleId="IntenseQuote">
    <w:name w:val="Intense Quote"/>
    <w:basedOn w:val="Normal"/>
    <w:next w:val="Normal"/>
    <w:link w:val="IntenseQuoteChar"/>
    <w:uiPriority w:val="30"/>
    <w:qFormat/>
    <w:rsid w:val="00250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6EC"/>
    <w:rPr>
      <w:i/>
      <w:iCs/>
      <w:color w:val="0F4761" w:themeColor="accent1" w:themeShade="BF"/>
    </w:rPr>
  </w:style>
  <w:style w:type="character" w:styleId="IntenseReference">
    <w:name w:val="Intense Reference"/>
    <w:basedOn w:val="DefaultParagraphFont"/>
    <w:uiPriority w:val="32"/>
    <w:qFormat/>
    <w:rsid w:val="002506EC"/>
    <w:rPr>
      <w:b/>
      <w:bCs/>
      <w:smallCaps/>
      <w:color w:val="0F4761" w:themeColor="accent1" w:themeShade="BF"/>
      <w:spacing w:val="5"/>
    </w:rPr>
  </w:style>
  <w:style w:type="paragraph" w:styleId="Footer">
    <w:name w:val="footer"/>
    <w:basedOn w:val="Normal"/>
    <w:link w:val="FooterChar"/>
    <w:uiPriority w:val="99"/>
    <w:unhideWhenUsed/>
    <w:rsid w:val="00250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6EC"/>
  </w:style>
  <w:style w:type="paragraph" w:styleId="Header">
    <w:name w:val="header"/>
    <w:basedOn w:val="Normal"/>
    <w:link w:val="HeaderChar"/>
    <w:uiPriority w:val="99"/>
    <w:unhideWhenUsed/>
    <w:rsid w:val="002B3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F16"/>
  </w:style>
  <w:style w:type="paragraph" w:styleId="Revision">
    <w:name w:val="Revision"/>
    <w:hidden/>
    <w:uiPriority w:val="99"/>
    <w:semiHidden/>
    <w:rsid w:val="00961EB9"/>
    <w:pPr>
      <w:spacing w:after="0" w:line="240" w:lineRule="auto"/>
    </w:pPr>
  </w:style>
  <w:style w:type="character" w:styleId="CommentReference">
    <w:name w:val="annotation reference"/>
    <w:basedOn w:val="DefaultParagraphFont"/>
    <w:semiHidden/>
    <w:unhideWhenUsed/>
    <w:rsid w:val="00A72B34"/>
    <w:rPr>
      <w:sz w:val="16"/>
      <w:szCs w:val="16"/>
    </w:rPr>
  </w:style>
  <w:style w:type="paragraph" w:styleId="CommentText">
    <w:name w:val="annotation text"/>
    <w:basedOn w:val="Normal"/>
    <w:link w:val="CommentTextChar"/>
    <w:unhideWhenUsed/>
    <w:rsid w:val="00A72B34"/>
    <w:pPr>
      <w:spacing w:line="240" w:lineRule="auto"/>
    </w:pPr>
    <w:rPr>
      <w:sz w:val="20"/>
      <w:szCs w:val="20"/>
    </w:rPr>
  </w:style>
  <w:style w:type="character" w:customStyle="1" w:styleId="CommentTextChar">
    <w:name w:val="Comment Text Char"/>
    <w:basedOn w:val="DefaultParagraphFont"/>
    <w:link w:val="CommentText"/>
    <w:rsid w:val="00A72B34"/>
    <w:rPr>
      <w:sz w:val="20"/>
      <w:szCs w:val="20"/>
    </w:rPr>
  </w:style>
  <w:style w:type="paragraph" w:styleId="CommentSubject">
    <w:name w:val="annotation subject"/>
    <w:basedOn w:val="CommentText"/>
    <w:next w:val="CommentText"/>
    <w:link w:val="CommentSubjectChar"/>
    <w:uiPriority w:val="99"/>
    <w:semiHidden/>
    <w:unhideWhenUsed/>
    <w:rsid w:val="00A72B34"/>
    <w:rPr>
      <w:b/>
      <w:bCs/>
    </w:rPr>
  </w:style>
  <w:style w:type="character" w:customStyle="1" w:styleId="CommentSubjectChar">
    <w:name w:val="Comment Subject Char"/>
    <w:basedOn w:val="CommentTextChar"/>
    <w:link w:val="CommentSubject"/>
    <w:uiPriority w:val="99"/>
    <w:semiHidden/>
    <w:rsid w:val="00A72B34"/>
    <w:rPr>
      <w:b/>
      <w:bCs/>
      <w:sz w:val="20"/>
      <w:szCs w:val="20"/>
    </w:rPr>
  </w:style>
  <w:style w:type="character" w:customStyle="1" w:styleId="normaltextrun">
    <w:name w:val="normaltextrun"/>
    <w:basedOn w:val="DefaultParagraphFont"/>
    <w:rsid w:val="001269C7"/>
  </w:style>
  <w:style w:type="character" w:styleId="Hyperlink">
    <w:name w:val="Hyperlink"/>
    <w:unhideWhenUsed/>
    <w:rsid w:val="00873E96"/>
    <w:rPr>
      <w:color w:val="0000FF"/>
      <w:u w:val="single"/>
    </w:rPr>
  </w:style>
  <w:style w:type="paragraph" w:customStyle="1" w:styleId="Endofdocument">
    <w:name w:val="End of document"/>
    <w:basedOn w:val="Normal"/>
    <w:rsid w:val="00727CB3"/>
    <w:pPr>
      <w:spacing w:after="0" w:line="240" w:lineRule="auto"/>
      <w:ind w:left="5534"/>
    </w:pPr>
    <w:rPr>
      <w:rFonts w:ascii="Arial" w:eastAsia="SimSun" w:hAnsi="Arial" w:cs="Arial"/>
      <w:kern w:val="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02329">
      <w:bodyDiv w:val="1"/>
      <w:marLeft w:val="0"/>
      <w:marRight w:val="0"/>
      <w:marTop w:val="0"/>
      <w:marBottom w:val="0"/>
      <w:divBdr>
        <w:top w:val="none" w:sz="0" w:space="0" w:color="auto"/>
        <w:left w:val="none" w:sz="0" w:space="0" w:color="auto"/>
        <w:bottom w:val="none" w:sz="0" w:space="0" w:color="auto"/>
        <w:right w:val="none" w:sz="0" w:space="0" w:color="auto"/>
      </w:divBdr>
    </w:div>
    <w:div w:id="661323978">
      <w:bodyDiv w:val="1"/>
      <w:marLeft w:val="0"/>
      <w:marRight w:val="0"/>
      <w:marTop w:val="0"/>
      <w:marBottom w:val="0"/>
      <w:divBdr>
        <w:top w:val="none" w:sz="0" w:space="0" w:color="auto"/>
        <w:left w:val="none" w:sz="0" w:space="0" w:color="auto"/>
        <w:bottom w:val="none" w:sz="0" w:space="0" w:color="auto"/>
        <w:right w:val="none" w:sz="0" w:space="0" w:color="auto"/>
      </w:divBdr>
    </w:div>
    <w:div w:id="1314680733">
      <w:bodyDiv w:val="1"/>
      <w:marLeft w:val="0"/>
      <w:marRight w:val="0"/>
      <w:marTop w:val="0"/>
      <w:marBottom w:val="0"/>
      <w:divBdr>
        <w:top w:val="none" w:sz="0" w:space="0" w:color="auto"/>
        <w:left w:val="none" w:sz="0" w:space="0" w:color="auto"/>
        <w:bottom w:val="none" w:sz="0" w:space="0" w:color="auto"/>
        <w:right w:val="none" w:sz="0" w:space="0" w:color="auto"/>
      </w:divBdr>
    </w:div>
    <w:div w:id="1540126232">
      <w:bodyDiv w:val="1"/>
      <w:marLeft w:val="0"/>
      <w:marRight w:val="0"/>
      <w:marTop w:val="0"/>
      <w:marBottom w:val="0"/>
      <w:divBdr>
        <w:top w:val="none" w:sz="0" w:space="0" w:color="auto"/>
        <w:left w:val="none" w:sz="0" w:space="0" w:color="auto"/>
        <w:bottom w:val="none" w:sz="0" w:space="0" w:color="auto"/>
        <w:right w:val="none" w:sz="0" w:space="0" w:color="auto"/>
      </w:divBdr>
    </w:div>
    <w:div w:id="1650472904">
      <w:bodyDiv w:val="1"/>
      <w:marLeft w:val="0"/>
      <w:marRight w:val="0"/>
      <w:marTop w:val="0"/>
      <w:marBottom w:val="0"/>
      <w:divBdr>
        <w:top w:val="none" w:sz="0" w:space="0" w:color="auto"/>
        <w:left w:val="none" w:sz="0" w:space="0" w:color="auto"/>
        <w:bottom w:val="none" w:sz="0" w:space="0" w:color="auto"/>
        <w:right w:val="none" w:sz="0" w:space="0" w:color="auto"/>
      </w:divBdr>
      <w:divsChild>
        <w:div w:id="1009261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ICSDBFP-360348501-19454</_dlc_DocId>
    <_dlc_DocIdUrl xmlns="ec94eb93-2160-433d-bc9d-10bdc50beb83">
      <Url>https://wipoprod.sharepoint.com/sites/SPS-INT-BFP-ICSD-CWS/_layouts/15/DocIdRedir.aspx?ID=ICSDBFP-360348501-19454</Url>
      <Description>ICSDBFP-360348501-19454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292" ma:contentTypeDescription="" ma:contentTypeScope="" ma:versionID="f49e8a31b226cdb9cbf7fa670ccf81b3">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278F4-B804-4520-AB9F-6A98BEA611A6}">
  <ds:schemaRefs>
    <ds:schemaRef ds:uri="http://schemas.openxmlformats.org/officeDocument/2006/bibliography"/>
  </ds:schemaRefs>
</ds:datastoreItem>
</file>

<file path=customXml/itemProps2.xml><?xml version="1.0" encoding="utf-8"?>
<ds:datastoreItem xmlns:ds="http://schemas.openxmlformats.org/officeDocument/2006/customXml" ds:itemID="{38840729-AC05-4E73-9077-E94EC335992F}">
  <ds:schemaRefs>
    <ds:schemaRef ds:uri="http://schemas.microsoft.com/sharepoint/events"/>
  </ds:schemaRefs>
</ds:datastoreItem>
</file>

<file path=customXml/itemProps3.xml><?xml version="1.0" encoding="utf-8"?>
<ds:datastoreItem xmlns:ds="http://schemas.openxmlformats.org/officeDocument/2006/customXml" ds:itemID="{83D04241-6BE4-4F8E-806E-027D5148E881}">
  <ds:schemaRefs>
    <ds:schemaRef ds:uri="http://schemas.microsoft.com/sharepoint/v3/contenttype/forms"/>
  </ds:schemaRefs>
</ds:datastoreItem>
</file>

<file path=customXml/itemProps4.xml><?xml version="1.0" encoding="utf-8"?>
<ds:datastoreItem xmlns:ds="http://schemas.openxmlformats.org/officeDocument/2006/customXml" ds:itemID="{0C48F357-5492-4AFA-BDA6-AE8238B801FC}">
  <ds:schemaRefs>
    <ds:schemaRef ds:uri="Microsoft.SharePoint.Taxonomy.ContentTypeSync"/>
  </ds:schemaRefs>
</ds:datastoreItem>
</file>

<file path=customXml/itemProps5.xml><?xml version="1.0" encoding="utf-8"?>
<ds:datastoreItem xmlns:ds="http://schemas.openxmlformats.org/officeDocument/2006/customXml" ds:itemID="{DF7FD8FD-2BD2-4A7A-A8C0-79250C8D73AD}">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6.xml><?xml version="1.0" encoding="utf-8"?>
<ds:datastoreItem xmlns:ds="http://schemas.openxmlformats.org/officeDocument/2006/customXml" ds:itemID="{56CCD4E3-1D53-4753-A56D-8F5C2BBD9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CWS/13/31 Rev. 2 Annex II (Spanish) </vt:lpstr>
    </vt:vector>
  </TitlesOfParts>
  <Company>WIPO</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CWS/13/31 Rev. 2 Annex II (Spanish) </dc:title>
  <dc:subject>Programa de trabajo del CWS </dc:subject>
  <dc:creator>WIPO</dc:creator>
  <cp:keywords>WIPO CWS decimotercera sesión, Programa de trabajo del CWS, Anexo</cp:keywords>
  <dc:description/>
  <cp:lastModifiedBy>EMMETT Claudia</cp:lastModifiedBy>
  <cp:revision>3</cp:revision>
  <cp:lastPrinted>2025-10-31T16:08:00Z</cp:lastPrinted>
  <dcterms:created xsi:type="dcterms:W3CDTF">2025-10-29T16:22:00Z</dcterms:created>
  <dcterms:modified xsi:type="dcterms:W3CDTF">2025-10-31T16:08:00Z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2024-09-16T15:50:05Z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cee3da37-1b7d-4ce0-8882-0d79036de2b1</vt:lpwstr>
  </property>
  <property fmtid="{D5CDD505-2E9C-101B-9397-08002B2CF9AE}" pid="8" name="MSIP_Label_20773ee6-353b-4fb9-a59d-0b94c8c67bea_ContentBits">
    <vt:lpwstr>0</vt:lpwstr>
  </property>
  <property fmtid="{D5CDD505-2E9C-101B-9397-08002B2CF9AE}" pid="9" name="ContentTypeId">
    <vt:lpwstr>0x01010043A0F979BE30A3469F998CB749C11FBD00E3EF1C0FCFA26B4087379DC2A12DE885</vt:lpwstr>
  </property>
  <property fmtid="{D5CDD505-2E9C-101B-9397-08002B2CF9AE}" pid="10" name="BusinessUnit">
    <vt:lpwstr>4;#International Classifications and Standards Division|1bda9d19-f2c0-4f24-b9f1-c91ec6b8f041</vt:lpwstr>
  </property>
  <property fmtid="{D5CDD505-2E9C-101B-9397-08002B2CF9AE}" pid="11" name="MediaServiceImageTags">
    <vt:lpwstr/>
  </property>
  <property fmtid="{D5CDD505-2E9C-101B-9397-08002B2CF9AE}" pid="12" name="m4535404f5974080b635c68c1acaf1ab">
    <vt:lpwstr/>
  </property>
  <property fmtid="{D5CDD505-2E9C-101B-9397-08002B2CF9AE}" pid="13" name="RMClassification">
    <vt:lpwstr>5;#05 Committee Files|55687a62-9585-44b6-9628-3304e4ff88e9</vt:lpwstr>
  </property>
  <property fmtid="{D5CDD505-2E9C-101B-9397-08002B2CF9AE}" pid="14" name="lcf76f155ced4ddcb4097134ff3c332f">
    <vt:lpwstr/>
  </property>
  <property fmtid="{D5CDD505-2E9C-101B-9397-08002B2CF9AE}" pid="15" name="Body1">
    <vt:lpwstr>3;#Committee on WIPO Standards|505ec630-c8e5-4e30-8a4a-e8d9be6ccbb1</vt:lpwstr>
  </property>
  <property fmtid="{D5CDD505-2E9C-101B-9397-08002B2CF9AE}" pid="16" name="ECCM_Year">
    <vt:lpwstr/>
  </property>
  <property fmtid="{D5CDD505-2E9C-101B-9397-08002B2CF9AE}" pid="17" name="k5f91d7f67f54ee29b509143279df90f">
    <vt:lpwstr/>
  </property>
  <property fmtid="{D5CDD505-2E9C-101B-9397-08002B2CF9AE}" pid="18" name="IPTopics">
    <vt:lpwstr/>
  </property>
  <property fmtid="{D5CDD505-2E9C-101B-9397-08002B2CF9AE}" pid="19" name="Languages">
    <vt:lpwstr>1;#English|950e6fa2-2df0-4983-a604-54e57c7a6d93</vt:lpwstr>
  </property>
  <property fmtid="{D5CDD505-2E9C-101B-9397-08002B2CF9AE}" pid="20" name="gbd88f87496145e58da10973a57b07b8">
    <vt:lpwstr>Committee on WIPO Standards|505ec630-c8e5-4e30-8a4a-e8d9be6ccbb1</vt:lpwstr>
  </property>
  <property fmtid="{D5CDD505-2E9C-101B-9397-08002B2CF9AE}" pid="21" name="_dlc_DocIdItemGuid">
    <vt:lpwstr>48dc141b-a8c5-4ce6-81ab-f9870b272d87</vt:lpwstr>
  </property>
  <property fmtid="{D5CDD505-2E9C-101B-9397-08002B2CF9AE}" pid="22" name="docLang">
    <vt:lpwstr>en</vt:lpwstr>
  </property>
</Properties>
</file>