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3A49" w14:textId="77777777" w:rsidR="00767841" w:rsidRPr="00FA18B7" w:rsidRDefault="00472A6E" w:rsidP="00767841">
      <w:pPr>
        <w:spacing w:after="120"/>
        <w:ind w:right="-57"/>
        <w:jc w:val="right"/>
        <w:rPr>
          <w:rFonts w:ascii="Arial Black" w:hAnsi="Arial Black"/>
          <w:caps/>
          <w:sz w:val="15"/>
          <w:lang w:val="es-419"/>
        </w:rPr>
      </w:pPr>
      <w:r w:rsidRPr="00FA18B7">
        <w:rPr>
          <w:noProof/>
          <w:lang w:val="es-419" w:eastAsia="en-US"/>
        </w:rPr>
        <w:drawing>
          <wp:inline distT="0" distB="0" distL="0" distR="0" wp14:anchorId="3E5CC8C5" wp14:editId="088F0B9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FA18B7">
        <w:rPr>
          <w:rFonts w:ascii="Arial Black" w:hAnsi="Arial Black"/>
          <w:caps/>
          <w:noProof/>
          <w:sz w:val="15"/>
          <w:lang w:val="es-419"/>
        </w:rPr>
        <mc:AlternateContent>
          <mc:Choice Requires="wps">
            <w:drawing>
              <wp:inline distT="0" distB="0" distL="0" distR="0" wp14:anchorId="72BCEB35" wp14:editId="54984F68">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7C4E89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57FDDCF5" w14:textId="2E37790D" w:rsidR="00767841" w:rsidRPr="00FA18B7" w:rsidRDefault="00767841" w:rsidP="00472A6E">
      <w:pPr>
        <w:jc w:val="right"/>
        <w:rPr>
          <w:rFonts w:ascii="Arial Black" w:hAnsi="Arial Black"/>
          <w:caps/>
          <w:sz w:val="15"/>
          <w:lang w:val="es-419"/>
        </w:rPr>
      </w:pPr>
      <w:r w:rsidRPr="00FA18B7">
        <w:rPr>
          <w:rFonts w:ascii="Arial Black" w:hAnsi="Arial Black"/>
          <w:caps/>
          <w:sz w:val="15"/>
          <w:lang w:val="es-419"/>
        </w:rPr>
        <w:t>CWS/13/</w:t>
      </w:r>
      <w:bookmarkStart w:id="0" w:name="Code"/>
      <w:bookmarkEnd w:id="0"/>
      <w:r w:rsidR="006C7FC1" w:rsidRPr="00FA18B7">
        <w:rPr>
          <w:rFonts w:ascii="Arial Black" w:hAnsi="Arial Black"/>
          <w:caps/>
          <w:sz w:val="15"/>
          <w:lang w:val="es-419"/>
        </w:rPr>
        <w:t>30 CORR.</w:t>
      </w:r>
    </w:p>
    <w:p w14:paraId="4112860F" w14:textId="212BAB89" w:rsidR="008B2CC1" w:rsidRPr="00FA18B7" w:rsidRDefault="00472A6E" w:rsidP="00472A6E">
      <w:pPr>
        <w:jc w:val="right"/>
        <w:rPr>
          <w:lang w:val="es-419"/>
        </w:rPr>
      </w:pPr>
      <w:r w:rsidRPr="00FA18B7">
        <w:rPr>
          <w:rFonts w:ascii="Arial Black" w:hAnsi="Arial Black"/>
          <w:caps/>
          <w:sz w:val="15"/>
          <w:lang w:val="es-419"/>
        </w:rPr>
        <w:t xml:space="preserve">ORIGINAL: </w:t>
      </w:r>
      <w:bookmarkStart w:id="1" w:name="Original"/>
      <w:r w:rsidR="006C7FC1" w:rsidRPr="00FA18B7">
        <w:rPr>
          <w:rFonts w:ascii="Arial Black" w:hAnsi="Arial Black"/>
          <w:caps/>
          <w:sz w:val="15"/>
          <w:lang w:val="es-419"/>
        </w:rPr>
        <w:t>INGLÉS</w:t>
      </w:r>
    </w:p>
    <w:bookmarkEnd w:id="1"/>
    <w:p w14:paraId="7EADCC3B" w14:textId="64378157" w:rsidR="008B2CC1" w:rsidRPr="00FA18B7" w:rsidRDefault="00472A6E" w:rsidP="00472A6E">
      <w:pPr>
        <w:spacing w:after="1200"/>
        <w:jc w:val="right"/>
        <w:rPr>
          <w:lang w:val="es-419"/>
        </w:rPr>
      </w:pPr>
      <w:r w:rsidRPr="00FA18B7">
        <w:rPr>
          <w:rFonts w:ascii="Arial Black" w:hAnsi="Arial Black"/>
          <w:caps/>
          <w:sz w:val="15"/>
          <w:lang w:val="es-419"/>
        </w:rPr>
        <w:t xml:space="preserve">fecha: </w:t>
      </w:r>
      <w:bookmarkStart w:id="2" w:name="Date"/>
      <w:r w:rsidR="006C7FC1" w:rsidRPr="00FA18B7">
        <w:rPr>
          <w:rFonts w:ascii="Arial Black" w:hAnsi="Arial Black"/>
          <w:caps/>
          <w:sz w:val="15"/>
          <w:lang w:val="es-419"/>
        </w:rPr>
        <w:t>22 DE OCTUBRE DE 2025</w:t>
      </w:r>
    </w:p>
    <w:bookmarkEnd w:id="2"/>
    <w:p w14:paraId="6C80EB04" w14:textId="77777777" w:rsidR="00B67CDC" w:rsidRPr="00FA18B7" w:rsidRDefault="00767841" w:rsidP="00472A6E">
      <w:pPr>
        <w:pStyle w:val="Heading1"/>
        <w:spacing w:before="0" w:after="480"/>
        <w:rPr>
          <w:sz w:val="28"/>
          <w:szCs w:val="28"/>
          <w:lang w:val="es-419"/>
        </w:rPr>
      </w:pPr>
      <w:r w:rsidRPr="00FA18B7">
        <w:rPr>
          <w:caps w:val="0"/>
          <w:sz w:val="28"/>
          <w:szCs w:val="28"/>
          <w:lang w:val="es-419"/>
        </w:rPr>
        <w:t>Comité de Normas Técnicas de la OMPI (CWS)</w:t>
      </w:r>
    </w:p>
    <w:p w14:paraId="28C4F4C3" w14:textId="77777777" w:rsidR="00B67CDC" w:rsidRPr="00FA18B7" w:rsidRDefault="00767841" w:rsidP="00472A6E">
      <w:pPr>
        <w:spacing w:after="720"/>
        <w:outlineLvl w:val="1"/>
        <w:rPr>
          <w:b/>
          <w:sz w:val="24"/>
          <w:szCs w:val="24"/>
          <w:lang w:val="es-419"/>
        </w:rPr>
      </w:pPr>
      <w:r w:rsidRPr="00FA18B7">
        <w:rPr>
          <w:b/>
          <w:sz w:val="24"/>
          <w:szCs w:val="24"/>
          <w:lang w:val="es-419"/>
        </w:rPr>
        <w:t>Decimotercera s</w:t>
      </w:r>
      <w:r w:rsidR="00B67CDC" w:rsidRPr="00FA18B7">
        <w:rPr>
          <w:b/>
          <w:sz w:val="24"/>
          <w:szCs w:val="24"/>
          <w:lang w:val="es-419"/>
        </w:rPr>
        <w:t>esión</w:t>
      </w:r>
      <w:r w:rsidR="00472A6E" w:rsidRPr="00FA18B7">
        <w:rPr>
          <w:b/>
          <w:sz w:val="24"/>
          <w:szCs w:val="24"/>
          <w:lang w:val="es-419"/>
        </w:rPr>
        <w:br/>
      </w:r>
      <w:r w:rsidRPr="00FA18B7">
        <w:rPr>
          <w:b/>
          <w:sz w:val="24"/>
          <w:szCs w:val="24"/>
          <w:lang w:val="es-419"/>
        </w:rPr>
        <w:t>Ginebra, 10 a 14 de noviembre de 2025</w:t>
      </w:r>
    </w:p>
    <w:p w14:paraId="26EE9D81" w14:textId="7E06746E" w:rsidR="008B2CC1" w:rsidRPr="00FA18B7" w:rsidRDefault="006C7FC1" w:rsidP="00472A6E">
      <w:pPr>
        <w:spacing w:after="360"/>
        <w:rPr>
          <w:caps/>
          <w:sz w:val="24"/>
          <w:lang w:val="es-419"/>
        </w:rPr>
      </w:pPr>
      <w:bookmarkStart w:id="3" w:name="TitleOfDoc"/>
      <w:r w:rsidRPr="00FA18B7">
        <w:rPr>
          <w:caps/>
          <w:sz w:val="24"/>
          <w:lang w:val="es-419"/>
        </w:rPr>
        <w:t>Informe sobre los informes técnicos anuales de 2024</w:t>
      </w:r>
    </w:p>
    <w:p w14:paraId="2B1D2E56" w14:textId="5CD4D79A" w:rsidR="008B2CC1" w:rsidRPr="00FA18B7" w:rsidRDefault="006C7FC1" w:rsidP="00472A6E">
      <w:pPr>
        <w:spacing w:after="1040"/>
        <w:rPr>
          <w:i/>
          <w:lang w:val="es-419"/>
        </w:rPr>
      </w:pPr>
      <w:bookmarkStart w:id="4" w:name="Prepared"/>
      <w:bookmarkEnd w:id="3"/>
      <w:bookmarkEnd w:id="4"/>
      <w:r w:rsidRPr="00FA18B7">
        <w:rPr>
          <w:i/>
          <w:lang w:val="es-419"/>
        </w:rPr>
        <w:t>Documento preparado por la Secretaría</w:t>
      </w:r>
    </w:p>
    <w:p w14:paraId="059B8E14" w14:textId="77777777" w:rsidR="006C7FC1" w:rsidRPr="00FA18B7" w:rsidRDefault="006C7FC1" w:rsidP="006C7FC1">
      <w:pPr>
        <w:pStyle w:val="Heading2"/>
        <w:rPr>
          <w:lang w:val="es-419"/>
        </w:rPr>
      </w:pPr>
      <w:r w:rsidRPr="00FA18B7">
        <w:rPr>
          <w:lang w:val="es-419"/>
        </w:rPr>
        <w:t>RESUMEN</w:t>
      </w:r>
    </w:p>
    <w:p w14:paraId="3BA65BC6" w14:textId="0663FEB7" w:rsidR="006C7FC1" w:rsidRPr="00FA18B7" w:rsidRDefault="006C7FC1" w:rsidP="006C7FC1">
      <w:pPr>
        <w:spacing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El presente documento contiene una sinopsis de los informes técnicos anuales presentados en 2025 por las oficinas de propiedad intelectual (PI)</w:t>
      </w:r>
      <w:r w:rsidR="00516F8F" w:rsidRPr="00FA18B7">
        <w:rPr>
          <w:lang w:val="es-419"/>
        </w:rPr>
        <w:t xml:space="preserve">. </w:t>
      </w:r>
      <w:r w:rsidRPr="00FA18B7">
        <w:rPr>
          <w:lang w:val="es-419"/>
        </w:rPr>
        <w:t>El uso continuado del formato simplificado de presentación de informes ha dado lugar a un aumento del número de informes presentados, por tercer año consecutivo</w:t>
      </w:r>
      <w:r w:rsidR="00516F8F" w:rsidRPr="00FA18B7">
        <w:rPr>
          <w:lang w:val="es-419"/>
        </w:rPr>
        <w:t xml:space="preserve">. </w:t>
      </w:r>
      <w:r w:rsidRPr="00FA18B7">
        <w:rPr>
          <w:lang w:val="es-419"/>
        </w:rPr>
        <w:t>Además, la introducción de una nueva sección en la plantilla, centrada en el estado de aplicación de las normas técnicas de la OMPI, ha sido bien recibida y ha demostrado ser muy eficaz.</w:t>
      </w:r>
    </w:p>
    <w:p w14:paraId="781B91D8" w14:textId="77777777" w:rsidR="006C7FC1" w:rsidRPr="00FA18B7" w:rsidRDefault="006C7FC1" w:rsidP="006C7FC1">
      <w:pPr>
        <w:pStyle w:val="Heading2"/>
        <w:rPr>
          <w:lang w:val="es-419"/>
        </w:rPr>
      </w:pPr>
      <w:r w:rsidRPr="00FA18B7">
        <w:rPr>
          <w:lang w:val="es-419"/>
        </w:rPr>
        <w:t>ANTECEDENTES</w:t>
      </w:r>
    </w:p>
    <w:p w14:paraId="54B70048" w14:textId="4453719A" w:rsidR="006C7FC1" w:rsidRPr="00FA18B7" w:rsidRDefault="006C7FC1" w:rsidP="006C7FC1">
      <w:pPr>
        <w:pStyle w:val="ONUMFS"/>
        <w:numPr>
          <w:ilvl w:val="0"/>
          <w:numId w:val="0"/>
        </w:numPr>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La Oficina Internacional recopila los informes técnicos anuales desde 1978 y los publica en el sitio web de la OMPI desde 1998</w:t>
      </w:r>
      <w:r w:rsidR="00516F8F" w:rsidRPr="00FA18B7">
        <w:rPr>
          <w:lang w:val="es-419"/>
        </w:rPr>
        <w:t xml:space="preserve">. </w:t>
      </w:r>
      <w:r w:rsidRPr="00FA18B7">
        <w:rPr>
          <w:lang w:val="es-419"/>
        </w:rPr>
        <w:t>Se sigue invitando a las oficinas de PI a presentar sus informes técnicos anuales anual en el marco de la tarea n.º 24, cuya descripción es la siguiente:</w:t>
      </w:r>
    </w:p>
    <w:p w14:paraId="0B92AAE4" w14:textId="77777777" w:rsidR="006C7FC1" w:rsidRPr="00FA18B7" w:rsidRDefault="006C7FC1" w:rsidP="006C7FC1">
      <w:pPr>
        <w:pStyle w:val="ONUMFS"/>
        <w:numPr>
          <w:ilvl w:val="0"/>
          <w:numId w:val="0"/>
        </w:numPr>
        <w:ind w:firstLine="562"/>
        <w:rPr>
          <w:i/>
          <w:iCs/>
          <w:lang w:val="es-419"/>
        </w:rPr>
      </w:pPr>
      <w:r w:rsidRPr="00FA18B7">
        <w:rPr>
          <w:i/>
          <w:lang w:val="es-419"/>
        </w:rPr>
        <w:t>“Compilar y publicar informes técnicos anuales sobre las actividades de los miembros del CWS (ATR/PI, ATR/TM, ATR/ID) relativas a información en materia de patentes, marcas y diseños industriales.”</w:t>
      </w:r>
    </w:p>
    <w:p w14:paraId="14B2B36A" w14:textId="10BA0159" w:rsidR="006C7FC1" w:rsidRPr="00FA18B7" w:rsidRDefault="006C7FC1" w:rsidP="006C7FC1">
      <w:pPr>
        <w:spacing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su novena sesión, celebrada en 2021, tras observar la merma en la participación y la utilidad, el CWS examinó dos opciones propuestas por la Oficina Internacional para mejorar la recopilación de informes técnicos anuales</w:t>
      </w:r>
      <w:r w:rsidR="00516F8F" w:rsidRPr="00FA18B7">
        <w:rPr>
          <w:lang w:val="es-419"/>
        </w:rPr>
        <w:t xml:space="preserve">: </w:t>
      </w:r>
      <w:r w:rsidRPr="00FA18B7">
        <w:rPr>
          <w:lang w:val="es-419"/>
        </w:rPr>
        <w:t>dejar de compilar informes técnicos anuales y simplificar dicha compilación mediante la recopilación de enlaces a esa información en los sitios web de las oficinas de PI</w:t>
      </w:r>
      <w:r w:rsidR="00516F8F" w:rsidRPr="00FA18B7">
        <w:rPr>
          <w:lang w:val="es-419"/>
        </w:rPr>
        <w:t xml:space="preserve">. </w:t>
      </w:r>
      <w:r w:rsidRPr="00FA18B7">
        <w:rPr>
          <w:lang w:val="es-419"/>
        </w:rPr>
        <w:t xml:space="preserve">La Oficina Internacional formuló esas opciones partiendo de la base de que, hoy en día, ese tipo de información se puede consultar fácilmente en otras fuentes, con lo que es posible que los objetivos originales de estos informes técnicos anuales se cumplan </w:t>
      </w:r>
      <w:r w:rsidRPr="00FA18B7">
        <w:rPr>
          <w:lang w:val="es-419"/>
        </w:rPr>
        <w:lastRenderedPageBreak/>
        <w:t>utilizando otros medios</w:t>
      </w:r>
      <w:r w:rsidR="00516F8F" w:rsidRPr="00FA18B7">
        <w:rPr>
          <w:lang w:val="es-419"/>
        </w:rPr>
        <w:t xml:space="preserve">. </w:t>
      </w:r>
      <w:r w:rsidRPr="00FA18B7">
        <w:rPr>
          <w:lang w:val="es-419"/>
        </w:rPr>
        <w:t>En particular, los informes anuales y los sitios web de las oficinas de PI ofrecen datos técnicos pertinentes, el número de informes técnicos anuales que se presentan está disminuyendo y el número de visitas a dichos informes es reducido</w:t>
      </w:r>
      <w:r w:rsidR="00516F8F" w:rsidRPr="00FA18B7">
        <w:rPr>
          <w:lang w:val="es-419"/>
        </w:rPr>
        <w:t xml:space="preserve">. </w:t>
      </w:r>
      <w:r w:rsidRPr="00FA18B7">
        <w:rPr>
          <w:lang w:val="es-419"/>
        </w:rPr>
        <w:t>(Véase el documento CWS/9/18).</w:t>
      </w:r>
    </w:p>
    <w:p w14:paraId="2699A108" w14:textId="73C54AEF" w:rsidR="006C7FC1" w:rsidRPr="00FA18B7" w:rsidRDefault="006C7FC1" w:rsidP="006C7FC1">
      <w:pPr>
        <w:spacing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la misma sesión, el CWS acordó probar, durante un período de tres años, el uso de un formato simplificado en el que las oficinas de PI faciliten enlaces a su informe anual o su sitio web, en lugar de detallar sus actividades y sistemas mediante la presentación de un texto (véase el párrafo 104 del documento CWS/9/25)</w:t>
      </w:r>
      <w:r w:rsidR="00516F8F" w:rsidRPr="00FA18B7">
        <w:rPr>
          <w:lang w:val="es-419"/>
        </w:rPr>
        <w:t xml:space="preserve">. </w:t>
      </w:r>
      <w:r w:rsidRPr="00FA18B7">
        <w:rPr>
          <w:lang w:val="es-419"/>
        </w:rPr>
        <w:t>Asimismo, el CWS acordó que, una vez transcurrido ese plazo, en su duodécima sesión volvería a examinar la conveniencia de seguir compilando los informes técnicos anuales</w:t>
      </w:r>
      <w:r w:rsidR="00516F8F" w:rsidRPr="00FA18B7">
        <w:rPr>
          <w:lang w:val="es-419"/>
        </w:rPr>
        <w:t xml:space="preserve">. </w:t>
      </w:r>
      <w:r w:rsidRPr="00FA18B7">
        <w:rPr>
          <w:lang w:val="es-419"/>
        </w:rPr>
        <w:t>(Véase el párrafo 105 del La documento CWS/9/25.)</w:t>
      </w:r>
    </w:p>
    <w:p w14:paraId="6EC37A3C" w14:textId="1C4A2B8B" w:rsidR="006C7FC1" w:rsidRPr="00FA18B7" w:rsidRDefault="006C7FC1" w:rsidP="006C7FC1">
      <w:pPr>
        <w:spacing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su duodécima sesión, celebrada en 2024, el CWS aprobó que se siguiera utilizando la plantilla simplificada para la recopilación de los informes técnicos anuales</w:t>
      </w:r>
      <w:r w:rsidR="00516F8F" w:rsidRPr="00FA18B7">
        <w:rPr>
          <w:lang w:val="es-419"/>
        </w:rPr>
        <w:t xml:space="preserve">. </w:t>
      </w:r>
      <w:r w:rsidRPr="00FA18B7">
        <w:rPr>
          <w:lang w:val="es-419"/>
        </w:rPr>
        <w:t>Además, el CWS aprobó la inclusión de un nuevo apartado en la plantilla para informar acerca de la aplicación de las normas técnicas de la OMPI por las oficinas de PI</w:t>
      </w:r>
      <w:r w:rsidR="00516F8F" w:rsidRPr="00FA18B7">
        <w:rPr>
          <w:lang w:val="es-419"/>
        </w:rPr>
        <w:t xml:space="preserve">. </w:t>
      </w:r>
      <w:r w:rsidRPr="00FA18B7">
        <w:rPr>
          <w:lang w:val="es-419"/>
        </w:rPr>
        <w:t>El nuevo apartado se titula:</w:t>
      </w:r>
    </w:p>
    <w:p w14:paraId="5C3530D4" w14:textId="77777777" w:rsidR="006C7FC1" w:rsidRPr="00FA18B7" w:rsidRDefault="006C7FC1" w:rsidP="006C7FC1">
      <w:pPr>
        <w:spacing w:after="220"/>
        <w:ind w:firstLine="562"/>
        <w:rPr>
          <w:lang w:val="es-419"/>
        </w:rPr>
      </w:pPr>
      <w:r w:rsidRPr="00FA18B7">
        <w:rPr>
          <w:i/>
          <w:lang w:val="es-419"/>
        </w:rPr>
        <w:t>“Actividades de aplicación de las normas técnicas de la OMPI relativas a información en materia de patentes (marcas o dibujos y modelos industriales)”.</w:t>
      </w:r>
    </w:p>
    <w:p w14:paraId="7F9F178B" w14:textId="77777777" w:rsidR="006C7FC1" w:rsidRPr="00FA18B7" w:rsidRDefault="006C7FC1" w:rsidP="006C7FC1">
      <w:pPr>
        <w:spacing w:after="220"/>
        <w:rPr>
          <w:lang w:val="es-419"/>
        </w:rPr>
      </w:pPr>
      <w:r w:rsidRPr="00FA18B7">
        <w:rPr>
          <w:lang w:val="es-419"/>
        </w:rPr>
        <w:t>(Véase el párrafo 156 del documento CWS/12/29.)</w:t>
      </w:r>
    </w:p>
    <w:p w14:paraId="15572A3B" w14:textId="77777777" w:rsidR="006C7FC1" w:rsidRPr="00FA18B7" w:rsidRDefault="006C7FC1" w:rsidP="006C7FC1">
      <w:pPr>
        <w:pStyle w:val="Heading2"/>
        <w:rPr>
          <w:lang w:val="es-419"/>
        </w:rPr>
      </w:pPr>
      <w:r w:rsidRPr="00FA18B7">
        <w:rPr>
          <w:lang w:val="es-419"/>
        </w:rPr>
        <w:t>INFORMES SOBRE LAS ACTIVIDADES DE 2024</w:t>
      </w:r>
    </w:p>
    <w:p w14:paraId="4BFBE14A" w14:textId="7FDA73CE" w:rsidR="006C7FC1" w:rsidRPr="00FA18B7" w:rsidRDefault="006C7FC1" w:rsidP="006C7FC1">
      <w:pPr>
        <w:spacing w:after="220" w:line="259" w:lineRule="auto"/>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junio de 2025, la Secretaría publicó las circulares C.CWS. 196, C.CWS. 197 y C.CWS. 198, en las que invitaba a las oficinas de PI a presentar informes técnicos anuales sobre las actividades técnicas que realizaron en 2024 en las principales categorías de derechos de propiedad industrial</w:t>
      </w:r>
      <w:r w:rsidR="00516F8F" w:rsidRPr="00FA18B7">
        <w:rPr>
          <w:lang w:val="es-419"/>
        </w:rPr>
        <w:t xml:space="preserve">. </w:t>
      </w:r>
      <w:r w:rsidRPr="00FA18B7">
        <w:rPr>
          <w:lang w:val="es-419"/>
        </w:rPr>
        <w:t>A raíz de la decisión adoptada en la duodécima sesión del CWS, la Secretaría revisó las plantillas de informes técnicos anuales relativos a las patentes (ATR/PI), las marcas (ATR/TM) y los diseños industriales (ATR/ID) introduciendo un nuevo apartado VII, titulado “Actividades relacionadas con la aplicación de las normas técnicas de la OMPI relativas a la información sobre patentes, marcas y diseños industriales”.</w:t>
      </w:r>
    </w:p>
    <w:p w14:paraId="18FEB524" w14:textId="77777777" w:rsidR="006C7FC1" w:rsidRPr="00FA18B7" w:rsidRDefault="006C7FC1" w:rsidP="006C7FC1">
      <w:pPr>
        <w:spacing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Las plantillas de los informes técnicos anuales revisadas para las patentes (ATR/PI), las marcas (ATR/TM) y los diseños industriales (ATR/ID) incluyen normas técnicas específicas que son las que mejor se aplican a sus respectivos ámbitos de la PI, según se detalla a continuación:</w:t>
      </w:r>
    </w:p>
    <w:p w14:paraId="7E77F712" w14:textId="77777777" w:rsidR="006C7FC1" w:rsidRPr="00D64B5A" w:rsidRDefault="006C7FC1" w:rsidP="006C7FC1">
      <w:pPr>
        <w:numPr>
          <w:ilvl w:val="0"/>
          <w:numId w:val="7"/>
        </w:numPr>
        <w:spacing w:after="220"/>
        <w:rPr>
          <w:lang w:val="en-US"/>
        </w:rPr>
      </w:pPr>
      <w:r w:rsidRPr="00D64B5A">
        <w:rPr>
          <w:b/>
          <w:lang w:val="en-US"/>
        </w:rPr>
        <w:t>ATR/PI – Patentes:</w:t>
      </w:r>
      <w:r w:rsidRPr="00D64B5A">
        <w:rPr>
          <w:lang w:val="en-US"/>
        </w:rPr>
        <w:br/>
        <w:t>Normas ST.3, ST.6, ST.9, ST.10/C, ST.13, ST.14, ST.16, ST.18, ST.26, ST.36, ST.37, ST.50, ST.90, ST.91, ST.92 y ST.96;</w:t>
      </w:r>
    </w:p>
    <w:p w14:paraId="5B4E7B4D" w14:textId="77777777" w:rsidR="006C7FC1" w:rsidRPr="00D64B5A" w:rsidRDefault="006C7FC1" w:rsidP="006C7FC1">
      <w:pPr>
        <w:numPr>
          <w:ilvl w:val="0"/>
          <w:numId w:val="7"/>
        </w:numPr>
        <w:spacing w:after="220"/>
        <w:rPr>
          <w:lang w:val="en-US"/>
        </w:rPr>
      </w:pPr>
      <w:r w:rsidRPr="00D64B5A">
        <w:rPr>
          <w:b/>
          <w:lang w:val="en-US"/>
        </w:rPr>
        <w:t>ATR/TM – Marcas:</w:t>
      </w:r>
      <w:r w:rsidRPr="00D64B5A">
        <w:rPr>
          <w:lang w:val="en-US"/>
        </w:rPr>
        <w:br/>
        <w:t>Normas ST.3, ST.13, ST.60, ST.61, ST.63, ST.66, ST.67, ST.68, ST.90, ST.91, ST.92 y ST.96; y</w:t>
      </w:r>
    </w:p>
    <w:p w14:paraId="6CDD2C49" w14:textId="77777777" w:rsidR="006C7FC1" w:rsidRPr="00D64B5A" w:rsidRDefault="006C7FC1" w:rsidP="006C7FC1">
      <w:pPr>
        <w:numPr>
          <w:ilvl w:val="0"/>
          <w:numId w:val="7"/>
        </w:numPr>
        <w:spacing w:after="220"/>
        <w:rPr>
          <w:lang w:val="en-US"/>
        </w:rPr>
      </w:pPr>
      <w:r w:rsidRPr="00D64B5A">
        <w:rPr>
          <w:b/>
          <w:lang w:val="en-US"/>
        </w:rPr>
        <w:t>ATR/ID – Diseños industriales:</w:t>
      </w:r>
      <w:r w:rsidRPr="00D64B5A">
        <w:rPr>
          <w:lang w:val="en-US"/>
        </w:rPr>
        <w:br/>
        <w:t>Normas ST.3, ST.13, ST.80, ST.81, ST.86, ST.87, ST.88, ST.90, ST.91 y ST.96.</w:t>
      </w:r>
    </w:p>
    <w:p w14:paraId="7BF8DB43" w14:textId="07AA4340" w:rsidR="006C7FC1" w:rsidRPr="00FA18B7" w:rsidRDefault="006C7FC1" w:rsidP="006C7FC1">
      <w:pPr>
        <w:spacing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Se pidió a las oficinas de PI que informen sobre el estado de aplicación de cada norma de la OMPI aplicable, eligiendo una de las siguientes opciones</w:t>
      </w:r>
      <w:r w:rsidR="00516F8F" w:rsidRPr="00FA18B7">
        <w:rPr>
          <w:lang w:val="es-419"/>
        </w:rPr>
        <w:t xml:space="preserve">: </w:t>
      </w:r>
      <w:r w:rsidRPr="00FA18B7">
        <w:rPr>
          <w:i/>
          <w:lang w:val="es-419"/>
        </w:rPr>
        <w:t>"Aplicada", "En fase de aplicación", "Se prevé aplicarla", y "No se prevé aplicarla".</w:t>
      </w:r>
    </w:p>
    <w:p w14:paraId="1500852A" w14:textId="1D331A65" w:rsidR="006C7FC1" w:rsidRPr="00FA18B7" w:rsidRDefault="006C7FC1" w:rsidP="006C7FC1">
      <w:pPr>
        <w:keepLines/>
        <w:spacing w:after="220"/>
        <w:rPr>
          <w:noProof/>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2025, 33 oficinas de PI presentaron 84 informes técnicos anuales relativos a las actividades realizadas en 2024 en los siguientes 30 Estados miembros</w:t>
      </w:r>
      <w:r w:rsidR="00516F8F" w:rsidRPr="00FA18B7">
        <w:rPr>
          <w:lang w:val="es-419"/>
        </w:rPr>
        <w:t xml:space="preserve">: </w:t>
      </w:r>
      <w:r w:rsidRPr="00FA18B7">
        <w:rPr>
          <w:lang w:val="es-419"/>
        </w:rPr>
        <w:t>Armenia (AM), Australia (AU), Bosnia y Herzegovina (BA), Bulgaria (BG), Brasil (BR), Canadá (CA), China (CN), República Checa (CZ), Dinamarca (DK), El Salvador (SV), Estonia (EE), Georgia (GE), Hungría (HU), Israel (IL), Italia (IT), Japón (JP), Kirguistán (KG), México (MX), República de Moldova (MD), Noruega (NO), Perú (PE), Filipinas (PH), Polonia (PL), República de Corea (KR), Federación de Rusia (RU), Serbia (RS), España (ES), Uganda (UG), Reino Unido (GB) y Estados Unidos de América (US); y tres organizaciones regionales</w:t>
      </w:r>
      <w:r w:rsidR="00516F8F" w:rsidRPr="00FA18B7">
        <w:rPr>
          <w:lang w:val="es-419"/>
        </w:rPr>
        <w:t xml:space="preserve">: </w:t>
      </w:r>
      <w:r w:rsidRPr="00FA18B7">
        <w:rPr>
          <w:lang w:val="es-419"/>
        </w:rPr>
        <w:t>la Organización Regional Africana de la Propiedad Intelectual (ARIPO), la Organización Eurasiática de Patentes (EAPO) y la Oficina de Propiedad Intelectual de la Unión Europea (EUIPO).</w:t>
      </w:r>
    </w:p>
    <w:p w14:paraId="50015E6B" w14:textId="06C45534" w:rsidR="006C7FC1" w:rsidRPr="00FA18B7" w:rsidRDefault="006C7FC1" w:rsidP="006C7FC1">
      <w:pPr>
        <w:spacing w:after="220" w:line="259" w:lineRule="auto"/>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Cabe señalar que, en 2025, las nueve oficinas de PI siguientes presentaron sus informes técnicos anuales de 2024 tras un período de inactividad de entre cinco y diez años</w:t>
      </w:r>
      <w:r w:rsidR="00516F8F" w:rsidRPr="00FA18B7">
        <w:rPr>
          <w:lang w:val="es-419"/>
        </w:rPr>
        <w:t xml:space="preserve">: </w:t>
      </w:r>
      <w:r w:rsidRPr="00FA18B7">
        <w:rPr>
          <w:lang w:val="es-419"/>
        </w:rPr>
        <w:t>Brasil (BR), Dinamarca (DK), El Salvador (SV), Georgia (GE), Israel (IL), Italia (IT), Perú (PE), República de Corea (KR), Serbia (RS) y Uganda (UG)</w:t>
      </w:r>
      <w:r w:rsidR="00516F8F" w:rsidRPr="00FA18B7">
        <w:rPr>
          <w:lang w:val="es-419"/>
        </w:rPr>
        <w:t xml:space="preserve">. </w:t>
      </w:r>
      <w:r w:rsidRPr="00FA18B7">
        <w:rPr>
          <w:lang w:val="es-419"/>
        </w:rPr>
        <w:t>Los informes técnicos anuales de 2024 están publicados en la wiki correspondiente, en</w:t>
      </w:r>
      <w:r w:rsidR="00516F8F" w:rsidRPr="00FA18B7">
        <w:rPr>
          <w:lang w:val="es-419"/>
        </w:rPr>
        <w:t xml:space="preserve">: </w:t>
      </w:r>
      <w:hyperlink r:id="rId8" w:history="1">
        <w:r w:rsidRPr="00FA18B7">
          <w:rPr>
            <w:rStyle w:val="Hyperlink"/>
            <w:lang w:val="es-419"/>
          </w:rPr>
          <w:t>https://www3.wipo.int/confluence/display/ATR/Browse+by+Year</w:t>
        </w:r>
      </w:hyperlink>
      <w:r w:rsidRPr="00FA18B7">
        <w:rPr>
          <w:lang w:val="es-419"/>
        </w:rPr>
        <w:t>, en la cual dichos informes pueden consultarse en función del año, la Oficina y el tipo de PI</w:t>
      </w:r>
      <w:r w:rsidR="00516F8F" w:rsidRPr="00FA18B7">
        <w:rPr>
          <w:lang w:val="es-419"/>
        </w:rPr>
        <w:t xml:space="preserve">. </w:t>
      </w:r>
    </w:p>
    <w:p w14:paraId="5F90179F" w14:textId="440EDF16" w:rsidR="006C7FC1" w:rsidRPr="00FA18B7" w:rsidRDefault="006C7FC1" w:rsidP="006C7FC1">
      <w:pPr>
        <w:spacing w:after="220" w:line="259" w:lineRule="auto"/>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cuanto al nuevo apartado VII sobre la aplicación de las normas técnicas de la OMPI en la plantilla de los informes técnicos anuales, las 33 oficinas de PI proporcionaron información sobre el estado de aplicación de las normas enumeradas, aunque algunas no facilitaron información sobre el estado de aplicación de determinadas normas técnicas de la OMPI</w:t>
      </w:r>
      <w:r w:rsidR="00516F8F" w:rsidRPr="00FA18B7">
        <w:rPr>
          <w:lang w:val="es-419"/>
        </w:rPr>
        <w:t xml:space="preserve">. </w:t>
      </w:r>
      <w:r w:rsidRPr="00FA18B7">
        <w:rPr>
          <w:lang w:val="es-419"/>
        </w:rPr>
        <w:t>El porcentaje general de información faltante es, aproximadamente, del 8 %.</w:t>
      </w:r>
    </w:p>
    <w:p w14:paraId="35E7060E" w14:textId="6AB01DE5" w:rsidR="006C7FC1" w:rsidRPr="00FA18B7" w:rsidRDefault="006C7FC1" w:rsidP="006C7FC1">
      <w:pPr>
        <w:spacing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La Oficina Internacional está evaluando la manera de mejorar la plataforma utilizada para recopilar y publicar los informes técnicos anuales</w:t>
      </w:r>
      <w:r w:rsidR="00516F8F" w:rsidRPr="00FA18B7">
        <w:rPr>
          <w:lang w:val="es-419"/>
        </w:rPr>
        <w:t xml:space="preserve">. </w:t>
      </w:r>
      <w:r w:rsidRPr="00FA18B7">
        <w:rPr>
          <w:lang w:val="es-419"/>
        </w:rPr>
        <w:t>El objetivo es facilitar el uso del sistema para las oficinas de PI y mejorar la capacidad de analizar y comparar la información presentada</w:t>
      </w:r>
      <w:r w:rsidR="00516F8F" w:rsidRPr="00FA18B7">
        <w:rPr>
          <w:lang w:val="es-419"/>
        </w:rPr>
        <w:t xml:space="preserve">. </w:t>
      </w:r>
      <w:r w:rsidRPr="00FA18B7">
        <w:rPr>
          <w:lang w:val="es-419"/>
        </w:rPr>
        <w:t>Una interfaz más fácil de utilizar y una mejor estructuración de los datos permitirán elaborar con más eficiencia los informes y comprender mejor cómo se aplican las normas técnicas de la OMPI en las distintas Oficinas.</w:t>
      </w:r>
    </w:p>
    <w:p w14:paraId="7AE01203" w14:textId="77777777" w:rsidR="006C7FC1" w:rsidRPr="00FA18B7" w:rsidRDefault="006C7FC1" w:rsidP="006C7FC1">
      <w:pPr>
        <w:pStyle w:val="Heading2"/>
        <w:rPr>
          <w:lang w:val="es-419"/>
        </w:rPr>
      </w:pPr>
      <w:r w:rsidRPr="00FA18B7">
        <w:rPr>
          <w:lang w:val="es-419"/>
        </w:rPr>
        <w:t xml:space="preserve">Estadísticas sobre la presentación de los informes técnicos anuales </w:t>
      </w:r>
    </w:p>
    <w:p w14:paraId="011FEF82" w14:textId="092272EB" w:rsidR="006C7FC1" w:rsidRPr="00FA18B7" w:rsidRDefault="006C7FC1" w:rsidP="006C7FC1">
      <w:pPr>
        <w:spacing w:after="220" w:line="259" w:lineRule="auto"/>
        <w:rPr>
          <w:noProof/>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los últimos cuatro años se ha observado un aumento significativo en el número de oficinas de PI que presentan informes técnicos anuales</w:t>
      </w:r>
      <w:r w:rsidR="00516F8F" w:rsidRPr="00FA18B7">
        <w:rPr>
          <w:lang w:val="es-419"/>
        </w:rPr>
        <w:t xml:space="preserve">: </w:t>
      </w:r>
      <w:r w:rsidRPr="00FA18B7">
        <w:rPr>
          <w:lang w:val="es-419"/>
        </w:rPr>
        <w:t>17 oficinas de PI en 2022, 24 oficinas tanto en 2023 como en 2024 y 33 oficinas de PI en 2025</w:t>
      </w:r>
      <w:r w:rsidR="00516F8F" w:rsidRPr="00FA18B7">
        <w:rPr>
          <w:lang w:val="es-419"/>
        </w:rPr>
        <w:t xml:space="preserve">. </w:t>
      </w:r>
      <w:r w:rsidRPr="00FA18B7">
        <w:rPr>
          <w:lang w:val="es-419"/>
        </w:rPr>
        <w:t>Además, también se ha observado una tendencia continua al alza en el número de informes técnicos anuales presentados</w:t>
      </w:r>
      <w:r w:rsidR="00516F8F" w:rsidRPr="00FA18B7">
        <w:rPr>
          <w:lang w:val="es-419"/>
        </w:rPr>
        <w:t xml:space="preserve">. </w:t>
      </w:r>
      <w:r w:rsidRPr="00FA18B7">
        <w:rPr>
          <w:lang w:val="es-419"/>
        </w:rPr>
        <w:t>En el cuadro siguiente figura el número de informes técnicos anuales presentados por cada tipo de derecho de propiedad industrial.</w:t>
      </w:r>
    </w:p>
    <w:tbl>
      <w:tblPr>
        <w:tblStyle w:val="TableGrid"/>
        <w:tblW w:w="9085" w:type="dxa"/>
        <w:tblLook w:val="04A0" w:firstRow="1" w:lastRow="0" w:firstColumn="1" w:lastColumn="0" w:noHBand="0" w:noVBand="1"/>
      </w:tblPr>
      <w:tblGrid>
        <w:gridCol w:w="2181"/>
        <w:gridCol w:w="1604"/>
        <w:gridCol w:w="1909"/>
        <w:gridCol w:w="1940"/>
        <w:gridCol w:w="1451"/>
      </w:tblGrid>
      <w:tr w:rsidR="006C7FC1" w:rsidRPr="00FA18B7" w14:paraId="6BCECA14" w14:textId="77777777" w:rsidTr="008710E5">
        <w:tc>
          <w:tcPr>
            <w:tcW w:w="2214" w:type="dxa"/>
          </w:tcPr>
          <w:p w14:paraId="41340FCA" w14:textId="77777777" w:rsidR="006C7FC1" w:rsidRPr="00FA18B7" w:rsidRDefault="006C7FC1" w:rsidP="008710E5">
            <w:pPr>
              <w:spacing w:before="20" w:after="20"/>
              <w:jc w:val="center"/>
              <w:rPr>
                <w:b/>
                <w:bCs/>
                <w:noProof/>
                <w:szCs w:val="22"/>
                <w:lang w:val="es-419"/>
              </w:rPr>
            </w:pPr>
            <w:r w:rsidRPr="00FA18B7">
              <w:rPr>
                <w:b/>
                <w:lang w:val="es-419"/>
              </w:rPr>
              <w:t>Tipo de informe técnico anual</w:t>
            </w:r>
          </w:p>
        </w:tc>
        <w:tc>
          <w:tcPr>
            <w:tcW w:w="1610" w:type="dxa"/>
          </w:tcPr>
          <w:p w14:paraId="054E8FC1" w14:textId="77777777" w:rsidR="006C7FC1" w:rsidRPr="00FA18B7" w:rsidRDefault="006C7FC1" w:rsidP="008710E5">
            <w:pPr>
              <w:spacing w:before="20" w:after="20"/>
              <w:jc w:val="center"/>
              <w:rPr>
                <w:b/>
                <w:bCs/>
                <w:noProof/>
                <w:szCs w:val="22"/>
                <w:lang w:val="es-419"/>
              </w:rPr>
            </w:pPr>
            <w:r w:rsidRPr="00FA18B7">
              <w:rPr>
                <w:b/>
                <w:lang w:val="es-419"/>
              </w:rPr>
              <w:t>Actividades de 2021</w:t>
            </w:r>
          </w:p>
        </w:tc>
        <w:tc>
          <w:tcPr>
            <w:tcW w:w="1928" w:type="dxa"/>
          </w:tcPr>
          <w:p w14:paraId="31ED961D" w14:textId="77777777" w:rsidR="006C7FC1" w:rsidRPr="00FA18B7" w:rsidRDefault="006C7FC1" w:rsidP="008710E5">
            <w:pPr>
              <w:spacing w:before="20" w:after="20"/>
              <w:jc w:val="center"/>
              <w:rPr>
                <w:b/>
                <w:bCs/>
                <w:noProof/>
                <w:szCs w:val="22"/>
                <w:lang w:val="es-419"/>
              </w:rPr>
            </w:pPr>
            <w:r w:rsidRPr="00FA18B7">
              <w:rPr>
                <w:b/>
                <w:lang w:val="es-419"/>
              </w:rPr>
              <w:t>Actividades de 2022</w:t>
            </w:r>
          </w:p>
        </w:tc>
        <w:tc>
          <w:tcPr>
            <w:tcW w:w="1960" w:type="dxa"/>
          </w:tcPr>
          <w:p w14:paraId="02A49674" w14:textId="77777777" w:rsidR="006C7FC1" w:rsidRPr="00FA18B7" w:rsidRDefault="006C7FC1" w:rsidP="008710E5">
            <w:pPr>
              <w:spacing w:before="20" w:after="20"/>
              <w:jc w:val="center"/>
              <w:rPr>
                <w:b/>
                <w:bCs/>
                <w:noProof/>
                <w:szCs w:val="22"/>
                <w:lang w:val="es-419"/>
              </w:rPr>
            </w:pPr>
            <w:r w:rsidRPr="00FA18B7">
              <w:rPr>
                <w:b/>
                <w:lang w:val="es-419"/>
              </w:rPr>
              <w:t>Actividades de 2023</w:t>
            </w:r>
          </w:p>
        </w:tc>
        <w:tc>
          <w:tcPr>
            <w:tcW w:w="1373" w:type="dxa"/>
          </w:tcPr>
          <w:p w14:paraId="7F2C914A" w14:textId="77777777" w:rsidR="006C7FC1" w:rsidRPr="00FA18B7" w:rsidRDefault="006C7FC1" w:rsidP="008710E5">
            <w:pPr>
              <w:spacing w:before="20" w:after="20"/>
              <w:jc w:val="center"/>
              <w:rPr>
                <w:b/>
                <w:bCs/>
                <w:noProof/>
                <w:szCs w:val="22"/>
                <w:lang w:val="es-419"/>
              </w:rPr>
            </w:pPr>
            <w:r w:rsidRPr="00FA18B7">
              <w:rPr>
                <w:b/>
                <w:lang w:val="es-419"/>
              </w:rPr>
              <w:t>Actividades de 2024</w:t>
            </w:r>
          </w:p>
        </w:tc>
      </w:tr>
      <w:tr w:rsidR="006C7FC1" w:rsidRPr="00FA18B7" w14:paraId="6CCF7E99" w14:textId="77777777" w:rsidTr="008710E5">
        <w:tc>
          <w:tcPr>
            <w:tcW w:w="2214" w:type="dxa"/>
          </w:tcPr>
          <w:p w14:paraId="772B5E51" w14:textId="77777777" w:rsidR="006C7FC1" w:rsidRPr="00FA18B7" w:rsidRDefault="006C7FC1" w:rsidP="008710E5">
            <w:pPr>
              <w:spacing w:before="20" w:after="20"/>
              <w:rPr>
                <w:noProof/>
                <w:szCs w:val="22"/>
                <w:lang w:val="es-419"/>
              </w:rPr>
            </w:pPr>
            <w:r w:rsidRPr="00FA18B7">
              <w:rPr>
                <w:lang w:val="es-419"/>
              </w:rPr>
              <w:t>Información sobre diseños industriales</w:t>
            </w:r>
          </w:p>
        </w:tc>
        <w:tc>
          <w:tcPr>
            <w:tcW w:w="1610" w:type="dxa"/>
          </w:tcPr>
          <w:p w14:paraId="55CE4FC5" w14:textId="77777777" w:rsidR="006C7FC1" w:rsidRPr="00FA18B7" w:rsidRDefault="006C7FC1" w:rsidP="008710E5">
            <w:pPr>
              <w:spacing w:before="20" w:after="20"/>
              <w:jc w:val="center"/>
              <w:rPr>
                <w:noProof/>
                <w:szCs w:val="22"/>
                <w:lang w:val="es-419"/>
              </w:rPr>
            </w:pPr>
            <w:r w:rsidRPr="00FA18B7">
              <w:rPr>
                <w:lang w:val="es-419"/>
              </w:rPr>
              <w:t>15</w:t>
            </w:r>
          </w:p>
        </w:tc>
        <w:tc>
          <w:tcPr>
            <w:tcW w:w="1928" w:type="dxa"/>
          </w:tcPr>
          <w:p w14:paraId="66D72CA1" w14:textId="77777777" w:rsidR="006C7FC1" w:rsidRPr="00FA18B7" w:rsidRDefault="006C7FC1" w:rsidP="008710E5">
            <w:pPr>
              <w:spacing w:before="20" w:after="20"/>
              <w:jc w:val="center"/>
              <w:rPr>
                <w:noProof/>
                <w:szCs w:val="22"/>
                <w:lang w:val="es-419"/>
              </w:rPr>
            </w:pPr>
            <w:r w:rsidRPr="00FA18B7">
              <w:rPr>
                <w:lang w:val="es-419"/>
              </w:rPr>
              <w:t>19</w:t>
            </w:r>
          </w:p>
        </w:tc>
        <w:tc>
          <w:tcPr>
            <w:tcW w:w="1960" w:type="dxa"/>
          </w:tcPr>
          <w:p w14:paraId="67D80430" w14:textId="77777777" w:rsidR="006C7FC1" w:rsidRPr="00FA18B7" w:rsidRDefault="006C7FC1" w:rsidP="008710E5">
            <w:pPr>
              <w:spacing w:before="20" w:after="20"/>
              <w:jc w:val="center"/>
              <w:rPr>
                <w:noProof/>
                <w:szCs w:val="22"/>
                <w:lang w:val="es-419"/>
              </w:rPr>
            </w:pPr>
            <w:r w:rsidRPr="00FA18B7">
              <w:rPr>
                <w:lang w:val="es-419"/>
              </w:rPr>
              <w:t>21</w:t>
            </w:r>
          </w:p>
        </w:tc>
        <w:tc>
          <w:tcPr>
            <w:tcW w:w="1373" w:type="dxa"/>
          </w:tcPr>
          <w:p w14:paraId="65258E43" w14:textId="77777777" w:rsidR="006C7FC1" w:rsidRPr="00FA18B7" w:rsidRDefault="006C7FC1" w:rsidP="008710E5">
            <w:pPr>
              <w:spacing w:before="20" w:after="20"/>
              <w:jc w:val="center"/>
              <w:rPr>
                <w:noProof/>
                <w:szCs w:val="22"/>
                <w:lang w:val="es-419"/>
              </w:rPr>
            </w:pPr>
            <w:r w:rsidRPr="00FA18B7">
              <w:rPr>
                <w:lang w:val="es-419"/>
              </w:rPr>
              <w:t>26</w:t>
            </w:r>
          </w:p>
        </w:tc>
      </w:tr>
      <w:tr w:rsidR="006C7FC1" w:rsidRPr="00FA18B7" w14:paraId="68F6C76C" w14:textId="77777777" w:rsidTr="008710E5">
        <w:tc>
          <w:tcPr>
            <w:tcW w:w="2214" w:type="dxa"/>
          </w:tcPr>
          <w:p w14:paraId="6F38A0C0" w14:textId="77777777" w:rsidR="006C7FC1" w:rsidRPr="00FA18B7" w:rsidRDefault="006C7FC1" w:rsidP="008710E5">
            <w:pPr>
              <w:spacing w:before="20" w:after="20"/>
              <w:rPr>
                <w:noProof/>
                <w:szCs w:val="22"/>
                <w:lang w:val="es-419"/>
              </w:rPr>
            </w:pPr>
            <w:r w:rsidRPr="00FA18B7">
              <w:rPr>
                <w:lang w:val="es-419"/>
              </w:rPr>
              <w:t>Información en materia de patentes</w:t>
            </w:r>
          </w:p>
        </w:tc>
        <w:tc>
          <w:tcPr>
            <w:tcW w:w="1610" w:type="dxa"/>
          </w:tcPr>
          <w:p w14:paraId="6A7BD89D" w14:textId="77777777" w:rsidR="006C7FC1" w:rsidRPr="00FA18B7" w:rsidRDefault="006C7FC1" w:rsidP="008710E5">
            <w:pPr>
              <w:spacing w:before="20" w:after="20"/>
              <w:jc w:val="center"/>
              <w:rPr>
                <w:noProof/>
                <w:szCs w:val="22"/>
                <w:lang w:val="es-419"/>
              </w:rPr>
            </w:pPr>
            <w:r w:rsidRPr="00FA18B7">
              <w:rPr>
                <w:lang w:val="es-419"/>
              </w:rPr>
              <w:t>17</w:t>
            </w:r>
          </w:p>
        </w:tc>
        <w:tc>
          <w:tcPr>
            <w:tcW w:w="1928" w:type="dxa"/>
          </w:tcPr>
          <w:p w14:paraId="2C31EA69" w14:textId="77777777" w:rsidR="006C7FC1" w:rsidRPr="00FA18B7" w:rsidRDefault="006C7FC1" w:rsidP="008710E5">
            <w:pPr>
              <w:spacing w:before="20" w:after="20"/>
              <w:jc w:val="center"/>
              <w:rPr>
                <w:noProof/>
                <w:szCs w:val="22"/>
                <w:lang w:val="es-419"/>
              </w:rPr>
            </w:pPr>
            <w:r w:rsidRPr="00FA18B7">
              <w:rPr>
                <w:lang w:val="es-419"/>
              </w:rPr>
              <w:t>20</w:t>
            </w:r>
          </w:p>
        </w:tc>
        <w:tc>
          <w:tcPr>
            <w:tcW w:w="1960" w:type="dxa"/>
          </w:tcPr>
          <w:p w14:paraId="11FA7CCA" w14:textId="77777777" w:rsidR="006C7FC1" w:rsidRPr="00FA18B7" w:rsidRDefault="006C7FC1" w:rsidP="008710E5">
            <w:pPr>
              <w:spacing w:before="20" w:after="20"/>
              <w:jc w:val="center"/>
              <w:rPr>
                <w:noProof/>
                <w:szCs w:val="22"/>
                <w:lang w:val="es-419"/>
              </w:rPr>
            </w:pPr>
            <w:r w:rsidRPr="00FA18B7">
              <w:rPr>
                <w:lang w:val="es-419"/>
              </w:rPr>
              <w:t>24</w:t>
            </w:r>
          </w:p>
        </w:tc>
        <w:tc>
          <w:tcPr>
            <w:tcW w:w="1373" w:type="dxa"/>
          </w:tcPr>
          <w:p w14:paraId="5191FF2A" w14:textId="77777777" w:rsidR="006C7FC1" w:rsidRPr="00FA18B7" w:rsidRDefault="006C7FC1" w:rsidP="008710E5">
            <w:pPr>
              <w:spacing w:before="20" w:after="20"/>
              <w:jc w:val="center"/>
              <w:rPr>
                <w:noProof/>
                <w:szCs w:val="22"/>
                <w:lang w:val="es-419"/>
              </w:rPr>
            </w:pPr>
            <w:r w:rsidRPr="00FA18B7">
              <w:rPr>
                <w:lang w:val="es-419"/>
              </w:rPr>
              <w:t>28</w:t>
            </w:r>
          </w:p>
        </w:tc>
      </w:tr>
      <w:tr w:rsidR="006C7FC1" w:rsidRPr="00FA18B7" w14:paraId="7BC3214B" w14:textId="77777777" w:rsidTr="008710E5">
        <w:tc>
          <w:tcPr>
            <w:tcW w:w="2214" w:type="dxa"/>
            <w:tcBorders>
              <w:bottom w:val="single" w:sz="4" w:space="0" w:color="auto"/>
            </w:tcBorders>
          </w:tcPr>
          <w:p w14:paraId="5E4D59EB" w14:textId="77777777" w:rsidR="006C7FC1" w:rsidRPr="00FA18B7" w:rsidRDefault="006C7FC1" w:rsidP="008710E5">
            <w:pPr>
              <w:spacing w:before="20" w:after="20"/>
              <w:rPr>
                <w:noProof/>
                <w:szCs w:val="22"/>
                <w:lang w:val="es-419"/>
              </w:rPr>
            </w:pPr>
            <w:r w:rsidRPr="00FA18B7">
              <w:rPr>
                <w:lang w:val="es-419"/>
              </w:rPr>
              <w:t>Información en materia de marcas</w:t>
            </w:r>
          </w:p>
        </w:tc>
        <w:tc>
          <w:tcPr>
            <w:tcW w:w="1610" w:type="dxa"/>
            <w:tcBorders>
              <w:bottom w:val="single" w:sz="4" w:space="0" w:color="auto"/>
            </w:tcBorders>
          </w:tcPr>
          <w:p w14:paraId="587F647C" w14:textId="77777777" w:rsidR="006C7FC1" w:rsidRPr="00FA18B7" w:rsidRDefault="006C7FC1" w:rsidP="008710E5">
            <w:pPr>
              <w:spacing w:before="20" w:after="20"/>
              <w:jc w:val="center"/>
              <w:rPr>
                <w:noProof/>
                <w:szCs w:val="22"/>
                <w:lang w:val="es-419"/>
              </w:rPr>
            </w:pPr>
            <w:r w:rsidRPr="00FA18B7">
              <w:rPr>
                <w:lang w:val="es-419"/>
              </w:rPr>
              <w:t>15</w:t>
            </w:r>
          </w:p>
        </w:tc>
        <w:tc>
          <w:tcPr>
            <w:tcW w:w="1928" w:type="dxa"/>
            <w:tcBorders>
              <w:bottom w:val="single" w:sz="4" w:space="0" w:color="auto"/>
            </w:tcBorders>
          </w:tcPr>
          <w:p w14:paraId="2A3EDA44" w14:textId="77777777" w:rsidR="006C7FC1" w:rsidRPr="00FA18B7" w:rsidRDefault="006C7FC1" w:rsidP="008710E5">
            <w:pPr>
              <w:spacing w:before="20" w:after="20"/>
              <w:jc w:val="center"/>
              <w:rPr>
                <w:noProof/>
                <w:szCs w:val="22"/>
                <w:lang w:val="es-419"/>
              </w:rPr>
            </w:pPr>
            <w:r w:rsidRPr="00FA18B7">
              <w:rPr>
                <w:lang w:val="es-419"/>
              </w:rPr>
              <w:t>21</w:t>
            </w:r>
          </w:p>
        </w:tc>
        <w:tc>
          <w:tcPr>
            <w:tcW w:w="1960" w:type="dxa"/>
            <w:tcBorders>
              <w:bottom w:val="single" w:sz="4" w:space="0" w:color="auto"/>
            </w:tcBorders>
          </w:tcPr>
          <w:p w14:paraId="484827C9" w14:textId="77777777" w:rsidR="006C7FC1" w:rsidRPr="00FA18B7" w:rsidRDefault="006C7FC1" w:rsidP="008710E5">
            <w:pPr>
              <w:spacing w:before="20" w:after="20"/>
              <w:jc w:val="center"/>
              <w:rPr>
                <w:noProof/>
                <w:szCs w:val="22"/>
                <w:lang w:val="es-419"/>
              </w:rPr>
            </w:pPr>
            <w:r w:rsidRPr="00FA18B7">
              <w:rPr>
                <w:lang w:val="es-419"/>
              </w:rPr>
              <w:t>24</w:t>
            </w:r>
          </w:p>
        </w:tc>
        <w:tc>
          <w:tcPr>
            <w:tcW w:w="1373" w:type="dxa"/>
            <w:tcBorders>
              <w:bottom w:val="single" w:sz="4" w:space="0" w:color="auto"/>
            </w:tcBorders>
          </w:tcPr>
          <w:p w14:paraId="132B35FF" w14:textId="77777777" w:rsidR="006C7FC1" w:rsidRPr="00FA18B7" w:rsidRDefault="006C7FC1" w:rsidP="008710E5">
            <w:pPr>
              <w:spacing w:before="20" w:after="20"/>
              <w:jc w:val="center"/>
              <w:rPr>
                <w:noProof/>
                <w:szCs w:val="22"/>
                <w:lang w:val="es-419"/>
              </w:rPr>
            </w:pPr>
            <w:r w:rsidRPr="00FA18B7">
              <w:rPr>
                <w:lang w:val="es-419"/>
              </w:rPr>
              <w:t>30</w:t>
            </w:r>
          </w:p>
        </w:tc>
      </w:tr>
      <w:tr w:rsidR="006C7FC1" w:rsidRPr="00FA18B7" w14:paraId="62003115" w14:textId="77777777" w:rsidTr="008710E5">
        <w:tc>
          <w:tcPr>
            <w:tcW w:w="2214" w:type="dxa"/>
          </w:tcPr>
          <w:p w14:paraId="07E13A27" w14:textId="77777777" w:rsidR="006C7FC1" w:rsidRPr="00FA18B7" w:rsidRDefault="006C7FC1" w:rsidP="008710E5">
            <w:pPr>
              <w:spacing w:before="20" w:after="20"/>
              <w:rPr>
                <w:b/>
                <w:bCs/>
                <w:noProof/>
                <w:szCs w:val="22"/>
                <w:lang w:val="es-419"/>
              </w:rPr>
            </w:pPr>
            <w:r w:rsidRPr="00FA18B7">
              <w:rPr>
                <w:b/>
                <w:lang w:val="es-419"/>
              </w:rPr>
              <w:t>Número total de informes técnicos anuales</w:t>
            </w:r>
          </w:p>
        </w:tc>
        <w:tc>
          <w:tcPr>
            <w:tcW w:w="1610" w:type="dxa"/>
          </w:tcPr>
          <w:p w14:paraId="6680A00A" w14:textId="77777777" w:rsidR="006C7FC1" w:rsidRPr="00FA18B7" w:rsidRDefault="006C7FC1" w:rsidP="008710E5">
            <w:pPr>
              <w:spacing w:before="20" w:after="20"/>
              <w:jc w:val="center"/>
              <w:rPr>
                <w:b/>
                <w:bCs/>
                <w:noProof/>
                <w:szCs w:val="22"/>
                <w:lang w:val="es-419"/>
              </w:rPr>
            </w:pPr>
            <w:r w:rsidRPr="00FA18B7">
              <w:rPr>
                <w:b/>
                <w:lang w:val="es-419"/>
              </w:rPr>
              <w:t>47</w:t>
            </w:r>
          </w:p>
        </w:tc>
        <w:tc>
          <w:tcPr>
            <w:tcW w:w="1928" w:type="dxa"/>
          </w:tcPr>
          <w:p w14:paraId="6F889079" w14:textId="77777777" w:rsidR="006C7FC1" w:rsidRPr="00FA18B7" w:rsidRDefault="006C7FC1" w:rsidP="008710E5">
            <w:pPr>
              <w:spacing w:before="20" w:after="20"/>
              <w:jc w:val="center"/>
              <w:rPr>
                <w:b/>
                <w:bCs/>
                <w:noProof/>
                <w:szCs w:val="22"/>
                <w:lang w:val="es-419"/>
              </w:rPr>
            </w:pPr>
            <w:r w:rsidRPr="00FA18B7">
              <w:rPr>
                <w:b/>
                <w:lang w:val="es-419"/>
              </w:rPr>
              <w:t>60</w:t>
            </w:r>
          </w:p>
        </w:tc>
        <w:tc>
          <w:tcPr>
            <w:tcW w:w="1960" w:type="dxa"/>
          </w:tcPr>
          <w:p w14:paraId="651B60ED" w14:textId="77777777" w:rsidR="006C7FC1" w:rsidRPr="00FA18B7" w:rsidRDefault="006C7FC1" w:rsidP="008710E5">
            <w:pPr>
              <w:spacing w:before="20" w:after="20"/>
              <w:jc w:val="center"/>
              <w:rPr>
                <w:b/>
                <w:bCs/>
                <w:noProof/>
                <w:szCs w:val="22"/>
                <w:lang w:val="es-419"/>
              </w:rPr>
            </w:pPr>
            <w:r w:rsidRPr="00FA18B7">
              <w:rPr>
                <w:b/>
                <w:lang w:val="es-419"/>
              </w:rPr>
              <w:t>69</w:t>
            </w:r>
          </w:p>
        </w:tc>
        <w:tc>
          <w:tcPr>
            <w:tcW w:w="1373" w:type="dxa"/>
          </w:tcPr>
          <w:p w14:paraId="66623E62" w14:textId="77777777" w:rsidR="006C7FC1" w:rsidRPr="00FA18B7" w:rsidRDefault="006C7FC1" w:rsidP="008710E5">
            <w:pPr>
              <w:spacing w:before="20" w:after="20"/>
              <w:jc w:val="center"/>
              <w:rPr>
                <w:b/>
                <w:bCs/>
                <w:noProof/>
                <w:szCs w:val="22"/>
                <w:lang w:val="es-419"/>
              </w:rPr>
            </w:pPr>
            <w:r w:rsidRPr="00FA18B7">
              <w:rPr>
                <w:b/>
                <w:lang w:val="es-419"/>
              </w:rPr>
              <w:t>84</w:t>
            </w:r>
          </w:p>
        </w:tc>
      </w:tr>
    </w:tbl>
    <w:p w14:paraId="3C67D9A8" w14:textId="77777777" w:rsidR="006C7FC1" w:rsidRPr="00FA18B7" w:rsidRDefault="006C7FC1" w:rsidP="006C7FC1">
      <w:pPr>
        <w:spacing w:after="220" w:line="259" w:lineRule="auto"/>
        <w:rPr>
          <w:lang w:val="es-419"/>
        </w:rPr>
      </w:pPr>
    </w:p>
    <w:p w14:paraId="7715D280" w14:textId="77777777" w:rsidR="006C7FC1" w:rsidRPr="00FA18B7" w:rsidRDefault="006C7FC1" w:rsidP="006C7FC1">
      <w:pPr>
        <w:pStyle w:val="Heading2"/>
        <w:rPr>
          <w:lang w:val="es-419"/>
        </w:rPr>
      </w:pPr>
      <w:r w:rsidRPr="00FA18B7">
        <w:rPr>
          <w:lang w:val="es-419"/>
        </w:rPr>
        <w:t>Estado de aplicación de las normas técnicas de la OMPI</w:t>
      </w:r>
    </w:p>
    <w:p w14:paraId="1B397BDA" w14:textId="2F6E8F0E" w:rsidR="006C7FC1" w:rsidRPr="00FA18B7" w:rsidRDefault="006C7FC1" w:rsidP="006C7FC1">
      <w:pPr>
        <w:spacing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el cuadro siguiente se resume el estado de aplicación de diversas normas técnicas de la OMPI relacionadas con las patentes entre las oficinas de PI que presentaron sus informes técnicos anuales</w:t>
      </w:r>
      <w:r w:rsidR="00516F8F" w:rsidRPr="00FA18B7">
        <w:rPr>
          <w:lang w:val="es-419"/>
        </w:rPr>
        <w:t xml:space="preserve">. </w:t>
      </w:r>
      <w:r w:rsidRPr="00FA18B7">
        <w:rPr>
          <w:lang w:val="es-419"/>
        </w:rPr>
        <w:t>De las 28</w:t>
      </w:r>
      <w:r w:rsidR="004D65A5" w:rsidRPr="00FA18B7">
        <w:rPr>
          <w:lang w:val="es-419"/>
        </w:rPr>
        <w:t xml:space="preserve"> </w:t>
      </w:r>
      <w:r w:rsidRPr="00FA18B7">
        <w:rPr>
          <w:lang w:val="es-419"/>
        </w:rPr>
        <w:t>oficinas de PI que presentaron informes técnicos anuales, la mayoría demuestra un fuerte compromiso con la aplicación de las normas técnicas de la OMPI</w:t>
      </w:r>
      <w:r w:rsidR="00516F8F" w:rsidRPr="00FA18B7">
        <w:rPr>
          <w:lang w:val="es-419"/>
        </w:rPr>
        <w:t xml:space="preserve">. </w:t>
      </w:r>
      <w:r w:rsidRPr="00FA18B7">
        <w:rPr>
          <w:lang w:val="es-419"/>
        </w:rPr>
        <w:t>En particular, las normas ST.3, ST.9, ST.26 y ST.36 han sido aplicadas por 20 oficinas o más</w:t>
      </w:r>
      <w:r w:rsidR="00516F8F" w:rsidRPr="00FA18B7">
        <w:rPr>
          <w:lang w:val="es-419"/>
        </w:rPr>
        <w:t xml:space="preserve">. </w:t>
      </w:r>
      <w:r w:rsidRPr="00FA18B7">
        <w:rPr>
          <w:lang w:val="es-419"/>
        </w:rPr>
        <w:t>En el caso de algunas normas de la OMPI, entre ellas las normas ST.13, ST.90 y ST.91, se observan índices de aplicación plena más bajos, aunque un número considerable de Oficinas prevén aplicarlas o se encuentran en la fase de aplicación</w:t>
      </w:r>
      <w:r w:rsidR="00516F8F" w:rsidRPr="00FA18B7">
        <w:rPr>
          <w:lang w:val="es-419"/>
        </w:rPr>
        <w:t xml:space="preserve">. </w:t>
      </w:r>
      <w:r w:rsidRPr="00FA18B7">
        <w:rPr>
          <w:lang w:val="es-419"/>
        </w:rPr>
        <w:t>Cabe destacar también que, tras la reciente adopción de la nueva Norma ST.92 de la OMPI durante la última sesión del CWS, ya hay 16 oficinas que prevén aplicarla, lo que indica una tendencia positiva hacia el cumplimiento con miras al futuro</w:t>
      </w:r>
      <w:r w:rsidR="00516F8F" w:rsidRPr="00FA18B7">
        <w:rPr>
          <w:lang w:val="es-419"/>
        </w:rPr>
        <w:t xml:space="preserve">. </w:t>
      </w:r>
      <w:r w:rsidRPr="00FA18B7">
        <w:rPr>
          <w:lang w:val="es-419"/>
        </w:rPr>
        <w:t>Un pequeño número de oficinas ha informado que prevé aplicar determinadas normas, o no ha facilitado información al respecto</w:t>
      </w:r>
      <w:r w:rsidR="00516F8F" w:rsidRPr="00FA18B7">
        <w:rPr>
          <w:lang w:val="es-419"/>
        </w:rPr>
        <w:t xml:space="preserve">. </w:t>
      </w:r>
      <w:r w:rsidRPr="00FA18B7">
        <w:rPr>
          <w:lang w:val="es-419"/>
        </w:rPr>
        <w:t>En general, estos resultados ponen de relieve el firme y creciente compromiso de las oficinas de PI por ajustarse a las normas técnicas de la OMPI, promoviendo la transparencia y la armonización en la administración de la PI en todo el mundo.</w:t>
      </w:r>
    </w:p>
    <w:tbl>
      <w:tblPr>
        <w:tblStyle w:val="TableGrid"/>
        <w:tblW w:w="0" w:type="auto"/>
        <w:tblLook w:val="04A0" w:firstRow="1" w:lastRow="0" w:firstColumn="1" w:lastColumn="0" w:noHBand="0" w:noVBand="1"/>
      </w:tblPr>
      <w:tblGrid>
        <w:gridCol w:w="1838"/>
        <w:gridCol w:w="1134"/>
        <w:gridCol w:w="1143"/>
        <w:gridCol w:w="1636"/>
        <w:gridCol w:w="1496"/>
        <w:gridCol w:w="2098"/>
      </w:tblGrid>
      <w:tr w:rsidR="00F465D0" w:rsidRPr="00FA18B7" w14:paraId="4B8DBF19" w14:textId="77777777" w:rsidTr="00F465D0">
        <w:tc>
          <w:tcPr>
            <w:tcW w:w="1838" w:type="dxa"/>
            <w:hideMark/>
          </w:tcPr>
          <w:p w14:paraId="07511DB6" w14:textId="77777777" w:rsidR="006C7FC1" w:rsidRPr="00FA18B7" w:rsidRDefault="006C7FC1" w:rsidP="008710E5">
            <w:pPr>
              <w:spacing w:before="20" w:after="20"/>
              <w:jc w:val="center"/>
              <w:rPr>
                <w:b/>
                <w:bCs/>
                <w:szCs w:val="22"/>
                <w:lang w:val="es-419"/>
              </w:rPr>
            </w:pPr>
            <w:r w:rsidRPr="00FA18B7">
              <w:rPr>
                <w:b/>
                <w:lang w:val="es-419"/>
              </w:rPr>
              <w:t>Norma técnica de la OMPI</w:t>
            </w:r>
          </w:p>
        </w:tc>
        <w:tc>
          <w:tcPr>
            <w:tcW w:w="1134" w:type="dxa"/>
            <w:hideMark/>
          </w:tcPr>
          <w:p w14:paraId="4DED757B" w14:textId="77777777" w:rsidR="006C7FC1" w:rsidRPr="00FA18B7" w:rsidRDefault="006C7FC1" w:rsidP="008710E5">
            <w:pPr>
              <w:spacing w:before="20" w:after="20"/>
              <w:jc w:val="center"/>
              <w:rPr>
                <w:b/>
                <w:bCs/>
                <w:szCs w:val="22"/>
                <w:lang w:val="es-419"/>
              </w:rPr>
            </w:pPr>
            <w:r w:rsidRPr="00FA18B7">
              <w:rPr>
                <w:b/>
                <w:lang w:val="es-419"/>
              </w:rPr>
              <w:t>Aplicada</w:t>
            </w:r>
          </w:p>
        </w:tc>
        <w:tc>
          <w:tcPr>
            <w:tcW w:w="1143" w:type="dxa"/>
            <w:hideMark/>
          </w:tcPr>
          <w:p w14:paraId="29C0C986" w14:textId="77777777" w:rsidR="006C7FC1" w:rsidRPr="00FA18B7" w:rsidRDefault="006C7FC1" w:rsidP="008710E5">
            <w:pPr>
              <w:spacing w:before="20" w:after="20"/>
              <w:jc w:val="center"/>
              <w:rPr>
                <w:b/>
                <w:bCs/>
                <w:szCs w:val="22"/>
                <w:lang w:val="es-419"/>
              </w:rPr>
            </w:pPr>
            <w:r w:rsidRPr="00FA18B7">
              <w:rPr>
                <w:b/>
                <w:lang w:val="es-419"/>
              </w:rPr>
              <w:t>Se prevé aplicarla</w:t>
            </w:r>
          </w:p>
        </w:tc>
        <w:tc>
          <w:tcPr>
            <w:tcW w:w="0" w:type="auto"/>
            <w:hideMark/>
          </w:tcPr>
          <w:p w14:paraId="63FFEB5A" w14:textId="77777777" w:rsidR="006C7FC1" w:rsidRPr="00FA18B7" w:rsidRDefault="006C7FC1" w:rsidP="008710E5">
            <w:pPr>
              <w:spacing w:before="20" w:after="20"/>
              <w:jc w:val="center"/>
              <w:rPr>
                <w:b/>
                <w:bCs/>
                <w:szCs w:val="22"/>
                <w:lang w:val="es-419"/>
              </w:rPr>
            </w:pPr>
            <w:r w:rsidRPr="00FA18B7">
              <w:rPr>
                <w:b/>
                <w:lang w:val="es-419"/>
              </w:rPr>
              <w:t>En fase de aplicación</w:t>
            </w:r>
          </w:p>
        </w:tc>
        <w:tc>
          <w:tcPr>
            <w:tcW w:w="0" w:type="auto"/>
            <w:hideMark/>
          </w:tcPr>
          <w:p w14:paraId="6BF4B515" w14:textId="77777777" w:rsidR="006C7FC1" w:rsidRPr="00FA18B7" w:rsidRDefault="006C7FC1" w:rsidP="008710E5">
            <w:pPr>
              <w:spacing w:before="20" w:after="20"/>
              <w:jc w:val="center"/>
              <w:rPr>
                <w:b/>
                <w:bCs/>
                <w:szCs w:val="22"/>
                <w:lang w:val="es-419"/>
              </w:rPr>
            </w:pPr>
            <w:r w:rsidRPr="00FA18B7">
              <w:rPr>
                <w:b/>
                <w:lang w:val="es-419"/>
              </w:rPr>
              <w:t>No se prevé aplicarla</w:t>
            </w:r>
          </w:p>
        </w:tc>
        <w:tc>
          <w:tcPr>
            <w:tcW w:w="0" w:type="auto"/>
            <w:hideMark/>
          </w:tcPr>
          <w:p w14:paraId="25D3DB38" w14:textId="77777777" w:rsidR="006C7FC1" w:rsidRPr="00FA18B7" w:rsidRDefault="006C7FC1" w:rsidP="008710E5">
            <w:pPr>
              <w:spacing w:before="20" w:after="20"/>
              <w:jc w:val="center"/>
              <w:rPr>
                <w:b/>
                <w:bCs/>
                <w:szCs w:val="22"/>
                <w:lang w:val="es-419"/>
              </w:rPr>
            </w:pPr>
            <w:r w:rsidRPr="00FA18B7">
              <w:rPr>
                <w:b/>
                <w:lang w:val="es-419"/>
              </w:rPr>
              <w:t>No se proporcionó información</w:t>
            </w:r>
          </w:p>
        </w:tc>
      </w:tr>
      <w:tr w:rsidR="00F465D0" w:rsidRPr="00FA18B7" w14:paraId="3C26EF9C" w14:textId="77777777" w:rsidTr="00F465D0">
        <w:tc>
          <w:tcPr>
            <w:tcW w:w="1838" w:type="dxa"/>
            <w:hideMark/>
          </w:tcPr>
          <w:p w14:paraId="17E8EE10" w14:textId="51949173" w:rsidR="006C7FC1" w:rsidRPr="00FA18B7" w:rsidRDefault="006C7FC1" w:rsidP="008710E5">
            <w:pPr>
              <w:spacing w:before="20" w:after="20"/>
              <w:jc w:val="center"/>
              <w:rPr>
                <w:b/>
                <w:bCs/>
                <w:szCs w:val="22"/>
                <w:lang w:val="es-419"/>
              </w:rPr>
            </w:pPr>
            <w:r w:rsidRPr="00FA18B7">
              <w:rPr>
                <w:b/>
                <w:lang w:val="es-419"/>
              </w:rPr>
              <w:t>ST.3</w:t>
            </w:r>
          </w:p>
        </w:tc>
        <w:tc>
          <w:tcPr>
            <w:tcW w:w="1134" w:type="dxa"/>
            <w:hideMark/>
          </w:tcPr>
          <w:p w14:paraId="5E019654" w14:textId="77777777" w:rsidR="006C7FC1" w:rsidRPr="00FA18B7" w:rsidRDefault="006C7FC1" w:rsidP="008710E5">
            <w:pPr>
              <w:spacing w:before="20" w:after="20"/>
              <w:jc w:val="center"/>
              <w:rPr>
                <w:szCs w:val="22"/>
                <w:lang w:val="es-419"/>
              </w:rPr>
            </w:pPr>
            <w:r w:rsidRPr="00FA18B7">
              <w:rPr>
                <w:lang w:val="es-419"/>
              </w:rPr>
              <w:t>25</w:t>
            </w:r>
          </w:p>
        </w:tc>
        <w:tc>
          <w:tcPr>
            <w:tcW w:w="1143" w:type="dxa"/>
            <w:hideMark/>
          </w:tcPr>
          <w:p w14:paraId="7DF10F65"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23E891B3" w14:textId="77777777" w:rsidR="006C7FC1" w:rsidRPr="00FA18B7" w:rsidRDefault="006C7FC1" w:rsidP="008710E5">
            <w:pPr>
              <w:spacing w:before="20" w:after="20"/>
              <w:jc w:val="center"/>
              <w:rPr>
                <w:szCs w:val="22"/>
                <w:lang w:val="es-419"/>
              </w:rPr>
            </w:pPr>
            <w:r w:rsidRPr="00FA18B7">
              <w:rPr>
                <w:lang w:val="es-419"/>
              </w:rPr>
              <w:t>0</w:t>
            </w:r>
          </w:p>
        </w:tc>
        <w:tc>
          <w:tcPr>
            <w:tcW w:w="0" w:type="auto"/>
            <w:hideMark/>
          </w:tcPr>
          <w:p w14:paraId="2C2A4B2F" w14:textId="77777777" w:rsidR="006C7FC1" w:rsidRPr="00FA18B7" w:rsidRDefault="006C7FC1" w:rsidP="008710E5">
            <w:pPr>
              <w:spacing w:before="20" w:after="20"/>
              <w:jc w:val="center"/>
              <w:rPr>
                <w:szCs w:val="22"/>
                <w:lang w:val="es-419"/>
              </w:rPr>
            </w:pPr>
            <w:r w:rsidRPr="00FA18B7">
              <w:rPr>
                <w:lang w:val="es-419"/>
              </w:rPr>
              <w:t>0</w:t>
            </w:r>
          </w:p>
        </w:tc>
        <w:tc>
          <w:tcPr>
            <w:tcW w:w="0" w:type="auto"/>
            <w:hideMark/>
          </w:tcPr>
          <w:p w14:paraId="6D9304AA"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1BFE390D" w14:textId="77777777" w:rsidTr="00F465D0">
        <w:tc>
          <w:tcPr>
            <w:tcW w:w="1838" w:type="dxa"/>
            <w:hideMark/>
          </w:tcPr>
          <w:p w14:paraId="3CC30545" w14:textId="4B9CBD5F" w:rsidR="006C7FC1" w:rsidRPr="00FA18B7" w:rsidRDefault="006C7FC1" w:rsidP="008710E5">
            <w:pPr>
              <w:spacing w:before="20" w:after="20"/>
              <w:jc w:val="center"/>
              <w:rPr>
                <w:b/>
                <w:bCs/>
                <w:szCs w:val="22"/>
                <w:lang w:val="es-419"/>
              </w:rPr>
            </w:pPr>
            <w:r w:rsidRPr="00FA18B7">
              <w:rPr>
                <w:b/>
                <w:lang w:val="es-419"/>
              </w:rPr>
              <w:t>ST.6</w:t>
            </w:r>
          </w:p>
        </w:tc>
        <w:tc>
          <w:tcPr>
            <w:tcW w:w="1134" w:type="dxa"/>
            <w:hideMark/>
          </w:tcPr>
          <w:p w14:paraId="20ADFA7D" w14:textId="77777777" w:rsidR="006C7FC1" w:rsidRPr="00FA18B7" w:rsidRDefault="006C7FC1" w:rsidP="008710E5">
            <w:pPr>
              <w:spacing w:before="20" w:after="20"/>
              <w:jc w:val="center"/>
              <w:rPr>
                <w:szCs w:val="22"/>
                <w:lang w:val="es-419"/>
              </w:rPr>
            </w:pPr>
            <w:r w:rsidRPr="00FA18B7">
              <w:rPr>
                <w:lang w:val="es-419"/>
              </w:rPr>
              <w:t>23</w:t>
            </w:r>
          </w:p>
        </w:tc>
        <w:tc>
          <w:tcPr>
            <w:tcW w:w="1143" w:type="dxa"/>
            <w:hideMark/>
          </w:tcPr>
          <w:p w14:paraId="4D6F5FC1"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44B960DB" w14:textId="77777777" w:rsidR="006C7FC1" w:rsidRPr="00FA18B7" w:rsidRDefault="006C7FC1" w:rsidP="008710E5">
            <w:pPr>
              <w:spacing w:before="20" w:after="20"/>
              <w:jc w:val="center"/>
              <w:rPr>
                <w:szCs w:val="22"/>
                <w:lang w:val="es-419"/>
              </w:rPr>
            </w:pPr>
            <w:r w:rsidRPr="00FA18B7">
              <w:rPr>
                <w:lang w:val="es-419"/>
              </w:rPr>
              <w:t>0</w:t>
            </w:r>
          </w:p>
        </w:tc>
        <w:tc>
          <w:tcPr>
            <w:tcW w:w="0" w:type="auto"/>
            <w:hideMark/>
          </w:tcPr>
          <w:p w14:paraId="16C5810F" w14:textId="77777777" w:rsidR="006C7FC1" w:rsidRPr="00FA18B7" w:rsidRDefault="006C7FC1" w:rsidP="008710E5">
            <w:pPr>
              <w:spacing w:before="20" w:after="20"/>
              <w:jc w:val="center"/>
              <w:rPr>
                <w:szCs w:val="22"/>
                <w:lang w:val="es-419"/>
              </w:rPr>
            </w:pPr>
            <w:r w:rsidRPr="00FA18B7">
              <w:rPr>
                <w:lang w:val="es-419"/>
              </w:rPr>
              <w:t>2</w:t>
            </w:r>
          </w:p>
        </w:tc>
        <w:tc>
          <w:tcPr>
            <w:tcW w:w="0" w:type="auto"/>
            <w:hideMark/>
          </w:tcPr>
          <w:p w14:paraId="31F4EB93"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7741EA1F" w14:textId="77777777" w:rsidTr="00F465D0">
        <w:tc>
          <w:tcPr>
            <w:tcW w:w="1838" w:type="dxa"/>
            <w:hideMark/>
          </w:tcPr>
          <w:p w14:paraId="02DF689D" w14:textId="5719C21F" w:rsidR="006C7FC1" w:rsidRPr="00FA18B7" w:rsidRDefault="006C7FC1" w:rsidP="008710E5">
            <w:pPr>
              <w:spacing w:before="20" w:after="20"/>
              <w:jc w:val="center"/>
              <w:rPr>
                <w:b/>
                <w:bCs/>
                <w:szCs w:val="22"/>
                <w:lang w:val="es-419"/>
              </w:rPr>
            </w:pPr>
            <w:r w:rsidRPr="00FA18B7">
              <w:rPr>
                <w:b/>
                <w:lang w:val="es-419"/>
              </w:rPr>
              <w:t>ST.9</w:t>
            </w:r>
          </w:p>
        </w:tc>
        <w:tc>
          <w:tcPr>
            <w:tcW w:w="1134" w:type="dxa"/>
            <w:hideMark/>
          </w:tcPr>
          <w:p w14:paraId="4FBD0E0D" w14:textId="77777777" w:rsidR="006C7FC1" w:rsidRPr="00FA18B7" w:rsidRDefault="006C7FC1" w:rsidP="008710E5">
            <w:pPr>
              <w:spacing w:before="20" w:after="20"/>
              <w:jc w:val="center"/>
              <w:rPr>
                <w:szCs w:val="22"/>
                <w:lang w:val="es-419"/>
              </w:rPr>
            </w:pPr>
            <w:r w:rsidRPr="00FA18B7">
              <w:rPr>
                <w:lang w:val="es-419"/>
              </w:rPr>
              <w:t>25</w:t>
            </w:r>
          </w:p>
        </w:tc>
        <w:tc>
          <w:tcPr>
            <w:tcW w:w="1143" w:type="dxa"/>
            <w:hideMark/>
          </w:tcPr>
          <w:p w14:paraId="22D0D95A" w14:textId="77777777" w:rsidR="006C7FC1" w:rsidRPr="00FA18B7" w:rsidRDefault="006C7FC1" w:rsidP="008710E5">
            <w:pPr>
              <w:spacing w:before="20" w:after="20"/>
              <w:jc w:val="center"/>
              <w:rPr>
                <w:szCs w:val="22"/>
                <w:lang w:val="es-419"/>
              </w:rPr>
            </w:pPr>
            <w:r w:rsidRPr="00FA18B7">
              <w:rPr>
                <w:lang w:val="es-419"/>
              </w:rPr>
              <w:t>0</w:t>
            </w:r>
          </w:p>
        </w:tc>
        <w:tc>
          <w:tcPr>
            <w:tcW w:w="0" w:type="auto"/>
            <w:hideMark/>
          </w:tcPr>
          <w:p w14:paraId="412F06E5" w14:textId="77777777" w:rsidR="006C7FC1" w:rsidRPr="00FA18B7" w:rsidRDefault="006C7FC1" w:rsidP="008710E5">
            <w:pPr>
              <w:spacing w:before="20" w:after="20"/>
              <w:jc w:val="center"/>
              <w:rPr>
                <w:szCs w:val="22"/>
                <w:lang w:val="es-419"/>
              </w:rPr>
            </w:pPr>
            <w:r w:rsidRPr="00FA18B7">
              <w:rPr>
                <w:lang w:val="es-419"/>
              </w:rPr>
              <w:t>0</w:t>
            </w:r>
          </w:p>
        </w:tc>
        <w:tc>
          <w:tcPr>
            <w:tcW w:w="0" w:type="auto"/>
            <w:hideMark/>
          </w:tcPr>
          <w:p w14:paraId="442857AF"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5AB89BE8"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5DFD130F" w14:textId="77777777" w:rsidTr="00F465D0">
        <w:tc>
          <w:tcPr>
            <w:tcW w:w="1838" w:type="dxa"/>
            <w:hideMark/>
          </w:tcPr>
          <w:p w14:paraId="36BF951C" w14:textId="12390C96" w:rsidR="006C7FC1" w:rsidRPr="00FA18B7" w:rsidRDefault="006C7FC1" w:rsidP="008710E5">
            <w:pPr>
              <w:spacing w:before="20" w:after="20"/>
              <w:jc w:val="center"/>
              <w:rPr>
                <w:b/>
                <w:bCs/>
                <w:szCs w:val="22"/>
                <w:lang w:val="es-419"/>
              </w:rPr>
            </w:pPr>
            <w:r w:rsidRPr="00FA18B7">
              <w:rPr>
                <w:b/>
                <w:lang w:val="es-419"/>
              </w:rPr>
              <w:t>ST.10/C</w:t>
            </w:r>
          </w:p>
        </w:tc>
        <w:tc>
          <w:tcPr>
            <w:tcW w:w="1134" w:type="dxa"/>
            <w:hideMark/>
          </w:tcPr>
          <w:p w14:paraId="6EC811BC" w14:textId="77777777" w:rsidR="006C7FC1" w:rsidRPr="00FA18B7" w:rsidRDefault="006C7FC1" w:rsidP="008710E5">
            <w:pPr>
              <w:spacing w:before="20" w:after="20"/>
              <w:jc w:val="center"/>
              <w:rPr>
                <w:szCs w:val="22"/>
                <w:lang w:val="es-419"/>
              </w:rPr>
            </w:pPr>
            <w:r w:rsidRPr="00FA18B7">
              <w:rPr>
                <w:lang w:val="es-419"/>
              </w:rPr>
              <w:t>21</w:t>
            </w:r>
          </w:p>
        </w:tc>
        <w:tc>
          <w:tcPr>
            <w:tcW w:w="1143" w:type="dxa"/>
            <w:hideMark/>
          </w:tcPr>
          <w:p w14:paraId="0C5D4CD7"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72598B2D"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703D2A97" w14:textId="77777777" w:rsidR="006C7FC1" w:rsidRPr="00FA18B7" w:rsidRDefault="006C7FC1" w:rsidP="008710E5">
            <w:pPr>
              <w:spacing w:before="20" w:after="20"/>
              <w:jc w:val="center"/>
              <w:rPr>
                <w:szCs w:val="22"/>
                <w:lang w:val="es-419"/>
              </w:rPr>
            </w:pPr>
            <w:r w:rsidRPr="00FA18B7">
              <w:rPr>
                <w:lang w:val="es-419"/>
              </w:rPr>
              <w:t>2</w:t>
            </w:r>
          </w:p>
        </w:tc>
        <w:tc>
          <w:tcPr>
            <w:tcW w:w="0" w:type="auto"/>
            <w:hideMark/>
          </w:tcPr>
          <w:p w14:paraId="7597DCC3"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16518F20" w14:textId="77777777" w:rsidTr="00F465D0">
        <w:tc>
          <w:tcPr>
            <w:tcW w:w="1838" w:type="dxa"/>
            <w:hideMark/>
          </w:tcPr>
          <w:p w14:paraId="50D107C8" w14:textId="31A48A7E" w:rsidR="006C7FC1" w:rsidRPr="00FA18B7" w:rsidRDefault="006C7FC1" w:rsidP="008710E5">
            <w:pPr>
              <w:spacing w:before="20" w:after="20"/>
              <w:jc w:val="center"/>
              <w:rPr>
                <w:b/>
                <w:bCs/>
                <w:szCs w:val="22"/>
                <w:lang w:val="es-419"/>
              </w:rPr>
            </w:pPr>
            <w:r w:rsidRPr="00FA18B7">
              <w:rPr>
                <w:b/>
                <w:lang w:val="es-419"/>
              </w:rPr>
              <w:t>ST.13</w:t>
            </w:r>
          </w:p>
        </w:tc>
        <w:tc>
          <w:tcPr>
            <w:tcW w:w="1134" w:type="dxa"/>
            <w:hideMark/>
          </w:tcPr>
          <w:p w14:paraId="7E245B9E" w14:textId="77777777" w:rsidR="006C7FC1" w:rsidRPr="00FA18B7" w:rsidRDefault="006C7FC1" w:rsidP="008710E5">
            <w:pPr>
              <w:spacing w:before="20" w:after="20"/>
              <w:jc w:val="center"/>
              <w:rPr>
                <w:szCs w:val="22"/>
                <w:lang w:val="es-419"/>
              </w:rPr>
            </w:pPr>
            <w:r w:rsidRPr="00FA18B7">
              <w:rPr>
                <w:lang w:val="es-419"/>
              </w:rPr>
              <w:t>14</w:t>
            </w:r>
          </w:p>
        </w:tc>
        <w:tc>
          <w:tcPr>
            <w:tcW w:w="1143" w:type="dxa"/>
            <w:hideMark/>
          </w:tcPr>
          <w:p w14:paraId="53DBC60A"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31496166"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672A51E1" w14:textId="77777777" w:rsidR="006C7FC1" w:rsidRPr="00FA18B7" w:rsidRDefault="006C7FC1" w:rsidP="008710E5">
            <w:pPr>
              <w:spacing w:before="20" w:after="20"/>
              <w:jc w:val="center"/>
              <w:rPr>
                <w:szCs w:val="22"/>
                <w:lang w:val="es-419"/>
              </w:rPr>
            </w:pPr>
            <w:r w:rsidRPr="00FA18B7">
              <w:rPr>
                <w:lang w:val="es-419"/>
              </w:rPr>
              <w:t>10</w:t>
            </w:r>
          </w:p>
        </w:tc>
        <w:tc>
          <w:tcPr>
            <w:tcW w:w="0" w:type="auto"/>
            <w:hideMark/>
          </w:tcPr>
          <w:p w14:paraId="5D941E0C"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7E5A7CAE" w14:textId="77777777" w:rsidTr="00F465D0">
        <w:tc>
          <w:tcPr>
            <w:tcW w:w="1838" w:type="dxa"/>
            <w:hideMark/>
          </w:tcPr>
          <w:p w14:paraId="51EC6D28" w14:textId="1061DFDD" w:rsidR="006C7FC1" w:rsidRPr="00FA18B7" w:rsidRDefault="006C7FC1" w:rsidP="008710E5">
            <w:pPr>
              <w:spacing w:before="20" w:after="20"/>
              <w:jc w:val="center"/>
              <w:rPr>
                <w:b/>
                <w:bCs/>
                <w:szCs w:val="22"/>
                <w:lang w:val="es-419"/>
              </w:rPr>
            </w:pPr>
            <w:r w:rsidRPr="00FA18B7">
              <w:rPr>
                <w:b/>
                <w:lang w:val="es-419"/>
              </w:rPr>
              <w:t>ST.14</w:t>
            </w:r>
          </w:p>
        </w:tc>
        <w:tc>
          <w:tcPr>
            <w:tcW w:w="1134" w:type="dxa"/>
            <w:hideMark/>
          </w:tcPr>
          <w:p w14:paraId="762469A6" w14:textId="77777777" w:rsidR="006C7FC1" w:rsidRPr="00FA18B7" w:rsidRDefault="006C7FC1" w:rsidP="008710E5">
            <w:pPr>
              <w:spacing w:before="20" w:after="20"/>
              <w:jc w:val="center"/>
              <w:rPr>
                <w:szCs w:val="22"/>
                <w:lang w:val="es-419"/>
              </w:rPr>
            </w:pPr>
            <w:r w:rsidRPr="00FA18B7">
              <w:rPr>
                <w:lang w:val="es-419"/>
              </w:rPr>
              <w:t>22</w:t>
            </w:r>
          </w:p>
        </w:tc>
        <w:tc>
          <w:tcPr>
            <w:tcW w:w="1143" w:type="dxa"/>
            <w:hideMark/>
          </w:tcPr>
          <w:p w14:paraId="6DF60880"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12B118CE" w14:textId="77777777" w:rsidR="006C7FC1" w:rsidRPr="00FA18B7" w:rsidRDefault="006C7FC1" w:rsidP="008710E5">
            <w:pPr>
              <w:spacing w:before="20" w:after="20"/>
              <w:jc w:val="center"/>
              <w:rPr>
                <w:szCs w:val="22"/>
                <w:lang w:val="es-419"/>
              </w:rPr>
            </w:pPr>
            <w:r w:rsidRPr="00FA18B7">
              <w:rPr>
                <w:lang w:val="es-419"/>
              </w:rPr>
              <w:t>0</w:t>
            </w:r>
          </w:p>
        </w:tc>
        <w:tc>
          <w:tcPr>
            <w:tcW w:w="0" w:type="auto"/>
            <w:hideMark/>
          </w:tcPr>
          <w:p w14:paraId="2F114585" w14:textId="77777777" w:rsidR="006C7FC1" w:rsidRPr="00FA18B7" w:rsidRDefault="006C7FC1" w:rsidP="008710E5">
            <w:pPr>
              <w:spacing w:before="20" w:after="20"/>
              <w:jc w:val="center"/>
              <w:rPr>
                <w:szCs w:val="22"/>
                <w:lang w:val="es-419"/>
              </w:rPr>
            </w:pPr>
            <w:r w:rsidRPr="00FA18B7">
              <w:rPr>
                <w:lang w:val="es-419"/>
              </w:rPr>
              <w:t>3</w:t>
            </w:r>
          </w:p>
        </w:tc>
        <w:tc>
          <w:tcPr>
            <w:tcW w:w="0" w:type="auto"/>
            <w:hideMark/>
          </w:tcPr>
          <w:p w14:paraId="44A4B903"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3ACCD6AF" w14:textId="77777777" w:rsidTr="00F465D0">
        <w:tc>
          <w:tcPr>
            <w:tcW w:w="1838" w:type="dxa"/>
            <w:hideMark/>
          </w:tcPr>
          <w:p w14:paraId="706E222F" w14:textId="15D5DDD5" w:rsidR="006C7FC1" w:rsidRPr="00FA18B7" w:rsidRDefault="006C7FC1" w:rsidP="008710E5">
            <w:pPr>
              <w:spacing w:before="20" w:after="20"/>
              <w:jc w:val="center"/>
              <w:rPr>
                <w:b/>
                <w:bCs/>
                <w:szCs w:val="22"/>
                <w:lang w:val="es-419"/>
              </w:rPr>
            </w:pPr>
            <w:r w:rsidRPr="00FA18B7">
              <w:rPr>
                <w:b/>
                <w:lang w:val="es-419"/>
              </w:rPr>
              <w:t>ST.16</w:t>
            </w:r>
          </w:p>
        </w:tc>
        <w:tc>
          <w:tcPr>
            <w:tcW w:w="1134" w:type="dxa"/>
            <w:hideMark/>
          </w:tcPr>
          <w:p w14:paraId="4C225265" w14:textId="77777777" w:rsidR="006C7FC1" w:rsidRPr="00FA18B7" w:rsidRDefault="006C7FC1" w:rsidP="008710E5">
            <w:pPr>
              <w:spacing w:before="20" w:after="20"/>
              <w:jc w:val="center"/>
              <w:rPr>
                <w:szCs w:val="22"/>
                <w:lang w:val="es-419"/>
              </w:rPr>
            </w:pPr>
            <w:r w:rsidRPr="00FA18B7">
              <w:rPr>
                <w:lang w:val="es-419"/>
              </w:rPr>
              <w:t>23</w:t>
            </w:r>
          </w:p>
        </w:tc>
        <w:tc>
          <w:tcPr>
            <w:tcW w:w="1143" w:type="dxa"/>
            <w:hideMark/>
          </w:tcPr>
          <w:p w14:paraId="5BBFC721" w14:textId="77777777" w:rsidR="006C7FC1" w:rsidRPr="00FA18B7" w:rsidRDefault="006C7FC1" w:rsidP="008710E5">
            <w:pPr>
              <w:spacing w:before="20" w:after="20"/>
              <w:jc w:val="center"/>
              <w:rPr>
                <w:szCs w:val="22"/>
                <w:lang w:val="es-419"/>
              </w:rPr>
            </w:pPr>
            <w:r w:rsidRPr="00FA18B7">
              <w:rPr>
                <w:lang w:val="es-419"/>
              </w:rPr>
              <w:t>2</w:t>
            </w:r>
          </w:p>
        </w:tc>
        <w:tc>
          <w:tcPr>
            <w:tcW w:w="0" w:type="auto"/>
            <w:hideMark/>
          </w:tcPr>
          <w:p w14:paraId="6747200B" w14:textId="77777777" w:rsidR="006C7FC1" w:rsidRPr="00FA18B7" w:rsidRDefault="006C7FC1" w:rsidP="008710E5">
            <w:pPr>
              <w:spacing w:before="20" w:after="20"/>
              <w:jc w:val="center"/>
              <w:rPr>
                <w:szCs w:val="22"/>
                <w:lang w:val="es-419"/>
              </w:rPr>
            </w:pPr>
            <w:r w:rsidRPr="00FA18B7">
              <w:rPr>
                <w:lang w:val="es-419"/>
              </w:rPr>
              <w:t>0</w:t>
            </w:r>
          </w:p>
        </w:tc>
        <w:tc>
          <w:tcPr>
            <w:tcW w:w="0" w:type="auto"/>
            <w:hideMark/>
          </w:tcPr>
          <w:p w14:paraId="2EA524C8" w14:textId="77777777" w:rsidR="006C7FC1" w:rsidRPr="00FA18B7" w:rsidRDefault="006C7FC1" w:rsidP="008710E5">
            <w:pPr>
              <w:spacing w:before="20" w:after="20"/>
              <w:jc w:val="center"/>
              <w:rPr>
                <w:szCs w:val="22"/>
                <w:lang w:val="es-419"/>
              </w:rPr>
            </w:pPr>
            <w:r w:rsidRPr="00FA18B7">
              <w:rPr>
                <w:lang w:val="es-419"/>
              </w:rPr>
              <w:t>1</w:t>
            </w:r>
          </w:p>
        </w:tc>
        <w:tc>
          <w:tcPr>
            <w:tcW w:w="0" w:type="auto"/>
            <w:hideMark/>
          </w:tcPr>
          <w:p w14:paraId="1080DDE2"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11491170" w14:textId="77777777" w:rsidTr="00F465D0">
        <w:tc>
          <w:tcPr>
            <w:tcW w:w="1838" w:type="dxa"/>
            <w:hideMark/>
          </w:tcPr>
          <w:p w14:paraId="5F54B829" w14:textId="48ABDEDD" w:rsidR="006C7FC1" w:rsidRPr="00FA18B7" w:rsidRDefault="006C7FC1" w:rsidP="008710E5">
            <w:pPr>
              <w:spacing w:before="20" w:after="20"/>
              <w:jc w:val="center"/>
              <w:rPr>
                <w:b/>
                <w:bCs/>
                <w:szCs w:val="22"/>
                <w:lang w:val="es-419"/>
              </w:rPr>
            </w:pPr>
            <w:r w:rsidRPr="00FA18B7">
              <w:rPr>
                <w:b/>
                <w:lang w:val="es-419"/>
              </w:rPr>
              <w:t>ST.18</w:t>
            </w:r>
          </w:p>
        </w:tc>
        <w:tc>
          <w:tcPr>
            <w:tcW w:w="1134" w:type="dxa"/>
            <w:hideMark/>
          </w:tcPr>
          <w:p w14:paraId="5029ECC3" w14:textId="77777777" w:rsidR="006C7FC1" w:rsidRPr="00FA18B7" w:rsidRDefault="006C7FC1" w:rsidP="008710E5">
            <w:pPr>
              <w:spacing w:before="20" w:after="20"/>
              <w:jc w:val="center"/>
              <w:rPr>
                <w:szCs w:val="22"/>
                <w:lang w:val="es-419"/>
              </w:rPr>
            </w:pPr>
            <w:r w:rsidRPr="00FA18B7">
              <w:rPr>
                <w:lang w:val="es-419"/>
              </w:rPr>
              <w:t>19</w:t>
            </w:r>
          </w:p>
        </w:tc>
        <w:tc>
          <w:tcPr>
            <w:tcW w:w="1143" w:type="dxa"/>
            <w:hideMark/>
          </w:tcPr>
          <w:p w14:paraId="736CD5F2" w14:textId="77777777" w:rsidR="006C7FC1" w:rsidRPr="00FA18B7" w:rsidRDefault="006C7FC1" w:rsidP="008710E5">
            <w:pPr>
              <w:spacing w:before="20" w:after="20"/>
              <w:jc w:val="center"/>
              <w:rPr>
                <w:szCs w:val="22"/>
                <w:lang w:val="es-419"/>
              </w:rPr>
            </w:pPr>
            <w:r w:rsidRPr="00FA18B7">
              <w:rPr>
                <w:lang w:val="es-419"/>
              </w:rPr>
              <w:t>3</w:t>
            </w:r>
          </w:p>
        </w:tc>
        <w:tc>
          <w:tcPr>
            <w:tcW w:w="0" w:type="auto"/>
            <w:hideMark/>
          </w:tcPr>
          <w:p w14:paraId="31588E57" w14:textId="77777777" w:rsidR="006C7FC1" w:rsidRPr="00FA18B7" w:rsidRDefault="006C7FC1" w:rsidP="008710E5">
            <w:pPr>
              <w:spacing w:before="20" w:after="20"/>
              <w:jc w:val="center"/>
              <w:rPr>
                <w:szCs w:val="22"/>
                <w:lang w:val="es-419"/>
              </w:rPr>
            </w:pPr>
            <w:r w:rsidRPr="00FA18B7">
              <w:rPr>
                <w:lang w:val="es-419"/>
              </w:rPr>
              <w:t>0</w:t>
            </w:r>
          </w:p>
        </w:tc>
        <w:tc>
          <w:tcPr>
            <w:tcW w:w="0" w:type="auto"/>
            <w:hideMark/>
          </w:tcPr>
          <w:p w14:paraId="2D5968F6" w14:textId="77777777" w:rsidR="006C7FC1" w:rsidRPr="00FA18B7" w:rsidRDefault="006C7FC1" w:rsidP="008710E5">
            <w:pPr>
              <w:spacing w:before="20" w:after="20"/>
              <w:jc w:val="center"/>
              <w:rPr>
                <w:szCs w:val="22"/>
                <w:lang w:val="es-419"/>
              </w:rPr>
            </w:pPr>
            <w:r w:rsidRPr="00FA18B7">
              <w:rPr>
                <w:lang w:val="es-419"/>
              </w:rPr>
              <w:t>4</w:t>
            </w:r>
          </w:p>
        </w:tc>
        <w:tc>
          <w:tcPr>
            <w:tcW w:w="0" w:type="auto"/>
            <w:hideMark/>
          </w:tcPr>
          <w:p w14:paraId="5A1C7889"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516C98C0" w14:textId="77777777" w:rsidTr="00F465D0">
        <w:tc>
          <w:tcPr>
            <w:tcW w:w="1838" w:type="dxa"/>
            <w:hideMark/>
          </w:tcPr>
          <w:p w14:paraId="3B2EBE38" w14:textId="04919DC1" w:rsidR="006C7FC1" w:rsidRPr="00FA18B7" w:rsidRDefault="006C7FC1" w:rsidP="008710E5">
            <w:pPr>
              <w:spacing w:before="20" w:after="20"/>
              <w:jc w:val="center"/>
              <w:rPr>
                <w:b/>
                <w:bCs/>
                <w:szCs w:val="22"/>
                <w:lang w:val="es-419"/>
              </w:rPr>
            </w:pPr>
            <w:r w:rsidRPr="00FA18B7">
              <w:rPr>
                <w:b/>
                <w:lang w:val="es-419"/>
              </w:rPr>
              <w:t>ST.26</w:t>
            </w:r>
          </w:p>
        </w:tc>
        <w:tc>
          <w:tcPr>
            <w:tcW w:w="1134" w:type="dxa"/>
          </w:tcPr>
          <w:p w14:paraId="0B443D98" w14:textId="77777777" w:rsidR="006C7FC1" w:rsidRPr="00FA18B7" w:rsidRDefault="006C7FC1" w:rsidP="008710E5">
            <w:pPr>
              <w:spacing w:before="20" w:after="20"/>
              <w:jc w:val="center"/>
              <w:rPr>
                <w:szCs w:val="22"/>
                <w:lang w:val="es-419"/>
              </w:rPr>
            </w:pPr>
            <w:r w:rsidRPr="00FA18B7">
              <w:rPr>
                <w:lang w:val="es-419"/>
              </w:rPr>
              <w:t>24</w:t>
            </w:r>
          </w:p>
        </w:tc>
        <w:tc>
          <w:tcPr>
            <w:tcW w:w="1143" w:type="dxa"/>
          </w:tcPr>
          <w:p w14:paraId="53FB9C20" w14:textId="77777777" w:rsidR="006C7FC1" w:rsidRPr="00FA18B7" w:rsidRDefault="006C7FC1" w:rsidP="008710E5">
            <w:pPr>
              <w:spacing w:before="20" w:after="20"/>
              <w:jc w:val="center"/>
              <w:rPr>
                <w:szCs w:val="22"/>
                <w:lang w:val="es-419"/>
              </w:rPr>
            </w:pPr>
            <w:r w:rsidRPr="00FA18B7">
              <w:rPr>
                <w:lang w:val="es-419"/>
              </w:rPr>
              <w:t>0</w:t>
            </w:r>
          </w:p>
        </w:tc>
        <w:tc>
          <w:tcPr>
            <w:tcW w:w="0" w:type="auto"/>
          </w:tcPr>
          <w:p w14:paraId="76A16265" w14:textId="77777777" w:rsidR="006C7FC1" w:rsidRPr="00FA18B7" w:rsidRDefault="006C7FC1" w:rsidP="008710E5">
            <w:pPr>
              <w:spacing w:before="20" w:after="20"/>
              <w:jc w:val="center"/>
              <w:rPr>
                <w:szCs w:val="22"/>
                <w:lang w:val="es-419"/>
              </w:rPr>
            </w:pPr>
            <w:r w:rsidRPr="00FA18B7">
              <w:rPr>
                <w:lang w:val="es-419"/>
              </w:rPr>
              <w:t>2</w:t>
            </w:r>
          </w:p>
        </w:tc>
        <w:tc>
          <w:tcPr>
            <w:tcW w:w="0" w:type="auto"/>
          </w:tcPr>
          <w:p w14:paraId="2848B6AD" w14:textId="77777777" w:rsidR="006C7FC1" w:rsidRPr="00FA18B7" w:rsidRDefault="006C7FC1" w:rsidP="008710E5">
            <w:pPr>
              <w:spacing w:before="20" w:after="20"/>
              <w:jc w:val="center"/>
              <w:rPr>
                <w:szCs w:val="22"/>
                <w:lang w:val="es-419"/>
              </w:rPr>
            </w:pPr>
            <w:r w:rsidRPr="00FA18B7">
              <w:rPr>
                <w:lang w:val="es-419"/>
              </w:rPr>
              <w:t>2</w:t>
            </w:r>
          </w:p>
        </w:tc>
        <w:tc>
          <w:tcPr>
            <w:tcW w:w="0" w:type="auto"/>
          </w:tcPr>
          <w:p w14:paraId="0894D99A" w14:textId="77777777" w:rsidR="006C7FC1" w:rsidRPr="00FA18B7" w:rsidRDefault="006C7FC1" w:rsidP="008710E5">
            <w:pPr>
              <w:spacing w:before="20" w:after="20"/>
              <w:jc w:val="center"/>
              <w:rPr>
                <w:szCs w:val="22"/>
                <w:lang w:val="es-419"/>
              </w:rPr>
            </w:pPr>
            <w:r w:rsidRPr="00FA18B7">
              <w:rPr>
                <w:lang w:val="es-419"/>
              </w:rPr>
              <w:t>0</w:t>
            </w:r>
          </w:p>
        </w:tc>
      </w:tr>
      <w:tr w:rsidR="00F465D0" w:rsidRPr="00FA18B7" w14:paraId="30211CE8" w14:textId="77777777" w:rsidTr="00F465D0">
        <w:tc>
          <w:tcPr>
            <w:tcW w:w="1838" w:type="dxa"/>
            <w:hideMark/>
          </w:tcPr>
          <w:p w14:paraId="4E2CD33E" w14:textId="615DA3F1" w:rsidR="006C7FC1" w:rsidRPr="00FA18B7" w:rsidRDefault="006C7FC1" w:rsidP="008710E5">
            <w:pPr>
              <w:spacing w:before="20" w:after="20"/>
              <w:jc w:val="center"/>
              <w:rPr>
                <w:b/>
                <w:bCs/>
                <w:szCs w:val="22"/>
                <w:lang w:val="es-419"/>
              </w:rPr>
            </w:pPr>
            <w:r w:rsidRPr="00FA18B7">
              <w:rPr>
                <w:b/>
                <w:lang w:val="es-419"/>
              </w:rPr>
              <w:t>ST.27</w:t>
            </w:r>
          </w:p>
        </w:tc>
        <w:tc>
          <w:tcPr>
            <w:tcW w:w="1134" w:type="dxa"/>
          </w:tcPr>
          <w:p w14:paraId="28B0D508" w14:textId="77777777" w:rsidR="006C7FC1" w:rsidRPr="00FA18B7" w:rsidRDefault="006C7FC1" w:rsidP="008710E5">
            <w:pPr>
              <w:spacing w:before="20" w:after="20"/>
              <w:jc w:val="center"/>
              <w:rPr>
                <w:szCs w:val="22"/>
                <w:lang w:val="es-419"/>
              </w:rPr>
            </w:pPr>
            <w:r w:rsidRPr="00FA18B7">
              <w:rPr>
                <w:lang w:val="es-419"/>
              </w:rPr>
              <w:t>13</w:t>
            </w:r>
          </w:p>
        </w:tc>
        <w:tc>
          <w:tcPr>
            <w:tcW w:w="1143" w:type="dxa"/>
          </w:tcPr>
          <w:p w14:paraId="22E94FC7" w14:textId="77777777" w:rsidR="006C7FC1" w:rsidRPr="00FA18B7" w:rsidRDefault="006C7FC1" w:rsidP="008710E5">
            <w:pPr>
              <w:spacing w:before="20" w:after="20"/>
              <w:jc w:val="center"/>
              <w:rPr>
                <w:szCs w:val="22"/>
                <w:lang w:val="es-419"/>
              </w:rPr>
            </w:pPr>
            <w:r w:rsidRPr="00FA18B7">
              <w:rPr>
                <w:lang w:val="es-419"/>
              </w:rPr>
              <w:t>5</w:t>
            </w:r>
          </w:p>
        </w:tc>
        <w:tc>
          <w:tcPr>
            <w:tcW w:w="0" w:type="auto"/>
          </w:tcPr>
          <w:p w14:paraId="6BA63DC9" w14:textId="77777777" w:rsidR="006C7FC1" w:rsidRPr="00FA18B7" w:rsidRDefault="006C7FC1" w:rsidP="008710E5">
            <w:pPr>
              <w:spacing w:before="20" w:after="20"/>
              <w:jc w:val="center"/>
              <w:rPr>
                <w:szCs w:val="22"/>
                <w:lang w:val="es-419"/>
              </w:rPr>
            </w:pPr>
            <w:r w:rsidRPr="00FA18B7">
              <w:rPr>
                <w:lang w:val="es-419"/>
              </w:rPr>
              <w:t>3</w:t>
            </w:r>
          </w:p>
        </w:tc>
        <w:tc>
          <w:tcPr>
            <w:tcW w:w="0" w:type="auto"/>
          </w:tcPr>
          <w:p w14:paraId="639D4692" w14:textId="77777777" w:rsidR="006C7FC1" w:rsidRPr="00FA18B7" w:rsidRDefault="006C7FC1" w:rsidP="008710E5">
            <w:pPr>
              <w:spacing w:before="20" w:after="20"/>
              <w:jc w:val="center"/>
              <w:rPr>
                <w:szCs w:val="22"/>
                <w:lang w:val="es-419"/>
              </w:rPr>
            </w:pPr>
            <w:r w:rsidRPr="00FA18B7">
              <w:rPr>
                <w:lang w:val="es-419"/>
              </w:rPr>
              <w:t>5</w:t>
            </w:r>
          </w:p>
        </w:tc>
        <w:tc>
          <w:tcPr>
            <w:tcW w:w="0" w:type="auto"/>
          </w:tcPr>
          <w:p w14:paraId="23A9474D"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1FDE0FEB" w14:textId="77777777" w:rsidTr="00F465D0">
        <w:tc>
          <w:tcPr>
            <w:tcW w:w="1838" w:type="dxa"/>
            <w:hideMark/>
          </w:tcPr>
          <w:p w14:paraId="015EB226" w14:textId="6067428B" w:rsidR="006C7FC1" w:rsidRPr="00FA18B7" w:rsidRDefault="006C7FC1" w:rsidP="008710E5">
            <w:pPr>
              <w:spacing w:before="20" w:after="20"/>
              <w:jc w:val="center"/>
              <w:rPr>
                <w:b/>
                <w:bCs/>
                <w:szCs w:val="22"/>
                <w:lang w:val="es-419"/>
              </w:rPr>
            </w:pPr>
            <w:r w:rsidRPr="00FA18B7">
              <w:rPr>
                <w:b/>
                <w:lang w:val="es-419"/>
              </w:rPr>
              <w:t>ST.36</w:t>
            </w:r>
          </w:p>
        </w:tc>
        <w:tc>
          <w:tcPr>
            <w:tcW w:w="1134" w:type="dxa"/>
          </w:tcPr>
          <w:p w14:paraId="28E50252" w14:textId="77777777" w:rsidR="006C7FC1" w:rsidRPr="00FA18B7" w:rsidRDefault="006C7FC1" w:rsidP="008710E5">
            <w:pPr>
              <w:spacing w:before="20" w:after="20"/>
              <w:jc w:val="center"/>
              <w:rPr>
                <w:szCs w:val="22"/>
                <w:lang w:val="es-419"/>
              </w:rPr>
            </w:pPr>
            <w:r w:rsidRPr="00FA18B7">
              <w:rPr>
                <w:lang w:val="es-419"/>
              </w:rPr>
              <w:t>24</w:t>
            </w:r>
          </w:p>
        </w:tc>
        <w:tc>
          <w:tcPr>
            <w:tcW w:w="1143" w:type="dxa"/>
          </w:tcPr>
          <w:p w14:paraId="7496C533" w14:textId="77777777" w:rsidR="006C7FC1" w:rsidRPr="00FA18B7" w:rsidRDefault="006C7FC1" w:rsidP="008710E5">
            <w:pPr>
              <w:spacing w:before="20" w:after="20"/>
              <w:jc w:val="center"/>
              <w:rPr>
                <w:szCs w:val="22"/>
                <w:lang w:val="es-419"/>
              </w:rPr>
            </w:pPr>
            <w:r w:rsidRPr="00FA18B7">
              <w:rPr>
                <w:lang w:val="es-419"/>
              </w:rPr>
              <w:t>2</w:t>
            </w:r>
          </w:p>
        </w:tc>
        <w:tc>
          <w:tcPr>
            <w:tcW w:w="0" w:type="auto"/>
          </w:tcPr>
          <w:p w14:paraId="571830D2" w14:textId="77777777" w:rsidR="006C7FC1" w:rsidRPr="00FA18B7" w:rsidRDefault="006C7FC1" w:rsidP="008710E5">
            <w:pPr>
              <w:spacing w:before="20" w:after="20"/>
              <w:jc w:val="center"/>
              <w:rPr>
                <w:szCs w:val="22"/>
                <w:lang w:val="es-419"/>
              </w:rPr>
            </w:pPr>
            <w:r w:rsidRPr="00FA18B7">
              <w:rPr>
                <w:lang w:val="es-419"/>
              </w:rPr>
              <w:t>1</w:t>
            </w:r>
          </w:p>
        </w:tc>
        <w:tc>
          <w:tcPr>
            <w:tcW w:w="0" w:type="auto"/>
          </w:tcPr>
          <w:p w14:paraId="5615D11D" w14:textId="77777777" w:rsidR="006C7FC1" w:rsidRPr="00FA18B7" w:rsidRDefault="006C7FC1" w:rsidP="008710E5">
            <w:pPr>
              <w:spacing w:before="20" w:after="20"/>
              <w:jc w:val="center"/>
              <w:rPr>
                <w:szCs w:val="22"/>
                <w:lang w:val="es-419"/>
              </w:rPr>
            </w:pPr>
            <w:r w:rsidRPr="00FA18B7">
              <w:rPr>
                <w:lang w:val="es-419"/>
              </w:rPr>
              <w:t>1</w:t>
            </w:r>
          </w:p>
        </w:tc>
        <w:tc>
          <w:tcPr>
            <w:tcW w:w="0" w:type="auto"/>
          </w:tcPr>
          <w:p w14:paraId="1E0423CC" w14:textId="77777777" w:rsidR="006C7FC1" w:rsidRPr="00FA18B7" w:rsidRDefault="006C7FC1" w:rsidP="008710E5">
            <w:pPr>
              <w:spacing w:before="20" w:after="20"/>
              <w:jc w:val="center"/>
              <w:rPr>
                <w:szCs w:val="22"/>
                <w:lang w:val="es-419"/>
              </w:rPr>
            </w:pPr>
            <w:r w:rsidRPr="00FA18B7">
              <w:rPr>
                <w:lang w:val="es-419"/>
              </w:rPr>
              <w:t>0</w:t>
            </w:r>
          </w:p>
        </w:tc>
      </w:tr>
      <w:tr w:rsidR="00F465D0" w:rsidRPr="00FA18B7" w14:paraId="5D2ADFC3" w14:textId="77777777" w:rsidTr="00F465D0">
        <w:tc>
          <w:tcPr>
            <w:tcW w:w="1838" w:type="dxa"/>
            <w:hideMark/>
          </w:tcPr>
          <w:p w14:paraId="251576CD" w14:textId="7470C135" w:rsidR="006C7FC1" w:rsidRPr="00FA18B7" w:rsidRDefault="006C7FC1" w:rsidP="008710E5">
            <w:pPr>
              <w:spacing w:before="20" w:after="20"/>
              <w:jc w:val="center"/>
              <w:rPr>
                <w:b/>
                <w:bCs/>
                <w:szCs w:val="22"/>
                <w:lang w:val="es-419"/>
              </w:rPr>
            </w:pPr>
            <w:r w:rsidRPr="00FA18B7">
              <w:rPr>
                <w:b/>
                <w:lang w:val="es-419"/>
              </w:rPr>
              <w:t>ST.37</w:t>
            </w:r>
          </w:p>
        </w:tc>
        <w:tc>
          <w:tcPr>
            <w:tcW w:w="1134" w:type="dxa"/>
          </w:tcPr>
          <w:p w14:paraId="437B5470" w14:textId="77777777" w:rsidR="006C7FC1" w:rsidRPr="00FA18B7" w:rsidRDefault="006C7FC1" w:rsidP="008710E5">
            <w:pPr>
              <w:spacing w:before="20" w:after="20"/>
              <w:jc w:val="center"/>
              <w:rPr>
                <w:szCs w:val="22"/>
                <w:lang w:val="es-419"/>
              </w:rPr>
            </w:pPr>
            <w:r w:rsidRPr="00FA18B7">
              <w:rPr>
                <w:lang w:val="es-419"/>
              </w:rPr>
              <w:t>19</w:t>
            </w:r>
          </w:p>
        </w:tc>
        <w:tc>
          <w:tcPr>
            <w:tcW w:w="1143" w:type="dxa"/>
          </w:tcPr>
          <w:p w14:paraId="6D632ED7" w14:textId="77777777" w:rsidR="006C7FC1" w:rsidRPr="00FA18B7" w:rsidRDefault="006C7FC1" w:rsidP="008710E5">
            <w:pPr>
              <w:spacing w:before="20" w:after="20"/>
              <w:jc w:val="center"/>
              <w:rPr>
                <w:szCs w:val="22"/>
                <w:lang w:val="es-419"/>
              </w:rPr>
            </w:pPr>
            <w:r w:rsidRPr="00FA18B7">
              <w:rPr>
                <w:lang w:val="es-419"/>
              </w:rPr>
              <w:t>4</w:t>
            </w:r>
          </w:p>
        </w:tc>
        <w:tc>
          <w:tcPr>
            <w:tcW w:w="0" w:type="auto"/>
          </w:tcPr>
          <w:p w14:paraId="1108EC5D" w14:textId="77777777" w:rsidR="006C7FC1" w:rsidRPr="00FA18B7" w:rsidRDefault="006C7FC1" w:rsidP="008710E5">
            <w:pPr>
              <w:spacing w:before="20" w:after="20"/>
              <w:jc w:val="center"/>
              <w:rPr>
                <w:szCs w:val="22"/>
                <w:lang w:val="es-419"/>
              </w:rPr>
            </w:pPr>
            <w:r w:rsidRPr="00FA18B7">
              <w:rPr>
                <w:lang w:val="es-419"/>
              </w:rPr>
              <w:t>5</w:t>
            </w:r>
          </w:p>
        </w:tc>
        <w:tc>
          <w:tcPr>
            <w:tcW w:w="0" w:type="auto"/>
          </w:tcPr>
          <w:p w14:paraId="1E6061D0" w14:textId="77777777" w:rsidR="006C7FC1" w:rsidRPr="00FA18B7" w:rsidRDefault="006C7FC1" w:rsidP="008710E5">
            <w:pPr>
              <w:spacing w:before="20" w:after="20"/>
              <w:jc w:val="center"/>
              <w:rPr>
                <w:szCs w:val="22"/>
                <w:lang w:val="es-419"/>
              </w:rPr>
            </w:pPr>
            <w:r w:rsidRPr="00FA18B7">
              <w:rPr>
                <w:lang w:val="es-419"/>
              </w:rPr>
              <w:t>0</w:t>
            </w:r>
          </w:p>
        </w:tc>
        <w:tc>
          <w:tcPr>
            <w:tcW w:w="0" w:type="auto"/>
          </w:tcPr>
          <w:p w14:paraId="72951A9D" w14:textId="77777777" w:rsidR="006C7FC1" w:rsidRPr="00FA18B7" w:rsidRDefault="006C7FC1" w:rsidP="008710E5">
            <w:pPr>
              <w:spacing w:before="20" w:after="20"/>
              <w:jc w:val="center"/>
              <w:rPr>
                <w:szCs w:val="22"/>
                <w:lang w:val="es-419"/>
              </w:rPr>
            </w:pPr>
            <w:r w:rsidRPr="00FA18B7">
              <w:rPr>
                <w:lang w:val="es-419"/>
              </w:rPr>
              <w:t>0</w:t>
            </w:r>
          </w:p>
        </w:tc>
      </w:tr>
      <w:tr w:rsidR="00F465D0" w:rsidRPr="00FA18B7" w14:paraId="6F2388DB" w14:textId="77777777" w:rsidTr="00F465D0">
        <w:tc>
          <w:tcPr>
            <w:tcW w:w="1838" w:type="dxa"/>
            <w:hideMark/>
          </w:tcPr>
          <w:p w14:paraId="50D716E1" w14:textId="24B111FB" w:rsidR="006C7FC1" w:rsidRPr="00FA18B7" w:rsidRDefault="006C7FC1" w:rsidP="008710E5">
            <w:pPr>
              <w:spacing w:before="20" w:after="20"/>
              <w:jc w:val="center"/>
              <w:rPr>
                <w:b/>
                <w:bCs/>
                <w:szCs w:val="22"/>
                <w:lang w:val="es-419"/>
              </w:rPr>
            </w:pPr>
            <w:r w:rsidRPr="00FA18B7">
              <w:rPr>
                <w:b/>
                <w:lang w:val="es-419"/>
              </w:rPr>
              <w:t>ST.50</w:t>
            </w:r>
          </w:p>
        </w:tc>
        <w:tc>
          <w:tcPr>
            <w:tcW w:w="1134" w:type="dxa"/>
          </w:tcPr>
          <w:p w14:paraId="669583D0" w14:textId="77777777" w:rsidR="006C7FC1" w:rsidRPr="00FA18B7" w:rsidRDefault="006C7FC1" w:rsidP="008710E5">
            <w:pPr>
              <w:spacing w:before="20" w:after="20"/>
              <w:jc w:val="center"/>
              <w:rPr>
                <w:szCs w:val="22"/>
                <w:lang w:val="es-419"/>
              </w:rPr>
            </w:pPr>
            <w:r w:rsidRPr="00FA18B7">
              <w:rPr>
                <w:lang w:val="es-419"/>
              </w:rPr>
              <w:t>19</w:t>
            </w:r>
          </w:p>
        </w:tc>
        <w:tc>
          <w:tcPr>
            <w:tcW w:w="1143" w:type="dxa"/>
          </w:tcPr>
          <w:p w14:paraId="10EEA6BF" w14:textId="77777777" w:rsidR="006C7FC1" w:rsidRPr="00FA18B7" w:rsidRDefault="006C7FC1" w:rsidP="008710E5">
            <w:pPr>
              <w:spacing w:before="20" w:after="20"/>
              <w:jc w:val="center"/>
              <w:rPr>
                <w:szCs w:val="22"/>
                <w:lang w:val="es-419"/>
              </w:rPr>
            </w:pPr>
            <w:r w:rsidRPr="00FA18B7">
              <w:rPr>
                <w:lang w:val="es-419"/>
              </w:rPr>
              <w:t>2</w:t>
            </w:r>
          </w:p>
        </w:tc>
        <w:tc>
          <w:tcPr>
            <w:tcW w:w="0" w:type="auto"/>
          </w:tcPr>
          <w:p w14:paraId="2E7F9B3F" w14:textId="77777777" w:rsidR="006C7FC1" w:rsidRPr="00FA18B7" w:rsidRDefault="006C7FC1" w:rsidP="008710E5">
            <w:pPr>
              <w:spacing w:before="20" w:after="20"/>
              <w:jc w:val="center"/>
              <w:rPr>
                <w:szCs w:val="22"/>
                <w:lang w:val="es-419"/>
              </w:rPr>
            </w:pPr>
            <w:r w:rsidRPr="00FA18B7">
              <w:rPr>
                <w:lang w:val="es-419"/>
              </w:rPr>
              <w:t>0</w:t>
            </w:r>
          </w:p>
        </w:tc>
        <w:tc>
          <w:tcPr>
            <w:tcW w:w="0" w:type="auto"/>
          </w:tcPr>
          <w:p w14:paraId="707379A7" w14:textId="77777777" w:rsidR="006C7FC1" w:rsidRPr="00FA18B7" w:rsidRDefault="006C7FC1" w:rsidP="008710E5">
            <w:pPr>
              <w:spacing w:before="20" w:after="20"/>
              <w:jc w:val="center"/>
              <w:rPr>
                <w:szCs w:val="22"/>
                <w:lang w:val="es-419"/>
              </w:rPr>
            </w:pPr>
            <w:r w:rsidRPr="00FA18B7">
              <w:rPr>
                <w:lang w:val="es-419"/>
              </w:rPr>
              <w:t>4</w:t>
            </w:r>
          </w:p>
        </w:tc>
        <w:tc>
          <w:tcPr>
            <w:tcW w:w="0" w:type="auto"/>
          </w:tcPr>
          <w:p w14:paraId="190EFD99" w14:textId="77777777" w:rsidR="006C7FC1" w:rsidRPr="00FA18B7" w:rsidRDefault="006C7FC1" w:rsidP="008710E5">
            <w:pPr>
              <w:spacing w:before="20" w:after="20"/>
              <w:jc w:val="center"/>
              <w:rPr>
                <w:szCs w:val="22"/>
                <w:lang w:val="es-419"/>
              </w:rPr>
            </w:pPr>
            <w:r w:rsidRPr="00FA18B7">
              <w:rPr>
                <w:lang w:val="es-419"/>
              </w:rPr>
              <w:t>3</w:t>
            </w:r>
          </w:p>
        </w:tc>
      </w:tr>
      <w:tr w:rsidR="00F465D0" w:rsidRPr="00FA18B7" w14:paraId="3DC6D8AE" w14:textId="77777777" w:rsidTr="00F465D0">
        <w:tc>
          <w:tcPr>
            <w:tcW w:w="1838" w:type="dxa"/>
            <w:hideMark/>
          </w:tcPr>
          <w:p w14:paraId="41463531" w14:textId="380B8A40" w:rsidR="006C7FC1" w:rsidRPr="00FA18B7" w:rsidRDefault="006C7FC1" w:rsidP="008710E5">
            <w:pPr>
              <w:spacing w:before="20" w:after="20"/>
              <w:jc w:val="center"/>
              <w:rPr>
                <w:b/>
                <w:bCs/>
                <w:szCs w:val="22"/>
                <w:lang w:val="es-419"/>
              </w:rPr>
            </w:pPr>
            <w:r w:rsidRPr="00FA18B7">
              <w:rPr>
                <w:b/>
                <w:lang w:val="es-419"/>
              </w:rPr>
              <w:t>ST.90</w:t>
            </w:r>
          </w:p>
        </w:tc>
        <w:tc>
          <w:tcPr>
            <w:tcW w:w="1134" w:type="dxa"/>
          </w:tcPr>
          <w:p w14:paraId="3D73678D" w14:textId="77777777" w:rsidR="006C7FC1" w:rsidRPr="00FA18B7" w:rsidRDefault="006C7FC1" w:rsidP="008710E5">
            <w:pPr>
              <w:spacing w:before="20" w:after="20"/>
              <w:jc w:val="center"/>
              <w:rPr>
                <w:szCs w:val="22"/>
                <w:lang w:val="es-419"/>
              </w:rPr>
            </w:pPr>
            <w:r w:rsidRPr="00FA18B7">
              <w:rPr>
                <w:lang w:val="es-419"/>
              </w:rPr>
              <w:t>6</w:t>
            </w:r>
          </w:p>
        </w:tc>
        <w:tc>
          <w:tcPr>
            <w:tcW w:w="1143" w:type="dxa"/>
          </w:tcPr>
          <w:p w14:paraId="0F586265" w14:textId="77777777" w:rsidR="006C7FC1" w:rsidRPr="00FA18B7" w:rsidRDefault="006C7FC1" w:rsidP="008710E5">
            <w:pPr>
              <w:spacing w:before="20" w:after="20"/>
              <w:jc w:val="center"/>
              <w:rPr>
                <w:szCs w:val="22"/>
                <w:lang w:val="es-419"/>
              </w:rPr>
            </w:pPr>
            <w:r w:rsidRPr="00FA18B7">
              <w:rPr>
                <w:lang w:val="es-419"/>
              </w:rPr>
              <w:t>8</w:t>
            </w:r>
          </w:p>
        </w:tc>
        <w:tc>
          <w:tcPr>
            <w:tcW w:w="0" w:type="auto"/>
          </w:tcPr>
          <w:p w14:paraId="4CC36BD2" w14:textId="77777777" w:rsidR="006C7FC1" w:rsidRPr="00FA18B7" w:rsidRDefault="006C7FC1" w:rsidP="008710E5">
            <w:pPr>
              <w:spacing w:before="20" w:after="20"/>
              <w:jc w:val="center"/>
              <w:rPr>
                <w:szCs w:val="22"/>
                <w:lang w:val="es-419"/>
              </w:rPr>
            </w:pPr>
            <w:r w:rsidRPr="00FA18B7">
              <w:rPr>
                <w:lang w:val="es-419"/>
              </w:rPr>
              <w:t>1</w:t>
            </w:r>
          </w:p>
        </w:tc>
        <w:tc>
          <w:tcPr>
            <w:tcW w:w="0" w:type="auto"/>
          </w:tcPr>
          <w:p w14:paraId="000C3ACC" w14:textId="77777777" w:rsidR="006C7FC1" w:rsidRPr="00FA18B7" w:rsidRDefault="006C7FC1" w:rsidP="008710E5">
            <w:pPr>
              <w:spacing w:before="20" w:after="20"/>
              <w:jc w:val="center"/>
              <w:rPr>
                <w:szCs w:val="22"/>
                <w:lang w:val="es-419"/>
              </w:rPr>
            </w:pPr>
            <w:r w:rsidRPr="00FA18B7">
              <w:rPr>
                <w:lang w:val="es-419"/>
              </w:rPr>
              <w:t>10</w:t>
            </w:r>
          </w:p>
        </w:tc>
        <w:tc>
          <w:tcPr>
            <w:tcW w:w="0" w:type="auto"/>
          </w:tcPr>
          <w:p w14:paraId="70385FF9" w14:textId="77777777" w:rsidR="006C7FC1" w:rsidRPr="00FA18B7" w:rsidRDefault="006C7FC1" w:rsidP="008710E5">
            <w:pPr>
              <w:spacing w:before="20" w:after="20"/>
              <w:jc w:val="center"/>
              <w:rPr>
                <w:szCs w:val="22"/>
                <w:lang w:val="es-419"/>
              </w:rPr>
            </w:pPr>
            <w:r w:rsidRPr="00FA18B7">
              <w:rPr>
                <w:lang w:val="es-419"/>
              </w:rPr>
              <w:t>3</w:t>
            </w:r>
          </w:p>
        </w:tc>
      </w:tr>
      <w:tr w:rsidR="00F465D0" w:rsidRPr="00FA18B7" w14:paraId="48150F89" w14:textId="77777777" w:rsidTr="00F465D0">
        <w:tc>
          <w:tcPr>
            <w:tcW w:w="1838" w:type="dxa"/>
            <w:hideMark/>
          </w:tcPr>
          <w:p w14:paraId="10737131" w14:textId="2DC37857" w:rsidR="006C7FC1" w:rsidRPr="00FA18B7" w:rsidRDefault="006C7FC1" w:rsidP="008710E5">
            <w:pPr>
              <w:spacing w:before="20" w:after="20"/>
              <w:jc w:val="center"/>
              <w:rPr>
                <w:b/>
                <w:bCs/>
                <w:szCs w:val="22"/>
                <w:lang w:val="es-419"/>
              </w:rPr>
            </w:pPr>
            <w:r w:rsidRPr="00FA18B7">
              <w:rPr>
                <w:b/>
                <w:lang w:val="es-419"/>
              </w:rPr>
              <w:t>ST.91</w:t>
            </w:r>
          </w:p>
        </w:tc>
        <w:tc>
          <w:tcPr>
            <w:tcW w:w="1134" w:type="dxa"/>
          </w:tcPr>
          <w:p w14:paraId="37CA2072" w14:textId="77777777" w:rsidR="006C7FC1" w:rsidRPr="00FA18B7" w:rsidRDefault="006C7FC1" w:rsidP="008710E5">
            <w:pPr>
              <w:spacing w:before="20" w:after="20"/>
              <w:jc w:val="center"/>
              <w:rPr>
                <w:szCs w:val="22"/>
                <w:lang w:val="es-419"/>
              </w:rPr>
            </w:pPr>
            <w:r w:rsidRPr="00FA18B7">
              <w:rPr>
                <w:lang w:val="es-419"/>
              </w:rPr>
              <w:t>5</w:t>
            </w:r>
          </w:p>
        </w:tc>
        <w:tc>
          <w:tcPr>
            <w:tcW w:w="1143" w:type="dxa"/>
          </w:tcPr>
          <w:p w14:paraId="604B7F5E" w14:textId="77777777" w:rsidR="006C7FC1" w:rsidRPr="00FA18B7" w:rsidRDefault="006C7FC1" w:rsidP="008710E5">
            <w:pPr>
              <w:spacing w:before="20" w:after="20"/>
              <w:jc w:val="center"/>
              <w:rPr>
                <w:szCs w:val="22"/>
                <w:lang w:val="es-419"/>
              </w:rPr>
            </w:pPr>
            <w:r w:rsidRPr="00FA18B7">
              <w:rPr>
                <w:lang w:val="es-419"/>
              </w:rPr>
              <w:t>6</w:t>
            </w:r>
          </w:p>
        </w:tc>
        <w:tc>
          <w:tcPr>
            <w:tcW w:w="0" w:type="auto"/>
          </w:tcPr>
          <w:p w14:paraId="4B621DB4" w14:textId="77777777" w:rsidR="006C7FC1" w:rsidRPr="00FA18B7" w:rsidRDefault="006C7FC1" w:rsidP="008710E5">
            <w:pPr>
              <w:spacing w:before="20" w:after="20"/>
              <w:jc w:val="center"/>
              <w:rPr>
                <w:szCs w:val="22"/>
                <w:lang w:val="es-419"/>
              </w:rPr>
            </w:pPr>
            <w:r w:rsidRPr="00FA18B7">
              <w:rPr>
                <w:lang w:val="es-419"/>
              </w:rPr>
              <w:t>2</w:t>
            </w:r>
          </w:p>
        </w:tc>
        <w:tc>
          <w:tcPr>
            <w:tcW w:w="0" w:type="auto"/>
          </w:tcPr>
          <w:p w14:paraId="0E1A5317" w14:textId="77777777" w:rsidR="006C7FC1" w:rsidRPr="00FA18B7" w:rsidRDefault="006C7FC1" w:rsidP="008710E5">
            <w:pPr>
              <w:spacing w:before="20" w:after="20"/>
              <w:jc w:val="center"/>
              <w:rPr>
                <w:szCs w:val="22"/>
                <w:lang w:val="es-419"/>
              </w:rPr>
            </w:pPr>
            <w:r w:rsidRPr="00FA18B7">
              <w:rPr>
                <w:lang w:val="es-419"/>
              </w:rPr>
              <w:t>13</w:t>
            </w:r>
          </w:p>
        </w:tc>
        <w:tc>
          <w:tcPr>
            <w:tcW w:w="0" w:type="auto"/>
          </w:tcPr>
          <w:p w14:paraId="22F264E3" w14:textId="77777777" w:rsidR="006C7FC1" w:rsidRPr="00FA18B7" w:rsidRDefault="006C7FC1" w:rsidP="008710E5">
            <w:pPr>
              <w:spacing w:before="20" w:after="20"/>
              <w:jc w:val="center"/>
              <w:rPr>
                <w:szCs w:val="22"/>
                <w:lang w:val="es-419"/>
              </w:rPr>
            </w:pPr>
            <w:r w:rsidRPr="00FA18B7">
              <w:rPr>
                <w:lang w:val="es-419"/>
              </w:rPr>
              <w:t>2</w:t>
            </w:r>
          </w:p>
        </w:tc>
      </w:tr>
      <w:tr w:rsidR="00F465D0" w:rsidRPr="00FA18B7" w14:paraId="6D6ACADA" w14:textId="77777777" w:rsidTr="00F465D0">
        <w:tc>
          <w:tcPr>
            <w:tcW w:w="1838" w:type="dxa"/>
            <w:hideMark/>
          </w:tcPr>
          <w:p w14:paraId="6B01E803" w14:textId="3EEC7932" w:rsidR="006C7FC1" w:rsidRPr="00FA18B7" w:rsidRDefault="006C7FC1" w:rsidP="008710E5">
            <w:pPr>
              <w:spacing w:before="20" w:after="20"/>
              <w:jc w:val="center"/>
              <w:rPr>
                <w:b/>
                <w:bCs/>
                <w:szCs w:val="22"/>
                <w:lang w:val="es-419"/>
              </w:rPr>
            </w:pPr>
            <w:r w:rsidRPr="00FA18B7">
              <w:rPr>
                <w:b/>
                <w:lang w:val="es-419"/>
              </w:rPr>
              <w:t>ST.92</w:t>
            </w:r>
          </w:p>
        </w:tc>
        <w:tc>
          <w:tcPr>
            <w:tcW w:w="1134" w:type="dxa"/>
          </w:tcPr>
          <w:p w14:paraId="432EB4D9" w14:textId="77777777" w:rsidR="006C7FC1" w:rsidRPr="00FA18B7" w:rsidRDefault="006C7FC1" w:rsidP="008710E5">
            <w:pPr>
              <w:spacing w:before="20" w:after="20"/>
              <w:jc w:val="center"/>
              <w:rPr>
                <w:szCs w:val="22"/>
                <w:lang w:val="es-419"/>
              </w:rPr>
            </w:pPr>
            <w:r w:rsidRPr="00FA18B7">
              <w:rPr>
                <w:lang w:val="es-419"/>
              </w:rPr>
              <w:t>3</w:t>
            </w:r>
          </w:p>
        </w:tc>
        <w:tc>
          <w:tcPr>
            <w:tcW w:w="1143" w:type="dxa"/>
          </w:tcPr>
          <w:p w14:paraId="71DCC91D" w14:textId="77777777" w:rsidR="006C7FC1" w:rsidRPr="00FA18B7" w:rsidRDefault="006C7FC1" w:rsidP="008710E5">
            <w:pPr>
              <w:spacing w:before="20" w:after="20"/>
              <w:jc w:val="center"/>
              <w:rPr>
                <w:szCs w:val="22"/>
                <w:lang w:val="es-419"/>
              </w:rPr>
            </w:pPr>
            <w:r w:rsidRPr="00FA18B7">
              <w:rPr>
                <w:lang w:val="es-419"/>
              </w:rPr>
              <w:t>16</w:t>
            </w:r>
          </w:p>
        </w:tc>
        <w:tc>
          <w:tcPr>
            <w:tcW w:w="0" w:type="auto"/>
          </w:tcPr>
          <w:p w14:paraId="3E1C4709" w14:textId="77777777" w:rsidR="006C7FC1" w:rsidRPr="00FA18B7" w:rsidRDefault="006C7FC1" w:rsidP="008710E5">
            <w:pPr>
              <w:spacing w:before="20" w:after="20"/>
              <w:jc w:val="center"/>
              <w:rPr>
                <w:szCs w:val="22"/>
                <w:lang w:val="es-419"/>
              </w:rPr>
            </w:pPr>
            <w:r w:rsidRPr="00FA18B7">
              <w:rPr>
                <w:lang w:val="es-419"/>
              </w:rPr>
              <w:t>3</w:t>
            </w:r>
          </w:p>
        </w:tc>
        <w:tc>
          <w:tcPr>
            <w:tcW w:w="0" w:type="auto"/>
          </w:tcPr>
          <w:p w14:paraId="5DDDF484" w14:textId="77777777" w:rsidR="006C7FC1" w:rsidRPr="00FA18B7" w:rsidRDefault="006C7FC1" w:rsidP="008710E5">
            <w:pPr>
              <w:spacing w:before="20" w:after="20"/>
              <w:jc w:val="center"/>
              <w:rPr>
                <w:szCs w:val="22"/>
                <w:lang w:val="es-419"/>
              </w:rPr>
            </w:pPr>
            <w:r w:rsidRPr="00FA18B7">
              <w:rPr>
                <w:lang w:val="es-419"/>
              </w:rPr>
              <w:t>5</w:t>
            </w:r>
          </w:p>
        </w:tc>
        <w:tc>
          <w:tcPr>
            <w:tcW w:w="0" w:type="auto"/>
          </w:tcPr>
          <w:p w14:paraId="26FA5A66" w14:textId="77777777" w:rsidR="006C7FC1" w:rsidRPr="00FA18B7" w:rsidRDefault="006C7FC1" w:rsidP="008710E5">
            <w:pPr>
              <w:spacing w:before="20" w:after="20"/>
              <w:jc w:val="center"/>
              <w:rPr>
                <w:szCs w:val="22"/>
                <w:lang w:val="es-419"/>
              </w:rPr>
            </w:pPr>
            <w:r w:rsidRPr="00FA18B7">
              <w:rPr>
                <w:lang w:val="es-419"/>
              </w:rPr>
              <w:t>1</w:t>
            </w:r>
          </w:p>
        </w:tc>
      </w:tr>
      <w:tr w:rsidR="00F465D0" w:rsidRPr="00FA18B7" w14:paraId="20B1CB7F" w14:textId="77777777" w:rsidTr="00F465D0">
        <w:tc>
          <w:tcPr>
            <w:tcW w:w="1838" w:type="dxa"/>
            <w:hideMark/>
          </w:tcPr>
          <w:p w14:paraId="34F4F832" w14:textId="10F259F8" w:rsidR="006C7FC1" w:rsidRPr="00FA18B7" w:rsidRDefault="006C7FC1" w:rsidP="008710E5">
            <w:pPr>
              <w:spacing w:before="20" w:after="20"/>
              <w:jc w:val="center"/>
              <w:rPr>
                <w:b/>
                <w:bCs/>
                <w:szCs w:val="22"/>
                <w:lang w:val="es-419"/>
              </w:rPr>
            </w:pPr>
            <w:r w:rsidRPr="00FA18B7">
              <w:rPr>
                <w:b/>
                <w:lang w:val="es-419"/>
              </w:rPr>
              <w:t>ST.96</w:t>
            </w:r>
          </w:p>
        </w:tc>
        <w:tc>
          <w:tcPr>
            <w:tcW w:w="1134" w:type="dxa"/>
          </w:tcPr>
          <w:p w14:paraId="34E25854" w14:textId="77777777" w:rsidR="006C7FC1" w:rsidRPr="00FA18B7" w:rsidRDefault="006C7FC1" w:rsidP="008710E5">
            <w:pPr>
              <w:spacing w:before="20" w:after="20"/>
              <w:jc w:val="center"/>
              <w:rPr>
                <w:szCs w:val="22"/>
                <w:lang w:val="es-419"/>
              </w:rPr>
            </w:pPr>
            <w:r w:rsidRPr="00FA18B7">
              <w:rPr>
                <w:lang w:val="es-419"/>
              </w:rPr>
              <w:t>10</w:t>
            </w:r>
          </w:p>
        </w:tc>
        <w:tc>
          <w:tcPr>
            <w:tcW w:w="1143" w:type="dxa"/>
          </w:tcPr>
          <w:p w14:paraId="6A6350E6" w14:textId="77777777" w:rsidR="006C7FC1" w:rsidRPr="00FA18B7" w:rsidRDefault="006C7FC1" w:rsidP="008710E5">
            <w:pPr>
              <w:spacing w:before="20" w:after="20"/>
              <w:jc w:val="center"/>
              <w:rPr>
                <w:szCs w:val="22"/>
                <w:lang w:val="es-419"/>
              </w:rPr>
            </w:pPr>
            <w:r w:rsidRPr="00FA18B7">
              <w:rPr>
                <w:lang w:val="es-419"/>
              </w:rPr>
              <w:t>5</w:t>
            </w:r>
          </w:p>
        </w:tc>
        <w:tc>
          <w:tcPr>
            <w:tcW w:w="0" w:type="auto"/>
          </w:tcPr>
          <w:p w14:paraId="7F238535" w14:textId="77777777" w:rsidR="006C7FC1" w:rsidRPr="00FA18B7" w:rsidRDefault="006C7FC1" w:rsidP="008710E5">
            <w:pPr>
              <w:spacing w:before="20" w:after="20"/>
              <w:jc w:val="center"/>
              <w:rPr>
                <w:szCs w:val="22"/>
                <w:lang w:val="es-419"/>
              </w:rPr>
            </w:pPr>
            <w:r w:rsidRPr="00FA18B7">
              <w:rPr>
                <w:lang w:val="es-419"/>
              </w:rPr>
              <w:t>2</w:t>
            </w:r>
          </w:p>
        </w:tc>
        <w:tc>
          <w:tcPr>
            <w:tcW w:w="0" w:type="auto"/>
          </w:tcPr>
          <w:p w14:paraId="10BA338C" w14:textId="77777777" w:rsidR="006C7FC1" w:rsidRPr="00FA18B7" w:rsidRDefault="006C7FC1" w:rsidP="008710E5">
            <w:pPr>
              <w:spacing w:before="20" w:after="20"/>
              <w:jc w:val="center"/>
              <w:rPr>
                <w:szCs w:val="22"/>
                <w:lang w:val="es-419"/>
              </w:rPr>
            </w:pPr>
            <w:r w:rsidRPr="00FA18B7">
              <w:rPr>
                <w:lang w:val="es-419"/>
              </w:rPr>
              <w:t>8</w:t>
            </w:r>
          </w:p>
        </w:tc>
        <w:tc>
          <w:tcPr>
            <w:tcW w:w="0" w:type="auto"/>
          </w:tcPr>
          <w:p w14:paraId="52584DE9" w14:textId="77777777" w:rsidR="006C7FC1" w:rsidRPr="00FA18B7" w:rsidRDefault="006C7FC1" w:rsidP="008710E5">
            <w:pPr>
              <w:spacing w:before="20" w:after="20"/>
              <w:jc w:val="center"/>
              <w:rPr>
                <w:szCs w:val="22"/>
                <w:lang w:val="es-419"/>
              </w:rPr>
            </w:pPr>
            <w:r w:rsidRPr="00FA18B7">
              <w:rPr>
                <w:lang w:val="es-419"/>
              </w:rPr>
              <w:t>3</w:t>
            </w:r>
          </w:p>
        </w:tc>
      </w:tr>
    </w:tbl>
    <w:p w14:paraId="5FD89788" w14:textId="77777777" w:rsidR="006C7FC1" w:rsidRPr="00FA18B7" w:rsidRDefault="006C7FC1" w:rsidP="006C7FC1">
      <w:pPr>
        <w:spacing w:after="120" w:line="259" w:lineRule="auto"/>
        <w:rPr>
          <w:lang w:val="es-419"/>
        </w:rPr>
      </w:pPr>
    </w:p>
    <w:p w14:paraId="133A38CA" w14:textId="36923F45" w:rsidR="006C7FC1" w:rsidRPr="00FA18B7" w:rsidRDefault="006C7FC1" w:rsidP="006C7FC1">
      <w:pPr>
        <w:spacing w:after="220" w:line="259" w:lineRule="auto"/>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el cuadro siguiente se resume el estado de aplicación de diversas normas técnicas de la OMPI relacionadas con las marcas entre las oficinas de PI que presentaron sus informes técnicos anuales</w:t>
      </w:r>
      <w:r w:rsidR="00516F8F" w:rsidRPr="00FA18B7">
        <w:rPr>
          <w:lang w:val="es-419"/>
        </w:rPr>
        <w:t xml:space="preserve">. </w:t>
      </w:r>
      <w:r w:rsidRPr="00FA18B7">
        <w:rPr>
          <w:lang w:val="es-419"/>
        </w:rPr>
        <w:t>El estado de aplicación de las diversas normas técnicas de la OMPI entre las</w:t>
      </w:r>
      <w:r w:rsidR="004D65A5" w:rsidRPr="00FA18B7">
        <w:rPr>
          <w:lang w:val="es-419"/>
        </w:rPr>
        <w:t> </w:t>
      </w:r>
      <w:r w:rsidRPr="00FA18B7">
        <w:rPr>
          <w:lang w:val="es-419"/>
        </w:rPr>
        <w:t>30 oficinas de PI que presentaron informes técnicos anuales respecto de las marcas demuestra que los niveles de adopción varían</w:t>
      </w:r>
      <w:r w:rsidR="00516F8F" w:rsidRPr="00FA18B7">
        <w:rPr>
          <w:lang w:val="es-419"/>
        </w:rPr>
        <w:t xml:space="preserve">. </w:t>
      </w:r>
      <w:r w:rsidRPr="00FA18B7">
        <w:rPr>
          <w:lang w:val="es-419"/>
        </w:rPr>
        <w:t>La norma ST.3 de la OMPI está a la cabeza, pues 26 Oficinas la aplican y solo una Oficina no tiene previsto hacerlo</w:t>
      </w:r>
      <w:r w:rsidR="00516F8F" w:rsidRPr="00FA18B7">
        <w:rPr>
          <w:lang w:val="es-419"/>
        </w:rPr>
        <w:t xml:space="preserve">. </w:t>
      </w:r>
      <w:r w:rsidRPr="00FA18B7">
        <w:rPr>
          <w:lang w:val="es-419"/>
        </w:rPr>
        <w:t>Por el contrario, en el caso de las normas ST.13, ST.90 y ST.91, se observan índices de aplicación más bajos, y muchas Oficinas prevén aplicarlas o se encuentran actualmente en fase de aplicación</w:t>
      </w:r>
      <w:r w:rsidR="00516F8F" w:rsidRPr="00FA18B7">
        <w:rPr>
          <w:lang w:val="es-419"/>
        </w:rPr>
        <w:t xml:space="preserve">. </w:t>
      </w:r>
      <w:r w:rsidRPr="00FA18B7">
        <w:rPr>
          <w:lang w:val="es-419"/>
        </w:rPr>
        <w:t>En cuanto a la aplicación de varias normas de la OMPI, entre ellas la norma ST.61 y la ST.96, se observa una mezcla de estados, y un número considerable de Oficinas está todavía en la fase de aplicación</w:t>
      </w:r>
      <w:r w:rsidR="00516F8F" w:rsidRPr="00FA18B7">
        <w:rPr>
          <w:lang w:val="es-419"/>
        </w:rPr>
        <w:t xml:space="preserve">. </w:t>
      </w:r>
      <w:r w:rsidRPr="00FA18B7">
        <w:rPr>
          <w:lang w:val="es-419"/>
        </w:rPr>
        <w:t>Además, varias Oficinas no facilitaron información sobre algunas normas, lo que podría influir en la evaluación general.</w:t>
      </w:r>
    </w:p>
    <w:tbl>
      <w:tblPr>
        <w:tblStyle w:val="TableGrid"/>
        <w:tblW w:w="9370" w:type="dxa"/>
        <w:tblLayout w:type="fixed"/>
        <w:tblLook w:val="04A0" w:firstRow="1" w:lastRow="0" w:firstColumn="1" w:lastColumn="0" w:noHBand="0" w:noVBand="1"/>
      </w:tblPr>
      <w:tblGrid>
        <w:gridCol w:w="1980"/>
        <w:gridCol w:w="1213"/>
        <w:gridCol w:w="1622"/>
        <w:gridCol w:w="1655"/>
        <w:gridCol w:w="1180"/>
        <w:gridCol w:w="1720"/>
      </w:tblGrid>
      <w:tr w:rsidR="006C7FC1" w:rsidRPr="00FA18B7" w14:paraId="3C4EB6FF" w14:textId="77777777" w:rsidTr="00E66A7A">
        <w:trPr>
          <w:trHeight w:val="764"/>
        </w:trPr>
        <w:tc>
          <w:tcPr>
            <w:tcW w:w="1980" w:type="dxa"/>
            <w:hideMark/>
          </w:tcPr>
          <w:p w14:paraId="3BA164F1" w14:textId="77777777" w:rsidR="006C7FC1" w:rsidRPr="00FA18B7" w:rsidRDefault="006C7FC1" w:rsidP="008710E5">
            <w:pPr>
              <w:spacing w:before="20" w:after="20"/>
              <w:jc w:val="center"/>
              <w:rPr>
                <w:b/>
                <w:bCs/>
                <w:szCs w:val="22"/>
                <w:lang w:val="es-419"/>
              </w:rPr>
            </w:pPr>
            <w:r w:rsidRPr="00FA18B7">
              <w:rPr>
                <w:b/>
                <w:lang w:val="es-419"/>
              </w:rPr>
              <w:t>Norma técnica de la OMPI</w:t>
            </w:r>
          </w:p>
        </w:tc>
        <w:tc>
          <w:tcPr>
            <w:tcW w:w="1213" w:type="dxa"/>
            <w:hideMark/>
          </w:tcPr>
          <w:p w14:paraId="39AA36EF" w14:textId="77777777" w:rsidR="006C7FC1" w:rsidRPr="00FA18B7" w:rsidRDefault="006C7FC1" w:rsidP="008710E5">
            <w:pPr>
              <w:spacing w:before="20" w:after="20"/>
              <w:jc w:val="center"/>
              <w:rPr>
                <w:b/>
                <w:bCs/>
                <w:szCs w:val="22"/>
                <w:lang w:val="es-419"/>
              </w:rPr>
            </w:pPr>
            <w:r w:rsidRPr="00FA18B7">
              <w:rPr>
                <w:b/>
                <w:lang w:val="es-419"/>
              </w:rPr>
              <w:t>Aplicada</w:t>
            </w:r>
          </w:p>
        </w:tc>
        <w:tc>
          <w:tcPr>
            <w:tcW w:w="1622" w:type="dxa"/>
            <w:hideMark/>
          </w:tcPr>
          <w:p w14:paraId="520A504E" w14:textId="77777777" w:rsidR="006C7FC1" w:rsidRPr="00FA18B7" w:rsidRDefault="006C7FC1" w:rsidP="008710E5">
            <w:pPr>
              <w:spacing w:before="20" w:after="20"/>
              <w:jc w:val="center"/>
              <w:rPr>
                <w:b/>
                <w:bCs/>
                <w:szCs w:val="22"/>
                <w:lang w:val="es-419"/>
              </w:rPr>
            </w:pPr>
            <w:r w:rsidRPr="00FA18B7">
              <w:rPr>
                <w:b/>
                <w:lang w:val="es-419"/>
              </w:rPr>
              <w:t>No se prevé aplicarla</w:t>
            </w:r>
          </w:p>
        </w:tc>
        <w:tc>
          <w:tcPr>
            <w:tcW w:w="1655" w:type="dxa"/>
            <w:hideMark/>
          </w:tcPr>
          <w:p w14:paraId="70B7A63C" w14:textId="77777777" w:rsidR="006C7FC1" w:rsidRPr="00FA18B7" w:rsidRDefault="006C7FC1" w:rsidP="008710E5">
            <w:pPr>
              <w:spacing w:before="20" w:after="20"/>
              <w:jc w:val="center"/>
              <w:rPr>
                <w:b/>
                <w:bCs/>
                <w:szCs w:val="22"/>
                <w:lang w:val="es-419"/>
              </w:rPr>
            </w:pPr>
            <w:r w:rsidRPr="00FA18B7">
              <w:rPr>
                <w:b/>
                <w:lang w:val="es-419"/>
              </w:rPr>
              <w:t>En fase de aplicación</w:t>
            </w:r>
          </w:p>
        </w:tc>
        <w:tc>
          <w:tcPr>
            <w:tcW w:w="1180" w:type="dxa"/>
            <w:hideMark/>
          </w:tcPr>
          <w:p w14:paraId="50714D33" w14:textId="77777777" w:rsidR="006C7FC1" w:rsidRPr="00FA18B7" w:rsidRDefault="006C7FC1" w:rsidP="008710E5">
            <w:pPr>
              <w:spacing w:before="20" w:after="20"/>
              <w:jc w:val="center"/>
              <w:rPr>
                <w:b/>
                <w:bCs/>
                <w:szCs w:val="22"/>
                <w:lang w:val="es-419"/>
              </w:rPr>
            </w:pPr>
            <w:r w:rsidRPr="00FA18B7">
              <w:rPr>
                <w:b/>
                <w:lang w:val="es-419"/>
              </w:rPr>
              <w:t>Se prevé aplicarla</w:t>
            </w:r>
          </w:p>
        </w:tc>
        <w:tc>
          <w:tcPr>
            <w:tcW w:w="1720" w:type="dxa"/>
            <w:hideMark/>
          </w:tcPr>
          <w:p w14:paraId="25AB6BAE" w14:textId="77777777" w:rsidR="006C7FC1" w:rsidRPr="00FA18B7" w:rsidRDefault="006C7FC1" w:rsidP="008710E5">
            <w:pPr>
              <w:spacing w:before="20" w:after="20"/>
              <w:jc w:val="center"/>
              <w:rPr>
                <w:b/>
                <w:bCs/>
                <w:szCs w:val="22"/>
                <w:lang w:val="es-419"/>
              </w:rPr>
            </w:pPr>
            <w:r w:rsidRPr="00FA18B7">
              <w:rPr>
                <w:b/>
                <w:lang w:val="es-419"/>
              </w:rPr>
              <w:t>No se proporcionó información</w:t>
            </w:r>
          </w:p>
        </w:tc>
      </w:tr>
      <w:tr w:rsidR="006C7FC1" w:rsidRPr="00FA18B7" w14:paraId="54AA1E14" w14:textId="77777777" w:rsidTr="00E66A7A">
        <w:trPr>
          <w:trHeight w:val="315"/>
        </w:trPr>
        <w:tc>
          <w:tcPr>
            <w:tcW w:w="1980" w:type="dxa"/>
            <w:hideMark/>
          </w:tcPr>
          <w:p w14:paraId="32CF24BC" w14:textId="738DB0A5" w:rsidR="006C7FC1" w:rsidRPr="00FA18B7" w:rsidRDefault="006C7FC1" w:rsidP="008710E5">
            <w:pPr>
              <w:spacing w:before="20" w:after="20"/>
              <w:jc w:val="center"/>
              <w:rPr>
                <w:b/>
                <w:bCs/>
                <w:szCs w:val="22"/>
                <w:lang w:val="es-419"/>
              </w:rPr>
            </w:pPr>
            <w:r w:rsidRPr="00FA18B7">
              <w:rPr>
                <w:b/>
                <w:lang w:val="es-419"/>
              </w:rPr>
              <w:t>ST.3</w:t>
            </w:r>
          </w:p>
        </w:tc>
        <w:tc>
          <w:tcPr>
            <w:tcW w:w="1213" w:type="dxa"/>
          </w:tcPr>
          <w:p w14:paraId="4FC120CE" w14:textId="77777777" w:rsidR="006C7FC1" w:rsidRPr="00FA18B7" w:rsidRDefault="006C7FC1" w:rsidP="008710E5">
            <w:pPr>
              <w:spacing w:before="20" w:after="20"/>
              <w:jc w:val="center"/>
              <w:rPr>
                <w:szCs w:val="22"/>
                <w:lang w:val="es-419"/>
              </w:rPr>
            </w:pPr>
            <w:r w:rsidRPr="00FA18B7">
              <w:rPr>
                <w:lang w:val="es-419"/>
              </w:rPr>
              <w:t>26</w:t>
            </w:r>
          </w:p>
        </w:tc>
        <w:tc>
          <w:tcPr>
            <w:tcW w:w="1622" w:type="dxa"/>
          </w:tcPr>
          <w:p w14:paraId="3F1456E1" w14:textId="77777777" w:rsidR="006C7FC1" w:rsidRPr="00FA18B7" w:rsidRDefault="006C7FC1" w:rsidP="008710E5">
            <w:pPr>
              <w:spacing w:before="20" w:after="20"/>
              <w:jc w:val="center"/>
              <w:rPr>
                <w:szCs w:val="22"/>
                <w:lang w:val="es-419"/>
              </w:rPr>
            </w:pPr>
            <w:r w:rsidRPr="00FA18B7">
              <w:rPr>
                <w:lang w:val="es-419"/>
              </w:rPr>
              <w:t>1</w:t>
            </w:r>
          </w:p>
        </w:tc>
        <w:tc>
          <w:tcPr>
            <w:tcW w:w="1655" w:type="dxa"/>
          </w:tcPr>
          <w:p w14:paraId="0A55B9A0" w14:textId="77777777" w:rsidR="006C7FC1" w:rsidRPr="00FA18B7" w:rsidRDefault="006C7FC1" w:rsidP="008710E5">
            <w:pPr>
              <w:spacing w:before="20" w:after="20"/>
              <w:jc w:val="center"/>
              <w:rPr>
                <w:szCs w:val="22"/>
                <w:lang w:val="es-419"/>
              </w:rPr>
            </w:pPr>
            <w:r w:rsidRPr="00FA18B7">
              <w:rPr>
                <w:lang w:val="es-419"/>
              </w:rPr>
              <w:t>0</w:t>
            </w:r>
          </w:p>
        </w:tc>
        <w:tc>
          <w:tcPr>
            <w:tcW w:w="1180" w:type="dxa"/>
          </w:tcPr>
          <w:p w14:paraId="15BEF855" w14:textId="77777777" w:rsidR="006C7FC1" w:rsidRPr="00FA18B7" w:rsidRDefault="006C7FC1" w:rsidP="008710E5">
            <w:pPr>
              <w:spacing w:before="20" w:after="20"/>
              <w:jc w:val="center"/>
              <w:rPr>
                <w:szCs w:val="22"/>
                <w:lang w:val="es-419"/>
              </w:rPr>
            </w:pPr>
            <w:r w:rsidRPr="00FA18B7">
              <w:rPr>
                <w:lang w:val="es-419"/>
              </w:rPr>
              <w:t>0</w:t>
            </w:r>
          </w:p>
        </w:tc>
        <w:tc>
          <w:tcPr>
            <w:tcW w:w="1720" w:type="dxa"/>
          </w:tcPr>
          <w:p w14:paraId="5A499A1D" w14:textId="77777777" w:rsidR="006C7FC1" w:rsidRPr="00FA18B7" w:rsidRDefault="006C7FC1" w:rsidP="008710E5">
            <w:pPr>
              <w:spacing w:before="20" w:after="20"/>
              <w:jc w:val="center"/>
              <w:rPr>
                <w:szCs w:val="22"/>
                <w:lang w:val="es-419"/>
              </w:rPr>
            </w:pPr>
            <w:r w:rsidRPr="00FA18B7">
              <w:rPr>
                <w:lang w:val="es-419"/>
              </w:rPr>
              <w:t>3</w:t>
            </w:r>
          </w:p>
        </w:tc>
      </w:tr>
      <w:tr w:rsidR="006C7FC1" w:rsidRPr="00FA18B7" w14:paraId="3BFA0BBE" w14:textId="77777777" w:rsidTr="00E66A7A">
        <w:trPr>
          <w:trHeight w:val="315"/>
        </w:trPr>
        <w:tc>
          <w:tcPr>
            <w:tcW w:w="1980" w:type="dxa"/>
            <w:hideMark/>
          </w:tcPr>
          <w:p w14:paraId="1D50D36A" w14:textId="1DBE9145" w:rsidR="006C7FC1" w:rsidRPr="00FA18B7" w:rsidRDefault="006C7FC1" w:rsidP="008710E5">
            <w:pPr>
              <w:spacing w:before="20" w:after="20"/>
              <w:jc w:val="center"/>
              <w:rPr>
                <w:b/>
                <w:bCs/>
                <w:szCs w:val="22"/>
                <w:lang w:val="es-419"/>
              </w:rPr>
            </w:pPr>
            <w:r w:rsidRPr="00FA18B7">
              <w:rPr>
                <w:b/>
                <w:lang w:val="es-419"/>
              </w:rPr>
              <w:t>ST.13</w:t>
            </w:r>
          </w:p>
        </w:tc>
        <w:tc>
          <w:tcPr>
            <w:tcW w:w="1213" w:type="dxa"/>
          </w:tcPr>
          <w:p w14:paraId="40CB3D6F" w14:textId="77777777" w:rsidR="006C7FC1" w:rsidRPr="00FA18B7" w:rsidRDefault="006C7FC1" w:rsidP="008710E5">
            <w:pPr>
              <w:spacing w:before="20" w:after="20"/>
              <w:jc w:val="center"/>
              <w:rPr>
                <w:szCs w:val="22"/>
                <w:lang w:val="es-419"/>
              </w:rPr>
            </w:pPr>
            <w:r w:rsidRPr="00FA18B7">
              <w:rPr>
                <w:lang w:val="es-419"/>
              </w:rPr>
              <w:t>17</w:t>
            </w:r>
          </w:p>
        </w:tc>
        <w:tc>
          <w:tcPr>
            <w:tcW w:w="1622" w:type="dxa"/>
          </w:tcPr>
          <w:p w14:paraId="5000A071" w14:textId="77777777" w:rsidR="006C7FC1" w:rsidRPr="00FA18B7" w:rsidRDefault="006C7FC1" w:rsidP="008710E5">
            <w:pPr>
              <w:spacing w:before="20" w:after="20"/>
              <w:jc w:val="center"/>
              <w:rPr>
                <w:szCs w:val="22"/>
                <w:lang w:val="es-419"/>
              </w:rPr>
            </w:pPr>
            <w:r w:rsidRPr="00FA18B7">
              <w:rPr>
                <w:lang w:val="es-419"/>
              </w:rPr>
              <w:t>10</w:t>
            </w:r>
          </w:p>
        </w:tc>
        <w:tc>
          <w:tcPr>
            <w:tcW w:w="1655" w:type="dxa"/>
          </w:tcPr>
          <w:p w14:paraId="4317F614" w14:textId="77777777" w:rsidR="006C7FC1" w:rsidRPr="00FA18B7" w:rsidRDefault="006C7FC1" w:rsidP="008710E5">
            <w:pPr>
              <w:spacing w:before="20" w:after="20"/>
              <w:jc w:val="center"/>
              <w:rPr>
                <w:szCs w:val="22"/>
                <w:lang w:val="es-419"/>
              </w:rPr>
            </w:pPr>
            <w:r w:rsidRPr="00FA18B7">
              <w:rPr>
                <w:lang w:val="es-419"/>
              </w:rPr>
              <w:t>0</w:t>
            </w:r>
          </w:p>
        </w:tc>
        <w:tc>
          <w:tcPr>
            <w:tcW w:w="1180" w:type="dxa"/>
          </w:tcPr>
          <w:p w14:paraId="09482DBE" w14:textId="77777777" w:rsidR="006C7FC1" w:rsidRPr="00FA18B7" w:rsidRDefault="006C7FC1" w:rsidP="008710E5">
            <w:pPr>
              <w:spacing w:before="20" w:after="20"/>
              <w:jc w:val="center"/>
              <w:rPr>
                <w:szCs w:val="22"/>
                <w:lang w:val="es-419"/>
              </w:rPr>
            </w:pPr>
            <w:r w:rsidRPr="00FA18B7">
              <w:rPr>
                <w:lang w:val="es-419"/>
              </w:rPr>
              <w:t>0</w:t>
            </w:r>
          </w:p>
        </w:tc>
        <w:tc>
          <w:tcPr>
            <w:tcW w:w="1720" w:type="dxa"/>
          </w:tcPr>
          <w:p w14:paraId="310F88A6" w14:textId="77777777" w:rsidR="006C7FC1" w:rsidRPr="00FA18B7" w:rsidRDefault="006C7FC1" w:rsidP="008710E5">
            <w:pPr>
              <w:spacing w:before="20" w:after="20"/>
              <w:jc w:val="center"/>
              <w:rPr>
                <w:szCs w:val="22"/>
                <w:lang w:val="es-419"/>
              </w:rPr>
            </w:pPr>
            <w:r w:rsidRPr="00FA18B7">
              <w:rPr>
                <w:lang w:val="es-419"/>
              </w:rPr>
              <w:t>3</w:t>
            </w:r>
          </w:p>
        </w:tc>
      </w:tr>
      <w:tr w:rsidR="006C7FC1" w:rsidRPr="00FA18B7" w14:paraId="2CFA0593" w14:textId="77777777" w:rsidTr="00E66A7A">
        <w:trPr>
          <w:trHeight w:val="315"/>
        </w:trPr>
        <w:tc>
          <w:tcPr>
            <w:tcW w:w="1980" w:type="dxa"/>
            <w:hideMark/>
          </w:tcPr>
          <w:p w14:paraId="02A13DC9" w14:textId="32D7CA20" w:rsidR="006C7FC1" w:rsidRPr="00FA18B7" w:rsidRDefault="006C7FC1" w:rsidP="008710E5">
            <w:pPr>
              <w:spacing w:before="20" w:after="20"/>
              <w:jc w:val="center"/>
              <w:rPr>
                <w:b/>
                <w:bCs/>
                <w:szCs w:val="22"/>
                <w:lang w:val="es-419"/>
              </w:rPr>
            </w:pPr>
            <w:r w:rsidRPr="00FA18B7">
              <w:rPr>
                <w:b/>
                <w:lang w:val="es-419"/>
              </w:rPr>
              <w:t>ST.60</w:t>
            </w:r>
          </w:p>
        </w:tc>
        <w:tc>
          <w:tcPr>
            <w:tcW w:w="1213" w:type="dxa"/>
          </w:tcPr>
          <w:p w14:paraId="7ECBFF9D" w14:textId="77777777" w:rsidR="006C7FC1" w:rsidRPr="00FA18B7" w:rsidRDefault="006C7FC1" w:rsidP="008710E5">
            <w:pPr>
              <w:spacing w:before="20" w:after="20"/>
              <w:jc w:val="center"/>
              <w:rPr>
                <w:szCs w:val="22"/>
                <w:lang w:val="es-419"/>
              </w:rPr>
            </w:pPr>
            <w:r w:rsidRPr="00FA18B7">
              <w:rPr>
                <w:lang w:val="es-419"/>
              </w:rPr>
              <w:t>19</w:t>
            </w:r>
          </w:p>
        </w:tc>
        <w:tc>
          <w:tcPr>
            <w:tcW w:w="1622" w:type="dxa"/>
          </w:tcPr>
          <w:p w14:paraId="731A21B2" w14:textId="77777777" w:rsidR="006C7FC1" w:rsidRPr="00FA18B7" w:rsidRDefault="006C7FC1" w:rsidP="008710E5">
            <w:pPr>
              <w:spacing w:before="20" w:after="20"/>
              <w:jc w:val="center"/>
              <w:rPr>
                <w:szCs w:val="22"/>
                <w:lang w:val="es-419"/>
              </w:rPr>
            </w:pPr>
            <w:r w:rsidRPr="00FA18B7">
              <w:rPr>
                <w:lang w:val="es-419"/>
              </w:rPr>
              <w:t>5</w:t>
            </w:r>
          </w:p>
        </w:tc>
        <w:tc>
          <w:tcPr>
            <w:tcW w:w="1655" w:type="dxa"/>
          </w:tcPr>
          <w:p w14:paraId="4C8B9D94" w14:textId="77777777" w:rsidR="006C7FC1" w:rsidRPr="00FA18B7" w:rsidRDefault="006C7FC1" w:rsidP="008710E5">
            <w:pPr>
              <w:spacing w:before="20" w:after="20"/>
              <w:jc w:val="center"/>
              <w:rPr>
                <w:szCs w:val="22"/>
                <w:lang w:val="es-419"/>
              </w:rPr>
            </w:pPr>
            <w:r w:rsidRPr="00FA18B7">
              <w:rPr>
                <w:lang w:val="es-419"/>
              </w:rPr>
              <w:t>0</w:t>
            </w:r>
          </w:p>
        </w:tc>
        <w:tc>
          <w:tcPr>
            <w:tcW w:w="1180" w:type="dxa"/>
          </w:tcPr>
          <w:p w14:paraId="2329109B" w14:textId="77777777" w:rsidR="006C7FC1" w:rsidRPr="00FA18B7" w:rsidRDefault="006C7FC1" w:rsidP="008710E5">
            <w:pPr>
              <w:spacing w:before="20" w:after="20"/>
              <w:jc w:val="center"/>
              <w:rPr>
                <w:szCs w:val="22"/>
                <w:lang w:val="es-419"/>
              </w:rPr>
            </w:pPr>
            <w:r w:rsidRPr="00FA18B7">
              <w:rPr>
                <w:lang w:val="es-419"/>
              </w:rPr>
              <w:t>1</w:t>
            </w:r>
          </w:p>
        </w:tc>
        <w:tc>
          <w:tcPr>
            <w:tcW w:w="1720" w:type="dxa"/>
          </w:tcPr>
          <w:p w14:paraId="796EDBFA" w14:textId="77777777" w:rsidR="006C7FC1" w:rsidRPr="00FA18B7" w:rsidRDefault="006C7FC1" w:rsidP="008710E5">
            <w:pPr>
              <w:spacing w:before="20" w:after="20"/>
              <w:jc w:val="center"/>
              <w:rPr>
                <w:szCs w:val="22"/>
                <w:lang w:val="es-419"/>
              </w:rPr>
            </w:pPr>
            <w:r w:rsidRPr="00FA18B7">
              <w:rPr>
                <w:lang w:val="es-419"/>
              </w:rPr>
              <w:t>5</w:t>
            </w:r>
          </w:p>
        </w:tc>
      </w:tr>
      <w:tr w:rsidR="006C7FC1" w:rsidRPr="00FA18B7" w14:paraId="64053883" w14:textId="77777777" w:rsidTr="00E66A7A">
        <w:trPr>
          <w:trHeight w:val="315"/>
        </w:trPr>
        <w:tc>
          <w:tcPr>
            <w:tcW w:w="1980" w:type="dxa"/>
            <w:hideMark/>
          </w:tcPr>
          <w:p w14:paraId="0EB4A6B5" w14:textId="1B720119" w:rsidR="006C7FC1" w:rsidRPr="00FA18B7" w:rsidRDefault="006C7FC1" w:rsidP="008710E5">
            <w:pPr>
              <w:spacing w:before="20" w:after="20"/>
              <w:jc w:val="center"/>
              <w:rPr>
                <w:b/>
                <w:bCs/>
                <w:szCs w:val="22"/>
                <w:lang w:val="es-419"/>
              </w:rPr>
            </w:pPr>
            <w:r w:rsidRPr="00FA18B7">
              <w:rPr>
                <w:b/>
                <w:lang w:val="es-419"/>
              </w:rPr>
              <w:t>ST.61</w:t>
            </w:r>
          </w:p>
        </w:tc>
        <w:tc>
          <w:tcPr>
            <w:tcW w:w="1213" w:type="dxa"/>
          </w:tcPr>
          <w:p w14:paraId="436C1A1D" w14:textId="77777777" w:rsidR="006C7FC1" w:rsidRPr="00FA18B7" w:rsidRDefault="006C7FC1" w:rsidP="008710E5">
            <w:pPr>
              <w:spacing w:before="20" w:after="20"/>
              <w:jc w:val="center"/>
              <w:rPr>
                <w:szCs w:val="22"/>
                <w:lang w:val="es-419"/>
              </w:rPr>
            </w:pPr>
            <w:r w:rsidRPr="00FA18B7">
              <w:rPr>
                <w:lang w:val="es-419"/>
              </w:rPr>
              <w:t>8</w:t>
            </w:r>
          </w:p>
        </w:tc>
        <w:tc>
          <w:tcPr>
            <w:tcW w:w="1622" w:type="dxa"/>
          </w:tcPr>
          <w:p w14:paraId="25329265" w14:textId="77777777" w:rsidR="006C7FC1" w:rsidRPr="00FA18B7" w:rsidRDefault="006C7FC1" w:rsidP="008710E5">
            <w:pPr>
              <w:spacing w:before="20" w:after="20"/>
              <w:jc w:val="center"/>
              <w:rPr>
                <w:szCs w:val="22"/>
                <w:lang w:val="es-419"/>
              </w:rPr>
            </w:pPr>
            <w:r w:rsidRPr="00FA18B7">
              <w:rPr>
                <w:lang w:val="es-419"/>
              </w:rPr>
              <w:t>10</w:t>
            </w:r>
          </w:p>
        </w:tc>
        <w:tc>
          <w:tcPr>
            <w:tcW w:w="1655" w:type="dxa"/>
          </w:tcPr>
          <w:p w14:paraId="2026E796" w14:textId="77777777" w:rsidR="006C7FC1" w:rsidRPr="00FA18B7" w:rsidRDefault="006C7FC1" w:rsidP="008710E5">
            <w:pPr>
              <w:spacing w:before="20" w:after="20"/>
              <w:jc w:val="center"/>
              <w:rPr>
                <w:szCs w:val="22"/>
                <w:lang w:val="es-419"/>
              </w:rPr>
            </w:pPr>
            <w:r w:rsidRPr="00FA18B7">
              <w:rPr>
                <w:lang w:val="es-419"/>
              </w:rPr>
              <w:t>0</w:t>
            </w:r>
          </w:p>
        </w:tc>
        <w:tc>
          <w:tcPr>
            <w:tcW w:w="1180" w:type="dxa"/>
          </w:tcPr>
          <w:p w14:paraId="0F8F367E" w14:textId="77777777" w:rsidR="006C7FC1" w:rsidRPr="00FA18B7" w:rsidRDefault="006C7FC1" w:rsidP="008710E5">
            <w:pPr>
              <w:spacing w:before="20" w:after="20"/>
              <w:jc w:val="center"/>
              <w:rPr>
                <w:szCs w:val="22"/>
                <w:lang w:val="es-419"/>
              </w:rPr>
            </w:pPr>
            <w:r w:rsidRPr="00FA18B7">
              <w:rPr>
                <w:lang w:val="es-419"/>
              </w:rPr>
              <w:t>8</w:t>
            </w:r>
          </w:p>
        </w:tc>
        <w:tc>
          <w:tcPr>
            <w:tcW w:w="1720" w:type="dxa"/>
          </w:tcPr>
          <w:p w14:paraId="042A40D1" w14:textId="77777777" w:rsidR="006C7FC1" w:rsidRPr="00FA18B7" w:rsidRDefault="006C7FC1" w:rsidP="008710E5">
            <w:pPr>
              <w:spacing w:before="20" w:after="20"/>
              <w:jc w:val="center"/>
              <w:rPr>
                <w:szCs w:val="22"/>
                <w:lang w:val="es-419"/>
              </w:rPr>
            </w:pPr>
            <w:r w:rsidRPr="00FA18B7">
              <w:rPr>
                <w:lang w:val="es-419"/>
              </w:rPr>
              <w:t>4</w:t>
            </w:r>
          </w:p>
        </w:tc>
      </w:tr>
      <w:tr w:rsidR="006C7FC1" w:rsidRPr="00FA18B7" w14:paraId="72C738D2" w14:textId="77777777" w:rsidTr="00E66A7A">
        <w:trPr>
          <w:trHeight w:val="315"/>
        </w:trPr>
        <w:tc>
          <w:tcPr>
            <w:tcW w:w="1980" w:type="dxa"/>
            <w:hideMark/>
          </w:tcPr>
          <w:p w14:paraId="3755E856" w14:textId="7FA0DCE4" w:rsidR="006C7FC1" w:rsidRPr="00FA18B7" w:rsidRDefault="006C7FC1" w:rsidP="008710E5">
            <w:pPr>
              <w:spacing w:before="20" w:after="20"/>
              <w:jc w:val="center"/>
              <w:rPr>
                <w:b/>
                <w:bCs/>
                <w:szCs w:val="22"/>
                <w:lang w:val="es-419"/>
              </w:rPr>
            </w:pPr>
            <w:r w:rsidRPr="00FA18B7">
              <w:rPr>
                <w:b/>
                <w:lang w:val="es-419"/>
              </w:rPr>
              <w:t>ST.63</w:t>
            </w:r>
          </w:p>
        </w:tc>
        <w:tc>
          <w:tcPr>
            <w:tcW w:w="1213" w:type="dxa"/>
          </w:tcPr>
          <w:p w14:paraId="75BEF08C" w14:textId="77777777" w:rsidR="006C7FC1" w:rsidRPr="00FA18B7" w:rsidRDefault="006C7FC1" w:rsidP="008710E5">
            <w:pPr>
              <w:spacing w:before="20" w:after="20"/>
              <w:jc w:val="center"/>
              <w:rPr>
                <w:szCs w:val="22"/>
                <w:lang w:val="es-419"/>
              </w:rPr>
            </w:pPr>
            <w:r w:rsidRPr="00FA18B7">
              <w:rPr>
                <w:lang w:val="es-419"/>
              </w:rPr>
              <w:t>18</w:t>
            </w:r>
          </w:p>
        </w:tc>
        <w:tc>
          <w:tcPr>
            <w:tcW w:w="1622" w:type="dxa"/>
          </w:tcPr>
          <w:p w14:paraId="391F2BBD" w14:textId="77777777" w:rsidR="006C7FC1" w:rsidRPr="00FA18B7" w:rsidRDefault="006C7FC1" w:rsidP="008710E5">
            <w:pPr>
              <w:spacing w:before="20" w:after="20"/>
              <w:jc w:val="center"/>
              <w:rPr>
                <w:szCs w:val="22"/>
                <w:lang w:val="es-419"/>
              </w:rPr>
            </w:pPr>
            <w:r w:rsidRPr="00FA18B7">
              <w:rPr>
                <w:lang w:val="es-419"/>
              </w:rPr>
              <w:t>6</w:t>
            </w:r>
          </w:p>
        </w:tc>
        <w:tc>
          <w:tcPr>
            <w:tcW w:w="1655" w:type="dxa"/>
          </w:tcPr>
          <w:p w14:paraId="7BDDB551" w14:textId="77777777" w:rsidR="006C7FC1" w:rsidRPr="00FA18B7" w:rsidRDefault="006C7FC1" w:rsidP="008710E5">
            <w:pPr>
              <w:spacing w:before="20" w:after="20"/>
              <w:jc w:val="center"/>
              <w:rPr>
                <w:szCs w:val="22"/>
                <w:lang w:val="es-419"/>
              </w:rPr>
            </w:pPr>
            <w:r w:rsidRPr="00FA18B7">
              <w:rPr>
                <w:lang w:val="es-419"/>
              </w:rPr>
              <w:t>0</w:t>
            </w:r>
          </w:p>
        </w:tc>
        <w:tc>
          <w:tcPr>
            <w:tcW w:w="1180" w:type="dxa"/>
          </w:tcPr>
          <w:p w14:paraId="0381E575" w14:textId="77777777" w:rsidR="006C7FC1" w:rsidRPr="00FA18B7" w:rsidRDefault="006C7FC1" w:rsidP="008710E5">
            <w:pPr>
              <w:spacing w:before="20" w:after="20"/>
              <w:jc w:val="center"/>
              <w:rPr>
                <w:szCs w:val="22"/>
                <w:lang w:val="es-419"/>
              </w:rPr>
            </w:pPr>
            <w:r w:rsidRPr="00FA18B7">
              <w:rPr>
                <w:lang w:val="es-419"/>
              </w:rPr>
              <w:t>2</w:t>
            </w:r>
          </w:p>
        </w:tc>
        <w:tc>
          <w:tcPr>
            <w:tcW w:w="1720" w:type="dxa"/>
          </w:tcPr>
          <w:p w14:paraId="294C64E4" w14:textId="77777777" w:rsidR="006C7FC1" w:rsidRPr="00FA18B7" w:rsidRDefault="006C7FC1" w:rsidP="008710E5">
            <w:pPr>
              <w:spacing w:before="20" w:after="20"/>
              <w:jc w:val="center"/>
              <w:rPr>
                <w:szCs w:val="22"/>
                <w:lang w:val="es-419"/>
              </w:rPr>
            </w:pPr>
            <w:r w:rsidRPr="00FA18B7">
              <w:rPr>
                <w:lang w:val="es-419"/>
              </w:rPr>
              <w:t>4</w:t>
            </w:r>
          </w:p>
        </w:tc>
      </w:tr>
      <w:tr w:rsidR="006C7FC1" w:rsidRPr="00FA18B7" w14:paraId="1ACDD0EA" w14:textId="77777777" w:rsidTr="00E66A7A">
        <w:trPr>
          <w:trHeight w:val="315"/>
        </w:trPr>
        <w:tc>
          <w:tcPr>
            <w:tcW w:w="1980" w:type="dxa"/>
            <w:hideMark/>
          </w:tcPr>
          <w:p w14:paraId="5FDBC0C1" w14:textId="59471B9A" w:rsidR="006C7FC1" w:rsidRPr="00FA18B7" w:rsidRDefault="006C7FC1" w:rsidP="008710E5">
            <w:pPr>
              <w:spacing w:before="20" w:after="20"/>
              <w:jc w:val="center"/>
              <w:rPr>
                <w:b/>
                <w:bCs/>
                <w:szCs w:val="22"/>
                <w:lang w:val="es-419"/>
              </w:rPr>
            </w:pPr>
            <w:r w:rsidRPr="00FA18B7">
              <w:rPr>
                <w:b/>
                <w:lang w:val="es-419"/>
              </w:rPr>
              <w:t>ST.66</w:t>
            </w:r>
          </w:p>
        </w:tc>
        <w:tc>
          <w:tcPr>
            <w:tcW w:w="1213" w:type="dxa"/>
          </w:tcPr>
          <w:p w14:paraId="0C7E9EAF" w14:textId="77777777" w:rsidR="006C7FC1" w:rsidRPr="00FA18B7" w:rsidRDefault="006C7FC1" w:rsidP="008710E5">
            <w:pPr>
              <w:spacing w:before="20" w:after="20"/>
              <w:jc w:val="center"/>
              <w:rPr>
                <w:szCs w:val="22"/>
                <w:lang w:val="es-419"/>
              </w:rPr>
            </w:pPr>
            <w:r w:rsidRPr="00FA18B7">
              <w:rPr>
                <w:lang w:val="es-419"/>
              </w:rPr>
              <w:t>14</w:t>
            </w:r>
          </w:p>
        </w:tc>
        <w:tc>
          <w:tcPr>
            <w:tcW w:w="1622" w:type="dxa"/>
          </w:tcPr>
          <w:p w14:paraId="709A48A2" w14:textId="77777777" w:rsidR="006C7FC1" w:rsidRPr="00FA18B7" w:rsidRDefault="006C7FC1" w:rsidP="008710E5">
            <w:pPr>
              <w:spacing w:before="20" w:after="20"/>
              <w:jc w:val="center"/>
              <w:rPr>
                <w:szCs w:val="22"/>
                <w:lang w:val="es-419"/>
              </w:rPr>
            </w:pPr>
            <w:r w:rsidRPr="00FA18B7">
              <w:rPr>
                <w:lang w:val="es-419"/>
              </w:rPr>
              <w:t>10</w:t>
            </w:r>
          </w:p>
        </w:tc>
        <w:tc>
          <w:tcPr>
            <w:tcW w:w="1655" w:type="dxa"/>
          </w:tcPr>
          <w:p w14:paraId="69E15D5E" w14:textId="77777777" w:rsidR="006C7FC1" w:rsidRPr="00FA18B7" w:rsidRDefault="006C7FC1" w:rsidP="008710E5">
            <w:pPr>
              <w:spacing w:before="20" w:after="20"/>
              <w:jc w:val="center"/>
              <w:rPr>
                <w:szCs w:val="22"/>
                <w:lang w:val="es-419"/>
              </w:rPr>
            </w:pPr>
            <w:r w:rsidRPr="00FA18B7">
              <w:rPr>
                <w:lang w:val="es-419"/>
              </w:rPr>
              <w:t>1</w:t>
            </w:r>
          </w:p>
        </w:tc>
        <w:tc>
          <w:tcPr>
            <w:tcW w:w="1180" w:type="dxa"/>
          </w:tcPr>
          <w:p w14:paraId="05C7DC5C" w14:textId="77777777" w:rsidR="006C7FC1" w:rsidRPr="00FA18B7" w:rsidRDefault="006C7FC1" w:rsidP="008710E5">
            <w:pPr>
              <w:spacing w:before="20" w:after="20"/>
              <w:jc w:val="center"/>
              <w:rPr>
                <w:szCs w:val="22"/>
                <w:lang w:val="es-419"/>
              </w:rPr>
            </w:pPr>
            <w:r w:rsidRPr="00FA18B7">
              <w:rPr>
                <w:lang w:val="es-419"/>
              </w:rPr>
              <w:t>1</w:t>
            </w:r>
          </w:p>
        </w:tc>
        <w:tc>
          <w:tcPr>
            <w:tcW w:w="1720" w:type="dxa"/>
          </w:tcPr>
          <w:p w14:paraId="5F5D568A" w14:textId="77777777" w:rsidR="006C7FC1" w:rsidRPr="00FA18B7" w:rsidRDefault="006C7FC1" w:rsidP="008710E5">
            <w:pPr>
              <w:spacing w:before="20" w:after="20"/>
              <w:jc w:val="center"/>
              <w:rPr>
                <w:szCs w:val="22"/>
                <w:lang w:val="es-419"/>
              </w:rPr>
            </w:pPr>
            <w:r w:rsidRPr="00FA18B7">
              <w:rPr>
                <w:lang w:val="es-419"/>
              </w:rPr>
              <w:t>4</w:t>
            </w:r>
          </w:p>
        </w:tc>
      </w:tr>
      <w:tr w:rsidR="006C7FC1" w:rsidRPr="00FA18B7" w14:paraId="3959E09B" w14:textId="77777777" w:rsidTr="00E66A7A">
        <w:trPr>
          <w:trHeight w:val="315"/>
        </w:trPr>
        <w:tc>
          <w:tcPr>
            <w:tcW w:w="1980" w:type="dxa"/>
            <w:hideMark/>
          </w:tcPr>
          <w:p w14:paraId="64D4603F" w14:textId="17FAB7B1" w:rsidR="006C7FC1" w:rsidRPr="00FA18B7" w:rsidRDefault="006C7FC1" w:rsidP="008710E5">
            <w:pPr>
              <w:spacing w:before="20" w:after="20"/>
              <w:jc w:val="center"/>
              <w:rPr>
                <w:b/>
                <w:bCs/>
                <w:szCs w:val="22"/>
                <w:lang w:val="es-419"/>
              </w:rPr>
            </w:pPr>
            <w:r w:rsidRPr="00FA18B7">
              <w:rPr>
                <w:b/>
                <w:lang w:val="es-419"/>
              </w:rPr>
              <w:t>ST.67</w:t>
            </w:r>
          </w:p>
        </w:tc>
        <w:tc>
          <w:tcPr>
            <w:tcW w:w="1213" w:type="dxa"/>
          </w:tcPr>
          <w:p w14:paraId="427D366A" w14:textId="77777777" w:rsidR="006C7FC1" w:rsidRPr="00FA18B7" w:rsidRDefault="006C7FC1" w:rsidP="008710E5">
            <w:pPr>
              <w:spacing w:before="20" w:after="20"/>
              <w:jc w:val="center"/>
              <w:rPr>
                <w:szCs w:val="22"/>
                <w:lang w:val="es-419"/>
              </w:rPr>
            </w:pPr>
            <w:r w:rsidRPr="00FA18B7">
              <w:rPr>
                <w:lang w:val="es-419"/>
              </w:rPr>
              <w:t>16</w:t>
            </w:r>
          </w:p>
        </w:tc>
        <w:tc>
          <w:tcPr>
            <w:tcW w:w="1622" w:type="dxa"/>
          </w:tcPr>
          <w:p w14:paraId="589D5F11" w14:textId="77777777" w:rsidR="006C7FC1" w:rsidRPr="00FA18B7" w:rsidRDefault="006C7FC1" w:rsidP="008710E5">
            <w:pPr>
              <w:spacing w:before="20" w:after="20"/>
              <w:jc w:val="center"/>
              <w:rPr>
                <w:szCs w:val="22"/>
                <w:lang w:val="es-419"/>
              </w:rPr>
            </w:pPr>
            <w:r w:rsidRPr="00FA18B7">
              <w:rPr>
                <w:lang w:val="es-419"/>
              </w:rPr>
              <w:t>8</w:t>
            </w:r>
          </w:p>
        </w:tc>
        <w:tc>
          <w:tcPr>
            <w:tcW w:w="1655" w:type="dxa"/>
          </w:tcPr>
          <w:p w14:paraId="2854F1DC" w14:textId="77777777" w:rsidR="006C7FC1" w:rsidRPr="00FA18B7" w:rsidRDefault="006C7FC1" w:rsidP="008710E5">
            <w:pPr>
              <w:spacing w:before="20" w:after="20"/>
              <w:jc w:val="center"/>
              <w:rPr>
                <w:szCs w:val="22"/>
                <w:lang w:val="es-419"/>
              </w:rPr>
            </w:pPr>
            <w:r w:rsidRPr="00FA18B7">
              <w:rPr>
                <w:lang w:val="es-419"/>
              </w:rPr>
              <w:t>0</w:t>
            </w:r>
          </w:p>
        </w:tc>
        <w:tc>
          <w:tcPr>
            <w:tcW w:w="1180" w:type="dxa"/>
          </w:tcPr>
          <w:p w14:paraId="5DCF40DD" w14:textId="77777777" w:rsidR="006C7FC1" w:rsidRPr="00FA18B7" w:rsidRDefault="006C7FC1" w:rsidP="008710E5">
            <w:pPr>
              <w:spacing w:before="20" w:after="20"/>
              <w:jc w:val="center"/>
              <w:rPr>
                <w:szCs w:val="22"/>
                <w:lang w:val="es-419"/>
              </w:rPr>
            </w:pPr>
            <w:r w:rsidRPr="00FA18B7">
              <w:rPr>
                <w:lang w:val="es-419"/>
              </w:rPr>
              <w:t>2</w:t>
            </w:r>
          </w:p>
        </w:tc>
        <w:tc>
          <w:tcPr>
            <w:tcW w:w="1720" w:type="dxa"/>
          </w:tcPr>
          <w:p w14:paraId="72F8441C" w14:textId="77777777" w:rsidR="006C7FC1" w:rsidRPr="00FA18B7" w:rsidRDefault="006C7FC1" w:rsidP="008710E5">
            <w:pPr>
              <w:spacing w:before="20" w:after="20"/>
              <w:jc w:val="center"/>
              <w:rPr>
                <w:szCs w:val="22"/>
                <w:lang w:val="es-419"/>
              </w:rPr>
            </w:pPr>
            <w:r w:rsidRPr="00FA18B7">
              <w:rPr>
                <w:lang w:val="es-419"/>
              </w:rPr>
              <w:t>4</w:t>
            </w:r>
          </w:p>
        </w:tc>
      </w:tr>
      <w:tr w:rsidR="006C7FC1" w:rsidRPr="00FA18B7" w14:paraId="3EDA3083" w14:textId="77777777" w:rsidTr="00E66A7A">
        <w:trPr>
          <w:trHeight w:val="315"/>
        </w:trPr>
        <w:tc>
          <w:tcPr>
            <w:tcW w:w="1980" w:type="dxa"/>
            <w:hideMark/>
          </w:tcPr>
          <w:p w14:paraId="480A6CA8" w14:textId="0865C57D" w:rsidR="006C7FC1" w:rsidRPr="00FA18B7" w:rsidRDefault="006C7FC1" w:rsidP="008710E5">
            <w:pPr>
              <w:spacing w:before="20" w:after="20"/>
              <w:jc w:val="center"/>
              <w:rPr>
                <w:b/>
                <w:bCs/>
                <w:szCs w:val="22"/>
                <w:lang w:val="es-419"/>
              </w:rPr>
            </w:pPr>
            <w:r w:rsidRPr="00FA18B7">
              <w:rPr>
                <w:b/>
                <w:lang w:val="es-419"/>
              </w:rPr>
              <w:t>ST.68</w:t>
            </w:r>
          </w:p>
        </w:tc>
        <w:tc>
          <w:tcPr>
            <w:tcW w:w="1213" w:type="dxa"/>
          </w:tcPr>
          <w:p w14:paraId="52F73469" w14:textId="77777777" w:rsidR="006C7FC1" w:rsidRPr="00FA18B7" w:rsidRDefault="006C7FC1" w:rsidP="008710E5">
            <w:pPr>
              <w:spacing w:before="20" w:after="20"/>
              <w:jc w:val="center"/>
              <w:rPr>
                <w:szCs w:val="22"/>
                <w:lang w:val="es-419"/>
              </w:rPr>
            </w:pPr>
            <w:r w:rsidRPr="00FA18B7">
              <w:rPr>
                <w:lang w:val="es-419"/>
              </w:rPr>
              <w:t>15</w:t>
            </w:r>
          </w:p>
        </w:tc>
        <w:tc>
          <w:tcPr>
            <w:tcW w:w="1622" w:type="dxa"/>
          </w:tcPr>
          <w:p w14:paraId="70A26FA4" w14:textId="77777777" w:rsidR="006C7FC1" w:rsidRPr="00FA18B7" w:rsidRDefault="006C7FC1" w:rsidP="008710E5">
            <w:pPr>
              <w:spacing w:before="20" w:after="20"/>
              <w:jc w:val="center"/>
              <w:rPr>
                <w:szCs w:val="22"/>
                <w:lang w:val="es-419"/>
              </w:rPr>
            </w:pPr>
            <w:r w:rsidRPr="00FA18B7">
              <w:rPr>
                <w:lang w:val="es-419"/>
              </w:rPr>
              <w:t>11</w:t>
            </w:r>
          </w:p>
        </w:tc>
        <w:tc>
          <w:tcPr>
            <w:tcW w:w="1655" w:type="dxa"/>
          </w:tcPr>
          <w:p w14:paraId="22A1DC11" w14:textId="77777777" w:rsidR="006C7FC1" w:rsidRPr="00FA18B7" w:rsidRDefault="006C7FC1" w:rsidP="008710E5">
            <w:pPr>
              <w:spacing w:before="20" w:after="20"/>
              <w:jc w:val="center"/>
              <w:rPr>
                <w:szCs w:val="22"/>
                <w:lang w:val="es-419"/>
              </w:rPr>
            </w:pPr>
            <w:r w:rsidRPr="00FA18B7">
              <w:rPr>
                <w:lang w:val="es-419"/>
              </w:rPr>
              <w:t>0</w:t>
            </w:r>
          </w:p>
        </w:tc>
        <w:tc>
          <w:tcPr>
            <w:tcW w:w="1180" w:type="dxa"/>
          </w:tcPr>
          <w:p w14:paraId="36844AD3" w14:textId="77777777" w:rsidR="006C7FC1" w:rsidRPr="00FA18B7" w:rsidRDefault="006C7FC1" w:rsidP="008710E5">
            <w:pPr>
              <w:spacing w:before="20" w:after="20"/>
              <w:jc w:val="center"/>
              <w:rPr>
                <w:szCs w:val="22"/>
                <w:lang w:val="es-419"/>
              </w:rPr>
            </w:pPr>
            <w:r w:rsidRPr="00FA18B7">
              <w:rPr>
                <w:lang w:val="es-419"/>
              </w:rPr>
              <w:t>1</w:t>
            </w:r>
          </w:p>
        </w:tc>
        <w:tc>
          <w:tcPr>
            <w:tcW w:w="1720" w:type="dxa"/>
          </w:tcPr>
          <w:p w14:paraId="0C37418B" w14:textId="77777777" w:rsidR="006C7FC1" w:rsidRPr="00FA18B7" w:rsidRDefault="006C7FC1" w:rsidP="008710E5">
            <w:pPr>
              <w:spacing w:before="20" w:after="20"/>
              <w:jc w:val="center"/>
              <w:rPr>
                <w:szCs w:val="22"/>
                <w:lang w:val="es-419"/>
              </w:rPr>
            </w:pPr>
            <w:r w:rsidRPr="00FA18B7">
              <w:rPr>
                <w:lang w:val="es-419"/>
              </w:rPr>
              <w:t>3</w:t>
            </w:r>
          </w:p>
        </w:tc>
      </w:tr>
      <w:tr w:rsidR="006C7FC1" w:rsidRPr="00FA18B7" w14:paraId="582C12FD" w14:textId="77777777" w:rsidTr="00E66A7A">
        <w:trPr>
          <w:trHeight w:val="315"/>
        </w:trPr>
        <w:tc>
          <w:tcPr>
            <w:tcW w:w="1980" w:type="dxa"/>
            <w:hideMark/>
          </w:tcPr>
          <w:p w14:paraId="5383E236" w14:textId="43560B20" w:rsidR="006C7FC1" w:rsidRPr="00FA18B7" w:rsidRDefault="006C7FC1" w:rsidP="008710E5">
            <w:pPr>
              <w:spacing w:before="20" w:after="20"/>
              <w:jc w:val="center"/>
              <w:rPr>
                <w:b/>
                <w:bCs/>
                <w:szCs w:val="22"/>
                <w:lang w:val="es-419"/>
              </w:rPr>
            </w:pPr>
            <w:r w:rsidRPr="00FA18B7">
              <w:rPr>
                <w:b/>
                <w:lang w:val="es-419"/>
              </w:rPr>
              <w:t>ST.90</w:t>
            </w:r>
          </w:p>
        </w:tc>
        <w:tc>
          <w:tcPr>
            <w:tcW w:w="1213" w:type="dxa"/>
          </w:tcPr>
          <w:p w14:paraId="058A1C8B" w14:textId="77777777" w:rsidR="006C7FC1" w:rsidRPr="00FA18B7" w:rsidRDefault="006C7FC1" w:rsidP="008710E5">
            <w:pPr>
              <w:spacing w:before="20" w:after="20"/>
              <w:jc w:val="center"/>
              <w:rPr>
                <w:szCs w:val="22"/>
                <w:lang w:val="es-419"/>
              </w:rPr>
            </w:pPr>
            <w:r w:rsidRPr="00FA18B7">
              <w:rPr>
                <w:lang w:val="es-419"/>
              </w:rPr>
              <w:t>6</w:t>
            </w:r>
          </w:p>
        </w:tc>
        <w:tc>
          <w:tcPr>
            <w:tcW w:w="1622" w:type="dxa"/>
          </w:tcPr>
          <w:p w14:paraId="1E75BBB1" w14:textId="77777777" w:rsidR="006C7FC1" w:rsidRPr="00FA18B7" w:rsidRDefault="006C7FC1" w:rsidP="008710E5">
            <w:pPr>
              <w:spacing w:before="20" w:after="20"/>
              <w:jc w:val="center"/>
              <w:rPr>
                <w:szCs w:val="22"/>
                <w:lang w:val="es-419"/>
              </w:rPr>
            </w:pPr>
            <w:r w:rsidRPr="00FA18B7">
              <w:rPr>
                <w:lang w:val="es-419"/>
              </w:rPr>
              <w:t>12</w:t>
            </w:r>
          </w:p>
        </w:tc>
        <w:tc>
          <w:tcPr>
            <w:tcW w:w="1655" w:type="dxa"/>
          </w:tcPr>
          <w:p w14:paraId="25AE3BCF" w14:textId="77777777" w:rsidR="006C7FC1" w:rsidRPr="00FA18B7" w:rsidRDefault="006C7FC1" w:rsidP="008710E5">
            <w:pPr>
              <w:spacing w:before="20" w:after="20"/>
              <w:jc w:val="center"/>
              <w:rPr>
                <w:szCs w:val="22"/>
                <w:lang w:val="es-419"/>
              </w:rPr>
            </w:pPr>
            <w:r w:rsidRPr="00FA18B7">
              <w:rPr>
                <w:lang w:val="es-419"/>
              </w:rPr>
              <w:t>1</w:t>
            </w:r>
          </w:p>
        </w:tc>
        <w:tc>
          <w:tcPr>
            <w:tcW w:w="1180" w:type="dxa"/>
          </w:tcPr>
          <w:p w14:paraId="28394B1E" w14:textId="77777777" w:rsidR="006C7FC1" w:rsidRPr="00FA18B7" w:rsidRDefault="006C7FC1" w:rsidP="008710E5">
            <w:pPr>
              <w:spacing w:before="20" w:after="20"/>
              <w:jc w:val="center"/>
              <w:rPr>
                <w:szCs w:val="22"/>
                <w:lang w:val="es-419"/>
              </w:rPr>
            </w:pPr>
            <w:r w:rsidRPr="00FA18B7">
              <w:rPr>
                <w:lang w:val="es-419"/>
              </w:rPr>
              <w:t>7</w:t>
            </w:r>
          </w:p>
        </w:tc>
        <w:tc>
          <w:tcPr>
            <w:tcW w:w="1720" w:type="dxa"/>
          </w:tcPr>
          <w:p w14:paraId="39038C59" w14:textId="77777777" w:rsidR="006C7FC1" w:rsidRPr="00FA18B7" w:rsidRDefault="006C7FC1" w:rsidP="008710E5">
            <w:pPr>
              <w:spacing w:before="20" w:after="20"/>
              <w:jc w:val="center"/>
              <w:rPr>
                <w:szCs w:val="22"/>
                <w:lang w:val="es-419"/>
              </w:rPr>
            </w:pPr>
            <w:r w:rsidRPr="00FA18B7">
              <w:rPr>
                <w:lang w:val="es-419"/>
              </w:rPr>
              <w:t>4</w:t>
            </w:r>
          </w:p>
        </w:tc>
      </w:tr>
      <w:tr w:rsidR="006C7FC1" w:rsidRPr="00FA18B7" w14:paraId="7DE418E3" w14:textId="77777777" w:rsidTr="00E66A7A">
        <w:trPr>
          <w:trHeight w:val="315"/>
        </w:trPr>
        <w:tc>
          <w:tcPr>
            <w:tcW w:w="1980" w:type="dxa"/>
            <w:hideMark/>
          </w:tcPr>
          <w:p w14:paraId="2DE159E4" w14:textId="56F5A5BD" w:rsidR="006C7FC1" w:rsidRPr="00FA18B7" w:rsidRDefault="006C7FC1" w:rsidP="008710E5">
            <w:pPr>
              <w:spacing w:before="20" w:after="20"/>
              <w:jc w:val="center"/>
              <w:rPr>
                <w:b/>
                <w:bCs/>
                <w:szCs w:val="22"/>
                <w:lang w:val="es-419"/>
              </w:rPr>
            </w:pPr>
            <w:r w:rsidRPr="00FA18B7">
              <w:rPr>
                <w:b/>
                <w:lang w:val="es-419"/>
              </w:rPr>
              <w:t>ST.91</w:t>
            </w:r>
          </w:p>
        </w:tc>
        <w:tc>
          <w:tcPr>
            <w:tcW w:w="1213" w:type="dxa"/>
          </w:tcPr>
          <w:p w14:paraId="39423B79" w14:textId="77777777" w:rsidR="006C7FC1" w:rsidRPr="00FA18B7" w:rsidRDefault="006C7FC1" w:rsidP="008710E5">
            <w:pPr>
              <w:spacing w:before="20" w:after="20"/>
              <w:jc w:val="center"/>
              <w:rPr>
                <w:szCs w:val="22"/>
                <w:lang w:val="es-419"/>
              </w:rPr>
            </w:pPr>
            <w:r w:rsidRPr="00FA18B7">
              <w:rPr>
                <w:lang w:val="es-419"/>
              </w:rPr>
              <w:t>8</w:t>
            </w:r>
          </w:p>
        </w:tc>
        <w:tc>
          <w:tcPr>
            <w:tcW w:w="1622" w:type="dxa"/>
          </w:tcPr>
          <w:p w14:paraId="3CF05AE9" w14:textId="77777777" w:rsidR="006C7FC1" w:rsidRPr="00FA18B7" w:rsidRDefault="006C7FC1" w:rsidP="008710E5">
            <w:pPr>
              <w:spacing w:before="20" w:after="20"/>
              <w:jc w:val="center"/>
              <w:rPr>
                <w:szCs w:val="22"/>
                <w:lang w:val="es-419"/>
              </w:rPr>
            </w:pPr>
            <w:r w:rsidRPr="00FA18B7">
              <w:rPr>
                <w:lang w:val="es-419"/>
              </w:rPr>
              <w:t>13</w:t>
            </w:r>
          </w:p>
        </w:tc>
        <w:tc>
          <w:tcPr>
            <w:tcW w:w="1655" w:type="dxa"/>
          </w:tcPr>
          <w:p w14:paraId="6BDC8132" w14:textId="77777777" w:rsidR="006C7FC1" w:rsidRPr="00FA18B7" w:rsidRDefault="006C7FC1" w:rsidP="008710E5">
            <w:pPr>
              <w:spacing w:before="20" w:after="20"/>
              <w:jc w:val="center"/>
              <w:rPr>
                <w:szCs w:val="22"/>
                <w:lang w:val="es-419"/>
              </w:rPr>
            </w:pPr>
            <w:r w:rsidRPr="00FA18B7">
              <w:rPr>
                <w:lang w:val="es-419"/>
              </w:rPr>
              <w:t>0</w:t>
            </w:r>
          </w:p>
        </w:tc>
        <w:tc>
          <w:tcPr>
            <w:tcW w:w="1180" w:type="dxa"/>
          </w:tcPr>
          <w:p w14:paraId="0555523B" w14:textId="77777777" w:rsidR="006C7FC1" w:rsidRPr="00FA18B7" w:rsidRDefault="006C7FC1" w:rsidP="008710E5">
            <w:pPr>
              <w:spacing w:before="20" w:after="20"/>
              <w:jc w:val="center"/>
              <w:rPr>
                <w:szCs w:val="22"/>
                <w:lang w:val="es-419"/>
              </w:rPr>
            </w:pPr>
            <w:r w:rsidRPr="00FA18B7">
              <w:rPr>
                <w:lang w:val="es-419"/>
              </w:rPr>
              <w:t>5</w:t>
            </w:r>
          </w:p>
        </w:tc>
        <w:tc>
          <w:tcPr>
            <w:tcW w:w="1720" w:type="dxa"/>
          </w:tcPr>
          <w:p w14:paraId="354046AD" w14:textId="77777777" w:rsidR="006C7FC1" w:rsidRPr="00FA18B7" w:rsidRDefault="006C7FC1" w:rsidP="008710E5">
            <w:pPr>
              <w:spacing w:before="20" w:after="20"/>
              <w:jc w:val="center"/>
              <w:rPr>
                <w:szCs w:val="22"/>
                <w:lang w:val="es-419"/>
              </w:rPr>
            </w:pPr>
            <w:r w:rsidRPr="00FA18B7">
              <w:rPr>
                <w:lang w:val="es-419"/>
              </w:rPr>
              <w:t>4</w:t>
            </w:r>
          </w:p>
        </w:tc>
      </w:tr>
      <w:tr w:rsidR="006C7FC1" w:rsidRPr="00FA18B7" w14:paraId="10E2C20B" w14:textId="77777777" w:rsidTr="00E66A7A">
        <w:trPr>
          <w:trHeight w:val="315"/>
        </w:trPr>
        <w:tc>
          <w:tcPr>
            <w:tcW w:w="1980" w:type="dxa"/>
            <w:hideMark/>
          </w:tcPr>
          <w:p w14:paraId="329BA597" w14:textId="28E418B5" w:rsidR="006C7FC1" w:rsidRPr="00FA18B7" w:rsidRDefault="006C7FC1" w:rsidP="008710E5">
            <w:pPr>
              <w:spacing w:before="20" w:after="20"/>
              <w:jc w:val="center"/>
              <w:rPr>
                <w:b/>
                <w:bCs/>
                <w:szCs w:val="22"/>
                <w:lang w:val="es-419"/>
              </w:rPr>
            </w:pPr>
            <w:r w:rsidRPr="00FA18B7">
              <w:rPr>
                <w:b/>
                <w:lang w:val="es-419"/>
              </w:rPr>
              <w:t>ST.96</w:t>
            </w:r>
          </w:p>
        </w:tc>
        <w:tc>
          <w:tcPr>
            <w:tcW w:w="1213" w:type="dxa"/>
          </w:tcPr>
          <w:p w14:paraId="182C65B4" w14:textId="77777777" w:rsidR="006C7FC1" w:rsidRPr="00FA18B7" w:rsidRDefault="006C7FC1" w:rsidP="008710E5">
            <w:pPr>
              <w:spacing w:before="20" w:after="20"/>
              <w:jc w:val="center"/>
              <w:rPr>
                <w:szCs w:val="22"/>
                <w:lang w:val="es-419"/>
              </w:rPr>
            </w:pPr>
            <w:r w:rsidRPr="00FA18B7">
              <w:rPr>
                <w:lang w:val="es-419"/>
              </w:rPr>
              <w:t>10</w:t>
            </w:r>
          </w:p>
        </w:tc>
        <w:tc>
          <w:tcPr>
            <w:tcW w:w="1622" w:type="dxa"/>
          </w:tcPr>
          <w:p w14:paraId="7A4667AE" w14:textId="77777777" w:rsidR="006C7FC1" w:rsidRPr="00FA18B7" w:rsidRDefault="006C7FC1" w:rsidP="008710E5">
            <w:pPr>
              <w:spacing w:before="20" w:after="20"/>
              <w:jc w:val="center"/>
              <w:rPr>
                <w:szCs w:val="22"/>
                <w:lang w:val="es-419"/>
              </w:rPr>
            </w:pPr>
            <w:r w:rsidRPr="00FA18B7">
              <w:rPr>
                <w:lang w:val="es-419"/>
              </w:rPr>
              <w:t>11</w:t>
            </w:r>
          </w:p>
        </w:tc>
        <w:tc>
          <w:tcPr>
            <w:tcW w:w="1655" w:type="dxa"/>
          </w:tcPr>
          <w:p w14:paraId="7A046E60" w14:textId="77777777" w:rsidR="006C7FC1" w:rsidRPr="00FA18B7" w:rsidRDefault="006C7FC1" w:rsidP="008710E5">
            <w:pPr>
              <w:spacing w:before="20" w:after="20"/>
              <w:jc w:val="center"/>
              <w:rPr>
                <w:szCs w:val="22"/>
                <w:lang w:val="es-419"/>
              </w:rPr>
            </w:pPr>
            <w:r w:rsidRPr="00FA18B7">
              <w:rPr>
                <w:lang w:val="es-419"/>
              </w:rPr>
              <w:t>2</w:t>
            </w:r>
          </w:p>
        </w:tc>
        <w:tc>
          <w:tcPr>
            <w:tcW w:w="1180" w:type="dxa"/>
          </w:tcPr>
          <w:p w14:paraId="170B55EF" w14:textId="77777777" w:rsidR="006C7FC1" w:rsidRPr="00FA18B7" w:rsidRDefault="006C7FC1" w:rsidP="008710E5">
            <w:pPr>
              <w:spacing w:before="20" w:after="20"/>
              <w:jc w:val="center"/>
              <w:rPr>
                <w:szCs w:val="22"/>
                <w:lang w:val="es-419"/>
              </w:rPr>
            </w:pPr>
            <w:r w:rsidRPr="00FA18B7">
              <w:rPr>
                <w:lang w:val="es-419"/>
              </w:rPr>
              <w:t>3</w:t>
            </w:r>
          </w:p>
        </w:tc>
        <w:tc>
          <w:tcPr>
            <w:tcW w:w="1720" w:type="dxa"/>
          </w:tcPr>
          <w:p w14:paraId="28EC6B72" w14:textId="77777777" w:rsidR="006C7FC1" w:rsidRPr="00FA18B7" w:rsidRDefault="006C7FC1" w:rsidP="008710E5">
            <w:pPr>
              <w:spacing w:before="20" w:after="20"/>
              <w:jc w:val="center"/>
              <w:rPr>
                <w:szCs w:val="22"/>
                <w:lang w:val="es-419"/>
              </w:rPr>
            </w:pPr>
            <w:r w:rsidRPr="00FA18B7">
              <w:rPr>
                <w:lang w:val="es-419"/>
              </w:rPr>
              <w:t>4</w:t>
            </w:r>
          </w:p>
        </w:tc>
      </w:tr>
    </w:tbl>
    <w:p w14:paraId="663ADA5D" w14:textId="2A1C18B1" w:rsidR="006C7FC1" w:rsidRPr="00FA18B7" w:rsidRDefault="006C7FC1" w:rsidP="00E66A7A">
      <w:pPr>
        <w:spacing w:before="240" w:after="220"/>
        <w:rPr>
          <w:lang w:val="es-419"/>
        </w:rPr>
      </w:pPr>
      <w:r w:rsidRPr="00FA18B7">
        <w:rPr>
          <w:lang w:val="es-419"/>
        </w:rPr>
        <w:fldChar w:fldCharType="begin"/>
      </w:r>
      <w:r w:rsidRPr="00FA18B7">
        <w:rPr>
          <w:lang w:val="es-419"/>
        </w:rPr>
        <w:instrText xml:space="preserve"> AUTONUM  </w:instrText>
      </w:r>
      <w:r w:rsidRPr="00FA18B7">
        <w:rPr>
          <w:lang w:val="es-419"/>
        </w:rPr>
        <w:fldChar w:fldCharType="end"/>
      </w:r>
      <w:r w:rsidRPr="00FA18B7">
        <w:rPr>
          <w:lang w:val="es-419"/>
        </w:rPr>
        <w:tab/>
        <w:t>En el cuadro siguiente se resume el estado de aplicación de diversas normas técnicas de la OMPI relacionadas con los diseños industriales entre las 26 oficinas de PI que presentaron sus informes técnicos anuales</w:t>
      </w:r>
      <w:r w:rsidR="00516F8F" w:rsidRPr="00FA18B7">
        <w:rPr>
          <w:lang w:val="es-419"/>
        </w:rPr>
        <w:t xml:space="preserve">. </w:t>
      </w:r>
      <w:r w:rsidRPr="00FA18B7">
        <w:rPr>
          <w:lang w:val="es-419"/>
        </w:rPr>
        <w:t>Respecto de las normas técnicas de la OMPI ST.3, ST.80 y ST.81, por ejemplo, se observan índices de aplicación relativamente elevados, siendo 22, 18 y</w:t>
      </w:r>
      <w:r w:rsidR="00E66A7A" w:rsidRPr="00FA18B7">
        <w:rPr>
          <w:lang w:val="es-419"/>
        </w:rPr>
        <w:t> </w:t>
      </w:r>
      <w:r w:rsidRPr="00FA18B7">
        <w:rPr>
          <w:lang w:val="es-419"/>
        </w:rPr>
        <w:t>15 las entidades que han aplicado, respectivamente, esas normas</w:t>
      </w:r>
      <w:r w:rsidR="00516F8F" w:rsidRPr="00FA18B7">
        <w:rPr>
          <w:lang w:val="es-419"/>
        </w:rPr>
        <w:t xml:space="preserve">. </w:t>
      </w:r>
      <w:r w:rsidRPr="00FA18B7">
        <w:rPr>
          <w:lang w:val="es-419"/>
        </w:rPr>
        <w:t>Por el contrario, en el caso de las normas ST.87, ST.90 y ST.91, por ejemplo, se observan índices de aplicación más bajos, y muchas oficinas prevén aplicarlas o se encuentran actualmente en fase de aplicación</w:t>
      </w:r>
      <w:r w:rsidR="00516F8F" w:rsidRPr="00FA18B7">
        <w:rPr>
          <w:lang w:val="es-419"/>
        </w:rPr>
        <w:t xml:space="preserve">. </w:t>
      </w:r>
      <w:r w:rsidRPr="00FA18B7">
        <w:rPr>
          <w:lang w:val="es-419"/>
        </w:rPr>
        <w:t>En general, aunque algunas normas técnicas de la OMPI se aplican ampliamente, otras se enfrentan a desafíos para su adopción.</w:t>
      </w:r>
    </w:p>
    <w:tbl>
      <w:tblPr>
        <w:tblStyle w:val="TableGrid"/>
        <w:tblW w:w="8910" w:type="dxa"/>
        <w:tblLayout w:type="fixed"/>
        <w:tblLook w:val="04A0" w:firstRow="1" w:lastRow="0" w:firstColumn="1" w:lastColumn="0" w:noHBand="0" w:noVBand="1"/>
      </w:tblPr>
      <w:tblGrid>
        <w:gridCol w:w="1838"/>
        <w:gridCol w:w="1276"/>
        <w:gridCol w:w="1559"/>
        <w:gridCol w:w="1418"/>
        <w:gridCol w:w="1199"/>
        <w:gridCol w:w="1620"/>
      </w:tblGrid>
      <w:tr w:rsidR="006C7FC1" w:rsidRPr="00FA18B7" w14:paraId="01C8D9A1" w14:textId="77777777" w:rsidTr="00E66A7A">
        <w:trPr>
          <w:trHeight w:val="773"/>
        </w:trPr>
        <w:tc>
          <w:tcPr>
            <w:tcW w:w="1838" w:type="dxa"/>
            <w:hideMark/>
          </w:tcPr>
          <w:p w14:paraId="7AD80EBA" w14:textId="77777777" w:rsidR="006C7FC1" w:rsidRPr="00FA18B7" w:rsidRDefault="006C7FC1" w:rsidP="008710E5">
            <w:pPr>
              <w:spacing w:before="20" w:after="20"/>
              <w:jc w:val="center"/>
              <w:rPr>
                <w:rFonts w:eastAsia="Times New Roman"/>
                <w:b/>
                <w:bCs/>
                <w:color w:val="000000"/>
                <w:szCs w:val="22"/>
                <w:lang w:val="es-419"/>
              </w:rPr>
            </w:pPr>
            <w:r w:rsidRPr="00FA18B7">
              <w:rPr>
                <w:b/>
                <w:lang w:val="es-419"/>
              </w:rPr>
              <w:t>Norma técnica de la OMPI</w:t>
            </w:r>
          </w:p>
        </w:tc>
        <w:tc>
          <w:tcPr>
            <w:tcW w:w="1276" w:type="dxa"/>
            <w:hideMark/>
          </w:tcPr>
          <w:p w14:paraId="4DB9F9D1" w14:textId="77777777" w:rsidR="006C7FC1" w:rsidRPr="00FA18B7" w:rsidRDefault="006C7FC1" w:rsidP="008710E5">
            <w:pPr>
              <w:spacing w:before="20" w:after="20"/>
              <w:jc w:val="center"/>
              <w:rPr>
                <w:rFonts w:eastAsia="Times New Roman"/>
                <w:b/>
                <w:bCs/>
                <w:color w:val="000000"/>
                <w:szCs w:val="22"/>
                <w:lang w:val="es-419"/>
              </w:rPr>
            </w:pPr>
            <w:r w:rsidRPr="00FA18B7">
              <w:rPr>
                <w:b/>
                <w:lang w:val="es-419"/>
              </w:rPr>
              <w:t>Aplicada</w:t>
            </w:r>
          </w:p>
        </w:tc>
        <w:tc>
          <w:tcPr>
            <w:tcW w:w="1559" w:type="dxa"/>
            <w:hideMark/>
          </w:tcPr>
          <w:p w14:paraId="72B1B7B1" w14:textId="77777777" w:rsidR="006C7FC1" w:rsidRPr="00FA18B7" w:rsidRDefault="006C7FC1" w:rsidP="008710E5">
            <w:pPr>
              <w:spacing w:before="20" w:after="20"/>
              <w:jc w:val="center"/>
              <w:rPr>
                <w:rFonts w:eastAsia="Times New Roman"/>
                <w:b/>
                <w:bCs/>
                <w:color w:val="000000"/>
                <w:szCs w:val="22"/>
                <w:lang w:val="es-419"/>
              </w:rPr>
            </w:pPr>
            <w:r w:rsidRPr="00FA18B7">
              <w:rPr>
                <w:b/>
                <w:lang w:val="es-419"/>
              </w:rPr>
              <w:t>No se prevé aplicarla</w:t>
            </w:r>
          </w:p>
        </w:tc>
        <w:tc>
          <w:tcPr>
            <w:tcW w:w="1418" w:type="dxa"/>
            <w:hideMark/>
          </w:tcPr>
          <w:p w14:paraId="26E0E94E" w14:textId="77777777" w:rsidR="006C7FC1" w:rsidRPr="00FA18B7" w:rsidRDefault="006C7FC1" w:rsidP="008710E5">
            <w:pPr>
              <w:spacing w:before="20" w:after="20"/>
              <w:jc w:val="center"/>
              <w:rPr>
                <w:rFonts w:eastAsia="Times New Roman"/>
                <w:b/>
                <w:bCs/>
                <w:color w:val="000000"/>
                <w:szCs w:val="22"/>
                <w:lang w:val="es-419"/>
              </w:rPr>
            </w:pPr>
            <w:r w:rsidRPr="00FA18B7">
              <w:rPr>
                <w:b/>
                <w:lang w:val="es-419"/>
              </w:rPr>
              <w:t>En fase de aplicación</w:t>
            </w:r>
          </w:p>
        </w:tc>
        <w:tc>
          <w:tcPr>
            <w:tcW w:w="1199" w:type="dxa"/>
            <w:hideMark/>
          </w:tcPr>
          <w:p w14:paraId="1D630D4F" w14:textId="77777777" w:rsidR="006C7FC1" w:rsidRPr="00FA18B7" w:rsidRDefault="006C7FC1" w:rsidP="008710E5">
            <w:pPr>
              <w:spacing w:before="20" w:after="20"/>
              <w:jc w:val="center"/>
              <w:rPr>
                <w:rFonts w:eastAsia="Times New Roman"/>
                <w:b/>
                <w:bCs/>
                <w:color w:val="000000"/>
                <w:szCs w:val="22"/>
                <w:lang w:val="es-419"/>
              </w:rPr>
            </w:pPr>
            <w:r w:rsidRPr="00FA18B7">
              <w:rPr>
                <w:b/>
                <w:lang w:val="es-419"/>
              </w:rPr>
              <w:t>Se prevé aplicarla</w:t>
            </w:r>
          </w:p>
        </w:tc>
        <w:tc>
          <w:tcPr>
            <w:tcW w:w="1620" w:type="dxa"/>
            <w:hideMark/>
          </w:tcPr>
          <w:p w14:paraId="7C025D79" w14:textId="77777777" w:rsidR="006C7FC1" w:rsidRPr="00FA18B7" w:rsidRDefault="006C7FC1" w:rsidP="008710E5">
            <w:pPr>
              <w:spacing w:before="20" w:after="20"/>
              <w:jc w:val="center"/>
              <w:rPr>
                <w:rFonts w:eastAsia="Times New Roman"/>
                <w:b/>
                <w:bCs/>
                <w:color w:val="000000"/>
                <w:szCs w:val="22"/>
                <w:lang w:val="es-419"/>
              </w:rPr>
            </w:pPr>
            <w:r w:rsidRPr="00FA18B7">
              <w:rPr>
                <w:b/>
                <w:lang w:val="es-419"/>
              </w:rPr>
              <w:t>No se proporcionó información</w:t>
            </w:r>
          </w:p>
        </w:tc>
      </w:tr>
      <w:tr w:rsidR="006C7FC1" w:rsidRPr="00FA18B7" w14:paraId="7947FC5E" w14:textId="77777777" w:rsidTr="00E66A7A">
        <w:trPr>
          <w:trHeight w:val="315"/>
        </w:trPr>
        <w:tc>
          <w:tcPr>
            <w:tcW w:w="1838" w:type="dxa"/>
            <w:hideMark/>
          </w:tcPr>
          <w:p w14:paraId="1151B3E8" w14:textId="4EE71A16" w:rsidR="006C7FC1" w:rsidRPr="00FA18B7" w:rsidRDefault="006C7FC1" w:rsidP="008710E5">
            <w:pPr>
              <w:spacing w:before="20" w:after="20"/>
              <w:jc w:val="center"/>
              <w:rPr>
                <w:rFonts w:eastAsia="Times New Roman"/>
                <w:b/>
                <w:bCs/>
                <w:color w:val="000000"/>
                <w:szCs w:val="22"/>
                <w:lang w:val="es-419"/>
              </w:rPr>
            </w:pPr>
            <w:r w:rsidRPr="00FA18B7">
              <w:rPr>
                <w:b/>
                <w:lang w:val="es-419"/>
              </w:rPr>
              <w:t>ST.3</w:t>
            </w:r>
          </w:p>
        </w:tc>
        <w:tc>
          <w:tcPr>
            <w:tcW w:w="1276" w:type="dxa"/>
          </w:tcPr>
          <w:p w14:paraId="066F8A87"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22</w:t>
            </w:r>
          </w:p>
        </w:tc>
        <w:tc>
          <w:tcPr>
            <w:tcW w:w="1559" w:type="dxa"/>
          </w:tcPr>
          <w:p w14:paraId="00220CDA"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w:t>
            </w:r>
          </w:p>
        </w:tc>
        <w:tc>
          <w:tcPr>
            <w:tcW w:w="1418" w:type="dxa"/>
          </w:tcPr>
          <w:p w14:paraId="3553B654"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199" w:type="dxa"/>
          </w:tcPr>
          <w:p w14:paraId="678671A8"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w:t>
            </w:r>
          </w:p>
        </w:tc>
        <w:tc>
          <w:tcPr>
            <w:tcW w:w="1620" w:type="dxa"/>
          </w:tcPr>
          <w:p w14:paraId="2BC32AA6"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w:t>
            </w:r>
          </w:p>
        </w:tc>
      </w:tr>
      <w:tr w:rsidR="006C7FC1" w:rsidRPr="00FA18B7" w14:paraId="2CBC911E" w14:textId="77777777" w:rsidTr="00E66A7A">
        <w:trPr>
          <w:trHeight w:val="315"/>
        </w:trPr>
        <w:tc>
          <w:tcPr>
            <w:tcW w:w="1838" w:type="dxa"/>
            <w:hideMark/>
          </w:tcPr>
          <w:p w14:paraId="59A988B9" w14:textId="12E09943" w:rsidR="006C7FC1" w:rsidRPr="00FA18B7" w:rsidRDefault="006C7FC1" w:rsidP="008710E5">
            <w:pPr>
              <w:spacing w:before="20" w:after="20"/>
              <w:jc w:val="center"/>
              <w:rPr>
                <w:rFonts w:eastAsia="Times New Roman"/>
                <w:b/>
                <w:bCs/>
                <w:color w:val="000000"/>
                <w:szCs w:val="22"/>
                <w:lang w:val="es-419"/>
              </w:rPr>
            </w:pPr>
            <w:r w:rsidRPr="00FA18B7">
              <w:rPr>
                <w:b/>
                <w:lang w:val="es-419"/>
              </w:rPr>
              <w:t>ST.13</w:t>
            </w:r>
          </w:p>
        </w:tc>
        <w:tc>
          <w:tcPr>
            <w:tcW w:w="1276" w:type="dxa"/>
          </w:tcPr>
          <w:p w14:paraId="57EF14AC"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13</w:t>
            </w:r>
          </w:p>
        </w:tc>
        <w:tc>
          <w:tcPr>
            <w:tcW w:w="1559" w:type="dxa"/>
          </w:tcPr>
          <w:p w14:paraId="09F8E0CE"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11</w:t>
            </w:r>
          </w:p>
        </w:tc>
        <w:tc>
          <w:tcPr>
            <w:tcW w:w="1418" w:type="dxa"/>
          </w:tcPr>
          <w:p w14:paraId="2BD4FBE7"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199" w:type="dxa"/>
          </w:tcPr>
          <w:p w14:paraId="24D0A82F"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620" w:type="dxa"/>
          </w:tcPr>
          <w:p w14:paraId="73D0CFB0"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w:t>
            </w:r>
          </w:p>
        </w:tc>
      </w:tr>
      <w:tr w:rsidR="006C7FC1" w:rsidRPr="00FA18B7" w14:paraId="22291E70" w14:textId="77777777" w:rsidTr="00E66A7A">
        <w:trPr>
          <w:trHeight w:val="315"/>
        </w:trPr>
        <w:tc>
          <w:tcPr>
            <w:tcW w:w="1838" w:type="dxa"/>
            <w:hideMark/>
          </w:tcPr>
          <w:p w14:paraId="5918013E" w14:textId="4D644C99" w:rsidR="006C7FC1" w:rsidRPr="00FA18B7" w:rsidRDefault="006C7FC1" w:rsidP="008710E5">
            <w:pPr>
              <w:spacing w:before="20" w:after="20"/>
              <w:jc w:val="center"/>
              <w:rPr>
                <w:rFonts w:eastAsia="Times New Roman"/>
                <w:b/>
                <w:bCs/>
                <w:color w:val="000000"/>
                <w:szCs w:val="22"/>
                <w:lang w:val="es-419"/>
              </w:rPr>
            </w:pPr>
            <w:r w:rsidRPr="00FA18B7">
              <w:rPr>
                <w:b/>
                <w:lang w:val="es-419"/>
              </w:rPr>
              <w:t>ST.80</w:t>
            </w:r>
          </w:p>
        </w:tc>
        <w:tc>
          <w:tcPr>
            <w:tcW w:w="1276" w:type="dxa"/>
          </w:tcPr>
          <w:p w14:paraId="08F47D18"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18</w:t>
            </w:r>
          </w:p>
        </w:tc>
        <w:tc>
          <w:tcPr>
            <w:tcW w:w="1559" w:type="dxa"/>
          </w:tcPr>
          <w:p w14:paraId="266FC5D5"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4</w:t>
            </w:r>
          </w:p>
        </w:tc>
        <w:tc>
          <w:tcPr>
            <w:tcW w:w="1418" w:type="dxa"/>
          </w:tcPr>
          <w:p w14:paraId="29053421"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w:t>
            </w:r>
          </w:p>
        </w:tc>
        <w:tc>
          <w:tcPr>
            <w:tcW w:w="1199" w:type="dxa"/>
          </w:tcPr>
          <w:p w14:paraId="47AD8EDC"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620" w:type="dxa"/>
          </w:tcPr>
          <w:p w14:paraId="684E6297"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3</w:t>
            </w:r>
          </w:p>
        </w:tc>
      </w:tr>
      <w:tr w:rsidR="006C7FC1" w:rsidRPr="00FA18B7" w14:paraId="4DA79E03" w14:textId="77777777" w:rsidTr="00E66A7A">
        <w:trPr>
          <w:trHeight w:val="315"/>
        </w:trPr>
        <w:tc>
          <w:tcPr>
            <w:tcW w:w="1838" w:type="dxa"/>
            <w:hideMark/>
          </w:tcPr>
          <w:p w14:paraId="1E817187" w14:textId="1BDB5856" w:rsidR="006C7FC1" w:rsidRPr="00FA18B7" w:rsidRDefault="006C7FC1" w:rsidP="008710E5">
            <w:pPr>
              <w:spacing w:before="20" w:after="20"/>
              <w:jc w:val="center"/>
              <w:rPr>
                <w:rFonts w:eastAsia="Times New Roman"/>
                <w:b/>
                <w:bCs/>
                <w:color w:val="000000"/>
                <w:szCs w:val="22"/>
                <w:lang w:val="es-419"/>
              </w:rPr>
            </w:pPr>
            <w:r w:rsidRPr="00FA18B7">
              <w:rPr>
                <w:b/>
                <w:lang w:val="es-419"/>
              </w:rPr>
              <w:t>ST.81</w:t>
            </w:r>
          </w:p>
        </w:tc>
        <w:tc>
          <w:tcPr>
            <w:tcW w:w="1276" w:type="dxa"/>
          </w:tcPr>
          <w:p w14:paraId="66ECFC6A"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15</w:t>
            </w:r>
          </w:p>
        </w:tc>
        <w:tc>
          <w:tcPr>
            <w:tcW w:w="1559" w:type="dxa"/>
          </w:tcPr>
          <w:p w14:paraId="2C9C6D70"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6</w:t>
            </w:r>
          </w:p>
        </w:tc>
        <w:tc>
          <w:tcPr>
            <w:tcW w:w="1418" w:type="dxa"/>
          </w:tcPr>
          <w:p w14:paraId="081F2FFE"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w:t>
            </w:r>
          </w:p>
        </w:tc>
        <w:tc>
          <w:tcPr>
            <w:tcW w:w="1199" w:type="dxa"/>
          </w:tcPr>
          <w:p w14:paraId="2F80CFA2"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w:t>
            </w:r>
          </w:p>
        </w:tc>
        <w:tc>
          <w:tcPr>
            <w:tcW w:w="1620" w:type="dxa"/>
          </w:tcPr>
          <w:p w14:paraId="7BAA41B4"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3</w:t>
            </w:r>
          </w:p>
        </w:tc>
      </w:tr>
      <w:tr w:rsidR="006C7FC1" w:rsidRPr="00FA18B7" w14:paraId="309BBDB9" w14:textId="77777777" w:rsidTr="00E66A7A">
        <w:trPr>
          <w:trHeight w:val="315"/>
        </w:trPr>
        <w:tc>
          <w:tcPr>
            <w:tcW w:w="1838" w:type="dxa"/>
            <w:hideMark/>
          </w:tcPr>
          <w:p w14:paraId="3265AA3D" w14:textId="48D88B0C" w:rsidR="006C7FC1" w:rsidRPr="00FA18B7" w:rsidRDefault="006C7FC1" w:rsidP="008710E5">
            <w:pPr>
              <w:spacing w:before="20" w:after="20"/>
              <w:jc w:val="center"/>
              <w:rPr>
                <w:rFonts w:eastAsia="Times New Roman"/>
                <w:b/>
                <w:bCs/>
                <w:color w:val="000000"/>
                <w:szCs w:val="22"/>
                <w:lang w:val="es-419"/>
              </w:rPr>
            </w:pPr>
            <w:r w:rsidRPr="00FA18B7">
              <w:rPr>
                <w:b/>
                <w:lang w:val="es-419"/>
              </w:rPr>
              <w:t>ST.86</w:t>
            </w:r>
          </w:p>
        </w:tc>
        <w:tc>
          <w:tcPr>
            <w:tcW w:w="1276" w:type="dxa"/>
          </w:tcPr>
          <w:p w14:paraId="0140B524"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12</w:t>
            </w:r>
          </w:p>
        </w:tc>
        <w:tc>
          <w:tcPr>
            <w:tcW w:w="1559" w:type="dxa"/>
          </w:tcPr>
          <w:p w14:paraId="2A71C46D"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11</w:t>
            </w:r>
          </w:p>
        </w:tc>
        <w:tc>
          <w:tcPr>
            <w:tcW w:w="1418" w:type="dxa"/>
          </w:tcPr>
          <w:p w14:paraId="698952BA"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w:t>
            </w:r>
          </w:p>
        </w:tc>
        <w:tc>
          <w:tcPr>
            <w:tcW w:w="1199" w:type="dxa"/>
          </w:tcPr>
          <w:p w14:paraId="543799B3"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620" w:type="dxa"/>
          </w:tcPr>
          <w:p w14:paraId="74104E60"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w:t>
            </w:r>
          </w:p>
        </w:tc>
      </w:tr>
      <w:tr w:rsidR="006C7FC1" w:rsidRPr="00FA18B7" w14:paraId="4BB4296F" w14:textId="77777777" w:rsidTr="00E66A7A">
        <w:trPr>
          <w:trHeight w:val="315"/>
        </w:trPr>
        <w:tc>
          <w:tcPr>
            <w:tcW w:w="1838" w:type="dxa"/>
            <w:hideMark/>
          </w:tcPr>
          <w:p w14:paraId="61CA3DFE" w14:textId="365B20DA" w:rsidR="006C7FC1" w:rsidRPr="00FA18B7" w:rsidRDefault="006C7FC1" w:rsidP="008710E5">
            <w:pPr>
              <w:spacing w:before="20" w:after="20"/>
              <w:jc w:val="center"/>
              <w:rPr>
                <w:rFonts w:eastAsia="Times New Roman"/>
                <w:b/>
                <w:bCs/>
                <w:color w:val="000000"/>
                <w:szCs w:val="22"/>
                <w:lang w:val="es-419"/>
              </w:rPr>
            </w:pPr>
            <w:r w:rsidRPr="00FA18B7">
              <w:rPr>
                <w:b/>
                <w:lang w:val="es-419"/>
              </w:rPr>
              <w:t>ST.87</w:t>
            </w:r>
          </w:p>
        </w:tc>
        <w:tc>
          <w:tcPr>
            <w:tcW w:w="1276" w:type="dxa"/>
          </w:tcPr>
          <w:p w14:paraId="26B926AC"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4</w:t>
            </w:r>
          </w:p>
        </w:tc>
        <w:tc>
          <w:tcPr>
            <w:tcW w:w="1559" w:type="dxa"/>
          </w:tcPr>
          <w:p w14:paraId="280D4F74"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14</w:t>
            </w:r>
          </w:p>
        </w:tc>
        <w:tc>
          <w:tcPr>
            <w:tcW w:w="1418" w:type="dxa"/>
          </w:tcPr>
          <w:p w14:paraId="21ADED1C"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199" w:type="dxa"/>
          </w:tcPr>
          <w:p w14:paraId="286E0817"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6</w:t>
            </w:r>
          </w:p>
        </w:tc>
        <w:tc>
          <w:tcPr>
            <w:tcW w:w="1620" w:type="dxa"/>
          </w:tcPr>
          <w:p w14:paraId="203927AF"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w:t>
            </w:r>
          </w:p>
        </w:tc>
      </w:tr>
      <w:tr w:rsidR="006C7FC1" w:rsidRPr="00FA18B7" w14:paraId="331D49AD" w14:textId="77777777" w:rsidTr="00E66A7A">
        <w:trPr>
          <w:trHeight w:val="315"/>
        </w:trPr>
        <w:tc>
          <w:tcPr>
            <w:tcW w:w="1838" w:type="dxa"/>
            <w:hideMark/>
          </w:tcPr>
          <w:p w14:paraId="59A65E64" w14:textId="61082EB3" w:rsidR="006C7FC1" w:rsidRPr="00FA18B7" w:rsidRDefault="006C7FC1" w:rsidP="008710E5">
            <w:pPr>
              <w:spacing w:before="20" w:after="20"/>
              <w:jc w:val="center"/>
              <w:rPr>
                <w:rFonts w:eastAsia="Times New Roman"/>
                <w:b/>
                <w:bCs/>
                <w:color w:val="000000"/>
                <w:szCs w:val="22"/>
                <w:lang w:val="es-419"/>
              </w:rPr>
            </w:pPr>
            <w:r w:rsidRPr="00FA18B7">
              <w:rPr>
                <w:b/>
                <w:lang w:val="es-419"/>
              </w:rPr>
              <w:t>ST.88</w:t>
            </w:r>
          </w:p>
        </w:tc>
        <w:tc>
          <w:tcPr>
            <w:tcW w:w="1276" w:type="dxa"/>
          </w:tcPr>
          <w:p w14:paraId="5E7FFEB7"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9</w:t>
            </w:r>
          </w:p>
        </w:tc>
        <w:tc>
          <w:tcPr>
            <w:tcW w:w="1559" w:type="dxa"/>
          </w:tcPr>
          <w:p w14:paraId="6F5B8AE5"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12</w:t>
            </w:r>
          </w:p>
        </w:tc>
        <w:tc>
          <w:tcPr>
            <w:tcW w:w="1418" w:type="dxa"/>
          </w:tcPr>
          <w:p w14:paraId="25EC59EC"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199" w:type="dxa"/>
          </w:tcPr>
          <w:p w14:paraId="77426768"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w:t>
            </w:r>
          </w:p>
        </w:tc>
        <w:tc>
          <w:tcPr>
            <w:tcW w:w="1620" w:type="dxa"/>
          </w:tcPr>
          <w:p w14:paraId="4985F538"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3</w:t>
            </w:r>
          </w:p>
        </w:tc>
      </w:tr>
      <w:tr w:rsidR="006C7FC1" w:rsidRPr="00FA18B7" w14:paraId="3CE86E7F" w14:textId="77777777" w:rsidTr="00E66A7A">
        <w:trPr>
          <w:trHeight w:val="315"/>
        </w:trPr>
        <w:tc>
          <w:tcPr>
            <w:tcW w:w="1838" w:type="dxa"/>
            <w:hideMark/>
          </w:tcPr>
          <w:p w14:paraId="05A02DA5" w14:textId="11F46B43" w:rsidR="006C7FC1" w:rsidRPr="00FA18B7" w:rsidRDefault="006C7FC1" w:rsidP="008710E5">
            <w:pPr>
              <w:spacing w:before="20" w:after="20"/>
              <w:jc w:val="center"/>
              <w:rPr>
                <w:rFonts w:eastAsia="Times New Roman"/>
                <w:b/>
                <w:bCs/>
                <w:color w:val="000000"/>
                <w:szCs w:val="22"/>
                <w:lang w:val="es-419"/>
              </w:rPr>
            </w:pPr>
            <w:r w:rsidRPr="00FA18B7">
              <w:rPr>
                <w:b/>
                <w:lang w:val="es-419"/>
              </w:rPr>
              <w:t>ST.90</w:t>
            </w:r>
          </w:p>
        </w:tc>
        <w:tc>
          <w:tcPr>
            <w:tcW w:w="1276" w:type="dxa"/>
          </w:tcPr>
          <w:p w14:paraId="6D03C477"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5</w:t>
            </w:r>
          </w:p>
        </w:tc>
        <w:tc>
          <w:tcPr>
            <w:tcW w:w="1559" w:type="dxa"/>
          </w:tcPr>
          <w:p w14:paraId="44950BE8"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12</w:t>
            </w:r>
          </w:p>
        </w:tc>
        <w:tc>
          <w:tcPr>
            <w:tcW w:w="1418" w:type="dxa"/>
          </w:tcPr>
          <w:p w14:paraId="24F694BB"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w:t>
            </w:r>
          </w:p>
        </w:tc>
        <w:tc>
          <w:tcPr>
            <w:tcW w:w="1199" w:type="dxa"/>
          </w:tcPr>
          <w:p w14:paraId="22B48E6C"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6</w:t>
            </w:r>
          </w:p>
        </w:tc>
        <w:tc>
          <w:tcPr>
            <w:tcW w:w="1620" w:type="dxa"/>
          </w:tcPr>
          <w:p w14:paraId="03C87977"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w:t>
            </w:r>
          </w:p>
        </w:tc>
      </w:tr>
      <w:tr w:rsidR="006C7FC1" w:rsidRPr="00FA18B7" w14:paraId="69DF3903" w14:textId="77777777" w:rsidTr="00E66A7A">
        <w:trPr>
          <w:trHeight w:val="315"/>
        </w:trPr>
        <w:tc>
          <w:tcPr>
            <w:tcW w:w="1838" w:type="dxa"/>
            <w:hideMark/>
          </w:tcPr>
          <w:p w14:paraId="3BE3D4AE" w14:textId="68C3A1D5" w:rsidR="006C7FC1" w:rsidRPr="00FA18B7" w:rsidRDefault="006C7FC1" w:rsidP="008710E5">
            <w:pPr>
              <w:spacing w:before="20" w:after="20"/>
              <w:jc w:val="center"/>
              <w:rPr>
                <w:rFonts w:eastAsia="Times New Roman"/>
                <w:b/>
                <w:bCs/>
                <w:color w:val="000000"/>
                <w:szCs w:val="22"/>
                <w:lang w:val="es-419"/>
              </w:rPr>
            </w:pPr>
            <w:r w:rsidRPr="00FA18B7">
              <w:rPr>
                <w:b/>
                <w:lang w:val="es-419"/>
              </w:rPr>
              <w:t>ST.91</w:t>
            </w:r>
          </w:p>
        </w:tc>
        <w:tc>
          <w:tcPr>
            <w:tcW w:w="1276" w:type="dxa"/>
          </w:tcPr>
          <w:p w14:paraId="2E62E92F"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7</w:t>
            </w:r>
          </w:p>
        </w:tc>
        <w:tc>
          <w:tcPr>
            <w:tcW w:w="1559" w:type="dxa"/>
          </w:tcPr>
          <w:p w14:paraId="23987EFA"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13</w:t>
            </w:r>
          </w:p>
        </w:tc>
        <w:tc>
          <w:tcPr>
            <w:tcW w:w="1418" w:type="dxa"/>
          </w:tcPr>
          <w:p w14:paraId="2C4BFA90"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199" w:type="dxa"/>
          </w:tcPr>
          <w:p w14:paraId="79D8338F"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4</w:t>
            </w:r>
          </w:p>
        </w:tc>
        <w:tc>
          <w:tcPr>
            <w:tcW w:w="1620" w:type="dxa"/>
          </w:tcPr>
          <w:p w14:paraId="763EFF90"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w:t>
            </w:r>
          </w:p>
        </w:tc>
      </w:tr>
      <w:tr w:rsidR="006C7FC1" w:rsidRPr="00FA18B7" w14:paraId="29B299B9" w14:textId="77777777" w:rsidTr="00E66A7A">
        <w:trPr>
          <w:trHeight w:val="315"/>
        </w:trPr>
        <w:tc>
          <w:tcPr>
            <w:tcW w:w="1838" w:type="dxa"/>
            <w:hideMark/>
          </w:tcPr>
          <w:p w14:paraId="339B121D" w14:textId="342466EF" w:rsidR="006C7FC1" w:rsidRPr="00FA18B7" w:rsidRDefault="006C7FC1" w:rsidP="008710E5">
            <w:pPr>
              <w:spacing w:before="20" w:after="20"/>
              <w:jc w:val="center"/>
              <w:rPr>
                <w:rFonts w:eastAsia="Times New Roman"/>
                <w:b/>
                <w:bCs/>
                <w:color w:val="000000"/>
                <w:szCs w:val="22"/>
                <w:lang w:val="es-419"/>
              </w:rPr>
            </w:pPr>
            <w:r w:rsidRPr="00FA18B7">
              <w:rPr>
                <w:b/>
                <w:lang w:val="es-419"/>
              </w:rPr>
              <w:t>ST.96</w:t>
            </w:r>
          </w:p>
        </w:tc>
        <w:tc>
          <w:tcPr>
            <w:tcW w:w="1276" w:type="dxa"/>
          </w:tcPr>
          <w:p w14:paraId="5F12BD32"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15</w:t>
            </w:r>
          </w:p>
        </w:tc>
        <w:tc>
          <w:tcPr>
            <w:tcW w:w="1559" w:type="dxa"/>
          </w:tcPr>
          <w:p w14:paraId="6CF11F1F"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8</w:t>
            </w:r>
          </w:p>
        </w:tc>
        <w:tc>
          <w:tcPr>
            <w:tcW w:w="1418" w:type="dxa"/>
          </w:tcPr>
          <w:p w14:paraId="7943E10B"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2</w:t>
            </w:r>
          </w:p>
        </w:tc>
        <w:tc>
          <w:tcPr>
            <w:tcW w:w="1199" w:type="dxa"/>
          </w:tcPr>
          <w:p w14:paraId="3C1D5BB5"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0</w:t>
            </w:r>
          </w:p>
        </w:tc>
        <w:tc>
          <w:tcPr>
            <w:tcW w:w="1620" w:type="dxa"/>
          </w:tcPr>
          <w:p w14:paraId="4D53FA35" w14:textId="77777777" w:rsidR="006C7FC1" w:rsidRPr="00FA18B7" w:rsidRDefault="006C7FC1" w:rsidP="008710E5">
            <w:pPr>
              <w:spacing w:before="20" w:after="20"/>
              <w:jc w:val="center"/>
              <w:rPr>
                <w:rFonts w:eastAsia="Times New Roman"/>
                <w:color w:val="000000"/>
                <w:szCs w:val="22"/>
                <w:lang w:val="es-419"/>
              </w:rPr>
            </w:pPr>
            <w:r w:rsidRPr="00FA18B7">
              <w:rPr>
                <w:color w:val="000000"/>
                <w:lang w:val="es-419"/>
              </w:rPr>
              <w:t>1</w:t>
            </w:r>
          </w:p>
        </w:tc>
      </w:tr>
    </w:tbl>
    <w:p w14:paraId="43C01936" w14:textId="77777777" w:rsidR="006C7FC1" w:rsidRPr="00FA18B7" w:rsidRDefault="006C7FC1" w:rsidP="006C7FC1">
      <w:pPr>
        <w:rPr>
          <w:i/>
          <w:szCs w:val="22"/>
          <w:lang w:val="es-419"/>
        </w:rPr>
      </w:pPr>
    </w:p>
    <w:p w14:paraId="3B93FFA3" w14:textId="77777777" w:rsidR="006C7FC1" w:rsidRPr="00FA18B7" w:rsidRDefault="006C7FC1" w:rsidP="006C7FC1">
      <w:pPr>
        <w:spacing w:after="220"/>
        <w:ind w:left="5533"/>
        <w:rPr>
          <w:i/>
          <w:iCs/>
          <w:lang w:val="es-419"/>
        </w:rPr>
      </w:pPr>
      <w:r w:rsidRPr="00FA18B7">
        <w:rPr>
          <w:i/>
          <w:lang w:val="es-419"/>
        </w:rPr>
        <w:fldChar w:fldCharType="begin"/>
      </w:r>
      <w:r w:rsidRPr="00FA18B7">
        <w:rPr>
          <w:i/>
          <w:lang w:val="es-419"/>
        </w:rPr>
        <w:instrText xml:space="preserve"> AUTONUM  </w:instrText>
      </w:r>
      <w:r w:rsidRPr="00FA18B7">
        <w:rPr>
          <w:i/>
          <w:lang w:val="es-419"/>
        </w:rPr>
        <w:fldChar w:fldCharType="end"/>
      </w:r>
      <w:r w:rsidRPr="00FA18B7">
        <w:rPr>
          <w:i/>
          <w:lang w:val="es-419"/>
        </w:rPr>
        <w:tab/>
        <w:t>Se invita al CWS a:</w:t>
      </w:r>
    </w:p>
    <w:p w14:paraId="37C2F3F2" w14:textId="77777777" w:rsidR="006C7FC1" w:rsidRPr="00FA18B7" w:rsidRDefault="006C7FC1" w:rsidP="006C7FC1">
      <w:pPr>
        <w:pStyle w:val="ONUME"/>
        <w:numPr>
          <w:ilvl w:val="0"/>
          <w:numId w:val="8"/>
        </w:numPr>
        <w:ind w:left="5530" w:firstLine="720"/>
        <w:rPr>
          <w:i/>
          <w:lang w:val="es-419"/>
        </w:rPr>
      </w:pPr>
      <w:r w:rsidRPr="00FA18B7">
        <w:rPr>
          <w:i/>
          <w:lang w:val="es-419"/>
        </w:rPr>
        <w:t xml:space="preserve">tomar nota del contenido del presente documento; y </w:t>
      </w:r>
    </w:p>
    <w:p w14:paraId="4D155BB0" w14:textId="77777777" w:rsidR="006C7FC1" w:rsidRPr="00FA18B7" w:rsidRDefault="006C7FC1" w:rsidP="006C7FC1">
      <w:pPr>
        <w:pStyle w:val="ONUME"/>
        <w:numPr>
          <w:ilvl w:val="0"/>
          <w:numId w:val="8"/>
        </w:numPr>
        <w:ind w:left="5530" w:firstLine="720"/>
        <w:rPr>
          <w:i/>
          <w:lang w:val="es-419"/>
        </w:rPr>
      </w:pPr>
      <w:r w:rsidRPr="00FA18B7">
        <w:rPr>
          <w:i/>
          <w:lang w:val="es-419"/>
        </w:rPr>
        <w:t>examinar las normas técnicas de la OMPI y las opciones relativas a las plantillas de los informes técnicos anuales, mencionadas en los párrafos 7 y 8, más arriba, y pedir a la Secretaría que se actualicen las normas técnicas enumeradas y las opciones, de ser necesario.</w:t>
      </w:r>
    </w:p>
    <w:p w14:paraId="7CCF78DE" w14:textId="13B481C5" w:rsidR="00152CEA" w:rsidRPr="00FA18B7" w:rsidRDefault="006C7FC1" w:rsidP="00E66A7A">
      <w:pPr>
        <w:pStyle w:val="Endofdocument-Annex"/>
        <w:spacing w:before="720"/>
        <w:rPr>
          <w:lang w:val="es-419"/>
        </w:rPr>
      </w:pPr>
      <w:r w:rsidRPr="00FA18B7">
        <w:rPr>
          <w:lang w:val="es-419"/>
        </w:rPr>
        <w:t>[Fin del documento]</w:t>
      </w:r>
    </w:p>
    <w:sectPr w:rsidR="00152CEA" w:rsidRPr="00FA18B7" w:rsidSect="006C7FC1">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7350" w14:textId="77777777" w:rsidR="00FB507C" w:rsidRDefault="00FB507C">
      <w:r>
        <w:separator/>
      </w:r>
    </w:p>
  </w:endnote>
  <w:endnote w:type="continuationSeparator" w:id="0">
    <w:p w14:paraId="020464F0" w14:textId="77777777" w:rsidR="00FB507C" w:rsidRPr="009D30E6" w:rsidRDefault="00FB507C" w:rsidP="007E663E">
      <w:pPr>
        <w:rPr>
          <w:sz w:val="17"/>
          <w:szCs w:val="17"/>
        </w:rPr>
      </w:pPr>
      <w:r w:rsidRPr="009D30E6">
        <w:rPr>
          <w:sz w:val="17"/>
          <w:szCs w:val="17"/>
        </w:rPr>
        <w:separator/>
      </w:r>
    </w:p>
    <w:p w14:paraId="7DA0F19F" w14:textId="77777777" w:rsidR="00FB507C" w:rsidRPr="007E663E" w:rsidRDefault="00FB507C" w:rsidP="007E663E">
      <w:pPr>
        <w:spacing w:after="60"/>
        <w:rPr>
          <w:sz w:val="17"/>
          <w:szCs w:val="17"/>
        </w:rPr>
      </w:pPr>
      <w:r>
        <w:rPr>
          <w:sz w:val="17"/>
        </w:rPr>
        <w:t>[Continuación de la nota de la página anterior]</w:t>
      </w:r>
    </w:p>
  </w:endnote>
  <w:endnote w:type="continuationNotice" w:id="1">
    <w:p w14:paraId="343A2074" w14:textId="77777777" w:rsidR="00FB507C" w:rsidRPr="007E663E" w:rsidRDefault="00FB507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BC29" w14:textId="77777777" w:rsidR="00FB507C" w:rsidRDefault="00FB507C">
      <w:r>
        <w:separator/>
      </w:r>
    </w:p>
  </w:footnote>
  <w:footnote w:type="continuationSeparator" w:id="0">
    <w:p w14:paraId="339A48C4" w14:textId="77777777" w:rsidR="00FB507C" w:rsidRPr="009D30E6" w:rsidRDefault="00FB507C" w:rsidP="007E663E">
      <w:pPr>
        <w:rPr>
          <w:sz w:val="17"/>
          <w:szCs w:val="17"/>
        </w:rPr>
      </w:pPr>
      <w:r w:rsidRPr="009D30E6">
        <w:rPr>
          <w:sz w:val="17"/>
          <w:szCs w:val="17"/>
        </w:rPr>
        <w:separator/>
      </w:r>
    </w:p>
    <w:p w14:paraId="40E65AAC" w14:textId="77777777" w:rsidR="00FB507C" w:rsidRPr="007E663E" w:rsidRDefault="00FB507C" w:rsidP="007E663E">
      <w:pPr>
        <w:spacing w:after="60"/>
        <w:rPr>
          <w:sz w:val="17"/>
          <w:szCs w:val="17"/>
        </w:rPr>
      </w:pPr>
      <w:r>
        <w:rPr>
          <w:sz w:val="17"/>
        </w:rPr>
        <w:t>[Continuación de la nota de la página anterior]</w:t>
      </w:r>
    </w:p>
  </w:footnote>
  <w:footnote w:type="continuationNotice" w:id="1">
    <w:p w14:paraId="612FB4CD" w14:textId="77777777" w:rsidR="00FB507C" w:rsidRPr="007E663E" w:rsidRDefault="00FB507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BF03" w14:textId="0C8BC6A0" w:rsidR="00AE7F20" w:rsidRDefault="006C7FC1" w:rsidP="00477D6B">
    <w:pPr>
      <w:jc w:val="right"/>
    </w:pPr>
    <w:bookmarkStart w:id="5" w:name="Code2"/>
    <w:bookmarkEnd w:id="5"/>
    <w:r>
      <w:t xml:space="preserve">CWS/13/30 </w:t>
    </w:r>
    <w:proofErr w:type="spellStart"/>
    <w:r>
      <w:t>Corr</w:t>
    </w:r>
    <w:proofErr w:type="spellEnd"/>
    <w:r>
      <w:t>.</w:t>
    </w:r>
  </w:p>
  <w:p w14:paraId="36CCBB2B"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67353BBB" w14:textId="77777777" w:rsidR="00AE7F20" w:rsidRDefault="00AE7F20" w:rsidP="00477D6B">
    <w:pPr>
      <w:jc w:val="right"/>
    </w:pPr>
  </w:p>
  <w:p w14:paraId="00417058"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F8E1B6B"/>
    <w:multiLevelType w:val="multilevel"/>
    <w:tmpl w:val="3EAE0BB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3FAA245C"/>
    <w:multiLevelType w:val="hybridMultilevel"/>
    <w:tmpl w:val="019294B6"/>
    <w:lvl w:ilvl="0" w:tplc="04090017">
      <w:start w:val="1"/>
      <w:numFmt w:val="lowerLetter"/>
      <w:lvlText w:val="%1)"/>
      <w:lvlJc w:val="left"/>
      <w:pPr>
        <w:ind w:left="6340" w:hanging="360"/>
      </w:pPr>
      <w:rPr>
        <w:rFonts w:hint="default"/>
      </w:rPr>
    </w:lvl>
    <w:lvl w:ilvl="1" w:tplc="04090019" w:tentative="1">
      <w:start w:val="1"/>
      <w:numFmt w:val="lowerLetter"/>
      <w:lvlText w:val="%2."/>
      <w:lvlJc w:val="left"/>
      <w:pPr>
        <w:ind w:left="7060" w:hanging="360"/>
      </w:pPr>
    </w:lvl>
    <w:lvl w:ilvl="2" w:tplc="0409001B" w:tentative="1">
      <w:start w:val="1"/>
      <w:numFmt w:val="lowerRoman"/>
      <w:lvlText w:val="%3."/>
      <w:lvlJc w:val="right"/>
      <w:pPr>
        <w:ind w:left="7780" w:hanging="180"/>
      </w:pPr>
    </w:lvl>
    <w:lvl w:ilvl="3" w:tplc="0409000F" w:tentative="1">
      <w:start w:val="1"/>
      <w:numFmt w:val="decimal"/>
      <w:lvlText w:val="%4."/>
      <w:lvlJc w:val="left"/>
      <w:pPr>
        <w:ind w:left="8500" w:hanging="360"/>
      </w:pPr>
    </w:lvl>
    <w:lvl w:ilvl="4" w:tplc="04090019" w:tentative="1">
      <w:start w:val="1"/>
      <w:numFmt w:val="lowerLetter"/>
      <w:lvlText w:val="%5."/>
      <w:lvlJc w:val="left"/>
      <w:pPr>
        <w:ind w:left="9220" w:hanging="360"/>
      </w:pPr>
    </w:lvl>
    <w:lvl w:ilvl="5" w:tplc="0409001B" w:tentative="1">
      <w:start w:val="1"/>
      <w:numFmt w:val="lowerRoman"/>
      <w:lvlText w:val="%6."/>
      <w:lvlJc w:val="right"/>
      <w:pPr>
        <w:ind w:left="9940" w:hanging="180"/>
      </w:pPr>
    </w:lvl>
    <w:lvl w:ilvl="6" w:tplc="0409000F" w:tentative="1">
      <w:start w:val="1"/>
      <w:numFmt w:val="decimal"/>
      <w:lvlText w:val="%7."/>
      <w:lvlJc w:val="left"/>
      <w:pPr>
        <w:ind w:left="10660" w:hanging="360"/>
      </w:pPr>
    </w:lvl>
    <w:lvl w:ilvl="7" w:tplc="04090019" w:tentative="1">
      <w:start w:val="1"/>
      <w:numFmt w:val="lowerLetter"/>
      <w:lvlText w:val="%8."/>
      <w:lvlJc w:val="left"/>
      <w:pPr>
        <w:ind w:left="11380" w:hanging="360"/>
      </w:pPr>
    </w:lvl>
    <w:lvl w:ilvl="8" w:tplc="0409001B" w:tentative="1">
      <w:start w:val="1"/>
      <w:numFmt w:val="lowerRoman"/>
      <w:lvlText w:val="%9."/>
      <w:lvlJc w:val="right"/>
      <w:pPr>
        <w:ind w:left="1210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2514718">
    <w:abstractNumId w:val="2"/>
  </w:num>
  <w:num w:numId="2" w16cid:durableId="998191314">
    <w:abstractNumId w:val="6"/>
  </w:num>
  <w:num w:numId="3" w16cid:durableId="1991902540">
    <w:abstractNumId w:val="0"/>
  </w:num>
  <w:num w:numId="4" w16cid:durableId="666519932">
    <w:abstractNumId w:val="7"/>
  </w:num>
  <w:num w:numId="5" w16cid:durableId="208078558">
    <w:abstractNumId w:val="1"/>
  </w:num>
  <w:num w:numId="6" w16cid:durableId="1679113719">
    <w:abstractNumId w:val="3"/>
  </w:num>
  <w:num w:numId="7" w16cid:durableId="1837501683">
    <w:abstractNumId w:val="4"/>
  </w:num>
  <w:num w:numId="8" w16cid:durableId="1701055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1"/>
    <w:rsid w:val="00010686"/>
    <w:rsid w:val="00036D4B"/>
    <w:rsid w:val="00052915"/>
    <w:rsid w:val="00071BE5"/>
    <w:rsid w:val="0008465A"/>
    <w:rsid w:val="000E3BB3"/>
    <w:rsid w:val="000F5E56"/>
    <w:rsid w:val="001362EE"/>
    <w:rsid w:val="00152CEA"/>
    <w:rsid w:val="001832A6"/>
    <w:rsid w:val="001B08BB"/>
    <w:rsid w:val="001D3950"/>
    <w:rsid w:val="002634C4"/>
    <w:rsid w:val="002C2E2F"/>
    <w:rsid w:val="002E0F47"/>
    <w:rsid w:val="002F4E68"/>
    <w:rsid w:val="002F6F35"/>
    <w:rsid w:val="00310826"/>
    <w:rsid w:val="00354647"/>
    <w:rsid w:val="00377273"/>
    <w:rsid w:val="003845C1"/>
    <w:rsid w:val="00387287"/>
    <w:rsid w:val="003A77B4"/>
    <w:rsid w:val="003C414B"/>
    <w:rsid w:val="003E48F1"/>
    <w:rsid w:val="003F347A"/>
    <w:rsid w:val="00414ABC"/>
    <w:rsid w:val="00423E3E"/>
    <w:rsid w:val="00427AF4"/>
    <w:rsid w:val="0045231F"/>
    <w:rsid w:val="004647DA"/>
    <w:rsid w:val="0046793F"/>
    <w:rsid w:val="00472A6E"/>
    <w:rsid w:val="00477808"/>
    <w:rsid w:val="00477D6B"/>
    <w:rsid w:val="004A6C37"/>
    <w:rsid w:val="004D65A5"/>
    <w:rsid w:val="004E28BB"/>
    <w:rsid w:val="004E297D"/>
    <w:rsid w:val="00516F8F"/>
    <w:rsid w:val="005242C0"/>
    <w:rsid w:val="00531B02"/>
    <w:rsid w:val="005332F0"/>
    <w:rsid w:val="0055013B"/>
    <w:rsid w:val="00571B99"/>
    <w:rsid w:val="00597D4C"/>
    <w:rsid w:val="005F6C09"/>
    <w:rsid w:val="00605827"/>
    <w:rsid w:val="00675021"/>
    <w:rsid w:val="006A06C6"/>
    <w:rsid w:val="006C7FC1"/>
    <w:rsid w:val="006F7F0B"/>
    <w:rsid w:val="007036CD"/>
    <w:rsid w:val="007224C8"/>
    <w:rsid w:val="00760CE8"/>
    <w:rsid w:val="00767841"/>
    <w:rsid w:val="00794BE2"/>
    <w:rsid w:val="007A5581"/>
    <w:rsid w:val="007B71FE"/>
    <w:rsid w:val="007D781E"/>
    <w:rsid w:val="007E663E"/>
    <w:rsid w:val="00815082"/>
    <w:rsid w:val="0088395E"/>
    <w:rsid w:val="008B2CC1"/>
    <w:rsid w:val="008D4171"/>
    <w:rsid w:val="008E6BD6"/>
    <w:rsid w:val="0090731E"/>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90559"/>
    <w:rsid w:val="00CA0500"/>
    <w:rsid w:val="00CA2251"/>
    <w:rsid w:val="00D56C7C"/>
    <w:rsid w:val="00D64B5A"/>
    <w:rsid w:val="00D71B4D"/>
    <w:rsid w:val="00D72E59"/>
    <w:rsid w:val="00D90289"/>
    <w:rsid w:val="00D93D55"/>
    <w:rsid w:val="00DC4C60"/>
    <w:rsid w:val="00DD6CF4"/>
    <w:rsid w:val="00E0079A"/>
    <w:rsid w:val="00E444DA"/>
    <w:rsid w:val="00E45C84"/>
    <w:rsid w:val="00E504E5"/>
    <w:rsid w:val="00E66A7A"/>
    <w:rsid w:val="00EB7A3E"/>
    <w:rsid w:val="00EC1AA7"/>
    <w:rsid w:val="00EC401A"/>
    <w:rsid w:val="00EF530A"/>
    <w:rsid w:val="00EF6622"/>
    <w:rsid w:val="00EF78A9"/>
    <w:rsid w:val="00F465D0"/>
    <w:rsid w:val="00F55408"/>
    <w:rsid w:val="00F66152"/>
    <w:rsid w:val="00F664B7"/>
    <w:rsid w:val="00F80845"/>
    <w:rsid w:val="00F84474"/>
    <w:rsid w:val="00F91BE8"/>
    <w:rsid w:val="00FA0F0D"/>
    <w:rsid w:val="00FA18B7"/>
    <w:rsid w:val="00FB507C"/>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814D4"/>
  <w15:docId w15:val="{FB9C5F52-C9A8-4727-83A3-7DEFDA60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6C7FC1"/>
    <w:rPr>
      <w:rFonts w:ascii="Arial" w:eastAsia="SimSun" w:hAnsi="Arial" w:cs="Arial"/>
      <w:bCs/>
      <w:iCs/>
      <w:caps/>
      <w:sz w:val="22"/>
      <w:szCs w:val="28"/>
      <w:lang w:val="es-ES" w:eastAsia="zh-CN"/>
    </w:rPr>
  </w:style>
  <w:style w:type="character" w:styleId="Hyperlink">
    <w:name w:val="Hyperlink"/>
    <w:basedOn w:val="DefaultParagraphFont"/>
    <w:unhideWhenUsed/>
    <w:rsid w:val="006C7FC1"/>
    <w:rPr>
      <w:color w:val="0000FF" w:themeColor="hyperlink"/>
      <w:u w:val="single"/>
    </w:rPr>
  </w:style>
  <w:style w:type="table" w:styleId="TableGrid">
    <w:name w:val="Table Grid"/>
    <w:basedOn w:val="TableNormal"/>
    <w:uiPriority w:val="39"/>
    <w:rsid w:val="006C7FC1"/>
    <w:rPr>
      <w:rFonts w:eastAsia="MS Mincho"/>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Browse+by+Yea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12</TotalTime>
  <Pages>6</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CWS/13/30 Corr. (Spanish) </vt:lpstr>
    </vt:vector>
  </TitlesOfParts>
  <Company>WIPO</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CWS/13/30 Corr. (Spanish) </dc:title>
  <dc:subject>Informe sobre los informes técnicos anuales de 2024 </dc:subject>
  <dc:creator>WIPO</dc:creator>
  <cp:keywords>WIPO CWS decimotercera sesión, Informe 2024, informes técnicos anuales, ATR</cp:keywords>
  <cp:lastModifiedBy>Author</cp:lastModifiedBy>
  <cp:revision>7</cp:revision>
  <cp:lastPrinted>2025-10-30T16:52:00Z</cp:lastPrinted>
  <dcterms:created xsi:type="dcterms:W3CDTF">2025-10-23T11:37:00Z</dcterms:created>
  <dcterms:modified xsi:type="dcterms:W3CDTF">2025-10-30T16:52:00Z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