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A498" w14:textId="652A4E53" w:rsidR="002F2FE1" w:rsidRPr="001E2FF2" w:rsidRDefault="002F2FE1" w:rsidP="004314FA">
      <w:pPr>
        <w:pStyle w:val="Heading1"/>
        <w:rPr>
          <w:lang w:val="es-419"/>
        </w:rPr>
      </w:pPr>
      <w:bookmarkStart w:id="0" w:name="_Toc99677711"/>
      <w:bookmarkStart w:id="1" w:name="_Toc371330382"/>
      <w:bookmarkStart w:id="2" w:name="_Toc383437131"/>
      <w:bookmarkStart w:id="3" w:name="_Toc383437608"/>
      <w:bookmarkStart w:id="4" w:name="_Toc383509991"/>
      <w:bookmarkStart w:id="5" w:name="_Toc463272176"/>
      <w:r w:rsidRPr="001E2FF2">
        <w:rPr>
          <w:lang w:val="es-419"/>
        </w:rPr>
        <w:t xml:space="preserve">Proyecto de recomendaciones para el intercambio de datos de propiedad intelectual y su uso </w:t>
      </w:r>
    </w:p>
    <w:p w14:paraId="1E900CE6" w14:textId="17CFF60E" w:rsidR="002F2FE1" w:rsidRPr="001E2FF2" w:rsidRDefault="00950837" w:rsidP="00D813C0">
      <w:pPr>
        <w:widowControl w:val="0"/>
        <w:kinsoku w:val="0"/>
        <w:spacing w:before="0" w:after="960"/>
        <w:jc w:val="center"/>
        <w:rPr>
          <w:rFonts w:eastAsia="Times New Roman" w:cs="Times New Roman"/>
          <w:i/>
          <w:kern w:val="0"/>
          <w:sz w:val="17"/>
          <w:szCs w:val="17"/>
          <w:highlight w:val="magenta"/>
          <w:lang w:val="es-419"/>
          <w14:ligatures w14:val="none"/>
        </w:rPr>
      </w:pPr>
      <w:r w:rsidRPr="001E2FF2">
        <w:rPr>
          <w:i/>
          <w:sz w:val="17"/>
          <w:lang w:val="es-419"/>
        </w:rPr>
        <w:t>Borrador de documento de trabajo para consulta</w:t>
      </w:r>
    </w:p>
    <w:p w14:paraId="0758429F" w14:textId="2E6115E9" w:rsidR="00535AD3" w:rsidRPr="001E2FF2" w:rsidRDefault="00535AD3" w:rsidP="004314FA">
      <w:pPr>
        <w:pStyle w:val="Heading2"/>
        <w:rPr>
          <w:lang w:val="es-419"/>
        </w:rPr>
      </w:pPr>
      <w:bookmarkStart w:id="6" w:name="_Toc209011734"/>
      <w:r w:rsidRPr="001E2FF2">
        <w:rPr>
          <w:lang w:val="es-419"/>
        </w:rPr>
        <w:t>INTRODUCCIÓN</w:t>
      </w:r>
      <w:bookmarkEnd w:id="0"/>
      <w:bookmarkEnd w:id="6"/>
    </w:p>
    <w:bookmarkEnd w:id="1"/>
    <w:bookmarkEnd w:id="2"/>
    <w:bookmarkEnd w:id="3"/>
    <w:bookmarkEnd w:id="4"/>
    <w:bookmarkEnd w:id="5"/>
    <w:p w14:paraId="600082BC" w14:textId="1E19AA8C" w:rsidR="00535AD3" w:rsidRPr="001E2FF2" w:rsidRDefault="00885F25" w:rsidP="004C02FD">
      <w:pPr>
        <w:tabs>
          <w:tab w:val="left" w:pos="426"/>
        </w:tabs>
        <w:spacing w:before="0" w:after="170"/>
        <w:rPr>
          <w:sz w:val="17"/>
          <w:lang w:val="es-419"/>
        </w:rPr>
      </w:pPr>
      <w:r w:rsidRPr="001E2FF2">
        <w:rPr>
          <w:rFonts w:eastAsia="Times New Roman" w:cs="Times New Roman"/>
          <w:sz w:val="17"/>
          <w:lang w:val="es-419"/>
        </w:rPr>
        <w:fldChar w:fldCharType="begin"/>
      </w:r>
      <w:r w:rsidRPr="001E2FF2">
        <w:rPr>
          <w:rFonts w:eastAsia="Times New Roman" w:cs="Times New Roman"/>
          <w:sz w:val="17"/>
          <w:lang w:val="es-419"/>
        </w:rPr>
        <w:instrText xml:space="preserve"> AUTONUM  </w:instrText>
      </w:r>
      <w:r w:rsidRPr="001E2FF2">
        <w:rPr>
          <w:rFonts w:eastAsia="Times New Roman" w:cs="Times New Roman"/>
          <w:sz w:val="17"/>
          <w:lang w:val="es-419"/>
        </w:rPr>
        <w:fldChar w:fldCharType="end"/>
      </w:r>
      <w:r w:rsidRPr="001E2FF2">
        <w:rPr>
          <w:lang w:val="es-419"/>
        </w:rPr>
        <w:tab/>
      </w:r>
      <w:r w:rsidRPr="001E2FF2">
        <w:rPr>
          <w:sz w:val="17"/>
          <w:lang w:val="es-419"/>
        </w:rPr>
        <w:t xml:space="preserve">La presente norma proporciona recomendaciones para el intercambio de datos de propiedad intelectual (PI) en formato electrónico </w:t>
      </w:r>
      <w:r w:rsidR="00100C90" w:rsidRPr="001E2FF2">
        <w:rPr>
          <w:sz w:val="17"/>
          <w:lang w:val="es-419"/>
        </w:rPr>
        <w:t>suministrados</w:t>
      </w:r>
      <w:r w:rsidRPr="001E2FF2">
        <w:rPr>
          <w:sz w:val="17"/>
          <w:lang w:val="es-419"/>
        </w:rPr>
        <w:t xml:space="preserve"> por oficinas de PI y recomendaciones para el uso de los datos objeto de intercambio entre las oficinas de PI.</w:t>
      </w:r>
    </w:p>
    <w:p w14:paraId="7BC0A79A" w14:textId="526074AF" w:rsidR="00D241FC" w:rsidRPr="001E2FF2" w:rsidRDefault="00885F25" w:rsidP="004C02FD">
      <w:pPr>
        <w:tabs>
          <w:tab w:val="left" w:pos="426"/>
        </w:tabs>
        <w:spacing w:before="0" w:after="170"/>
        <w:rPr>
          <w:rFonts w:cs="Times New Roman"/>
          <w:kern w:val="0"/>
          <w:sz w:val="17"/>
          <w:szCs w:val="20"/>
          <w:lang w:val="es-419"/>
          <w14:ligatures w14:val="none"/>
        </w:rPr>
      </w:pPr>
      <w:r w:rsidRPr="001E2FF2">
        <w:rPr>
          <w:sz w:val="17"/>
          <w:lang w:val="es-419"/>
        </w:rPr>
        <w:fldChar w:fldCharType="begin"/>
      </w:r>
      <w:r w:rsidRPr="001E2FF2">
        <w:rPr>
          <w:sz w:val="17"/>
          <w:lang w:val="es-419"/>
        </w:rPr>
        <w:instrText xml:space="preserve"> AUTONUM  </w:instrText>
      </w:r>
      <w:r w:rsidRPr="001E2FF2">
        <w:rPr>
          <w:sz w:val="17"/>
          <w:lang w:val="es-419"/>
        </w:rPr>
        <w:fldChar w:fldCharType="end"/>
      </w:r>
      <w:r w:rsidRPr="001E2FF2">
        <w:rPr>
          <w:sz w:val="17"/>
          <w:lang w:val="es-419"/>
        </w:rPr>
        <w:tab/>
        <w:t>En los últimos años, los organismos gubernamentales de muchos Estados miembros de la OMPI han abrazado la tendencia mundial de los datos abiertos, poniendo sus datos en línea a disposición del público</w:t>
      </w:r>
      <w:r w:rsidR="00170359" w:rsidRPr="001E2FF2">
        <w:rPr>
          <w:sz w:val="17"/>
          <w:lang w:val="es-419"/>
        </w:rPr>
        <w:t xml:space="preserve">. </w:t>
      </w:r>
      <w:r w:rsidRPr="001E2FF2">
        <w:rPr>
          <w:sz w:val="17"/>
          <w:lang w:val="es-419"/>
        </w:rPr>
        <w:t>Sin embargo, como muchos de ellos todavía no ponen a disposición del público la mayor parte de los datos de PI, ante el aumento del interés por estos datos, es necesario racionalizar y hacer más accesibles los datos de PI para que:</w:t>
      </w:r>
    </w:p>
    <w:p w14:paraId="28EAAC0B" w14:textId="0366BF76" w:rsidR="00D241FC" w:rsidRPr="001E2FF2" w:rsidRDefault="00D241FC" w:rsidP="00EE4B4F">
      <w:pPr>
        <w:pStyle w:val="ListParagraph"/>
        <w:numPr>
          <w:ilvl w:val="0"/>
          <w:numId w:val="3"/>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mejore la calidad de los servicios de administración de las oficinas de PI, como el examen; y</w:t>
      </w:r>
    </w:p>
    <w:p w14:paraId="3947AA6D" w14:textId="20E2CB75" w:rsidR="007E6701" w:rsidRPr="001E2FF2" w:rsidRDefault="00D241FC" w:rsidP="00EE4B4F">
      <w:pPr>
        <w:pStyle w:val="ListParagraph"/>
        <w:numPr>
          <w:ilvl w:val="0"/>
          <w:numId w:val="3"/>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los usuarios de cada país realicen investigaciones técnicas más específicas, estimulando así la innovación.</w:t>
      </w:r>
    </w:p>
    <w:p w14:paraId="6947DE79" w14:textId="0EA38253" w:rsidR="00CE230E" w:rsidRPr="001E2FF2" w:rsidRDefault="00CE230E" w:rsidP="005F2AB5">
      <w:pPr>
        <w:pStyle w:val="Heading2"/>
        <w:rPr>
          <w:lang w:val="es-419"/>
        </w:rPr>
      </w:pPr>
      <w:bookmarkStart w:id="7" w:name="_Toc209011735"/>
      <w:r w:rsidRPr="001E2FF2">
        <w:rPr>
          <w:lang w:val="es-419"/>
        </w:rPr>
        <w:t>ALCANCE DE LA NORMA TÉCNICA</w:t>
      </w:r>
      <w:bookmarkEnd w:id="7"/>
    </w:p>
    <w:p w14:paraId="1324C6A1" w14:textId="17CBC7BE" w:rsidR="0097443D" w:rsidRPr="001E2FF2" w:rsidRDefault="00CE230E" w:rsidP="007B0758">
      <w:pPr>
        <w:tabs>
          <w:tab w:val="left" w:pos="426"/>
        </w:tabs>
        <w:spacing w:before="0" w:after="170"/>
        <w:rPr>
          <w:sz w:val="17"/>
          <w:lang w:val="es-419"/>
        </w:rPr>
      </w:pPr>
      <w:r w:rsidRPr="001E2FF2">
        <w:rPr>
          <w:rFonts w:eastAsia="Times New Roman" w:cs="Times New Roman"/>
          <w:sz w:val="17"/>
          <w:lang w:val="es-419"/>
        </w:rPr>
        <w:fldChar w:fldCharType="begin"/>
      </w:r>
      <w:r w:rsidRPr="001E2FF2">
        <w:rPr>
          <w:rFonts w:eastAsia="Times New Roman" w:cs="Times New Roman"/>
          <w:sz w:val="17"/>
          <w:lang w:val="es-419"/>
        </w:rPr>
        <w:instrText xml:space="preserve"> AUTONUM  </w:instrText>
      </w:r>
      <w:r w:rsidRPr="001E2FF2">
        <w:rPr>
          <w:rFonts w:eastAsia="Times New Roman" w:cs="Times New Roman"/>
          <w:sz w:val="17"/>
          <w:lang w:val="es-419"/>
        </w:rPr>
        <w:fldChar w:fldCharType="end"/>
      </w:r>
      <w:r w:rsidRPr="001E2FF2">
        <w:rPr>
          <w:lang w:val="es-419"/>
        </w:rPr>
        <w:tab/>
      </w:r>
      <w:r w:rsidRPr="001E2FF2">
        <w:rPr>
          <w:sz w:val="17"/>
          <w:lang w:val="es-419"/>
        </w:rPr>
        <w:t>La presente norma proporciona un marco para el intercambio de datos de PI entre las oficinas de PI y de difusión de datos de PI al público.</w:t>
      </w:r>
    </w:p>
    <w:p w14:paraId="79B5C391" w14:textId="33AAF8C0" w:rsidR="006009B6" w:rsidRPr="001E2FF2" w:rsidRDefault="00D21C0A" w:rsidP="007B0758">
      <w:pPr>
        <w:tabs>
          <w:tab w:val="left" w:pos="426"/>
        </w:tabs>
        <w:spacing w:before="0" w:after="170"/>
        <w:rPr>
          <w:rFonts w:cs="Times New Roman"/>
          <w:kern w:val="0"/>
          <w:sz w:val="17"/>
          <w:szCs w:val="20"/>
          <w:lang w:val="es-419"/>
          <w14:ligatures w14:val="none"/>
        </w:rPr>
      </w:pPr>
      <w:r w:rsidRPr="001E2FF2">
        <w:rPr>
          <w:sz w:val="17"/>
          <w:lang w:val="es-419"/>
        </w:rPr>
        <w:fldChar w:fldCharType="begin"/>
      </w:r>
      <w:r w:rsidRPr="001E2FF2">
        <w:rPr>
          <w:sz w:val="17"/>
          <w:lang w:val="es-419"/>
        </w:rPr>
        <w:instrText xml:space="preserve"> AUTONUM  </w:instrText>
      </w:r>
      <w:r w:rsidRPr="001E2FF2">
        <w:rPr>
          <w:sz w:val="17"/>
          <w:lang w:val="es-419"/>
        </w:rPr>
        <w:fldChar w:fldCharType="end"/>
      </w:r>
      <w:r w:rsidRPr="001E2FF2">
        <w:rPr>
          <w:sz w:val="17"/>
          <w:lang w:val="es-419"/>
        </w:rPr>
        <w:tab/>
        <w:t>La presente norma proporciona el contenido recomendado de datos de PI que han de intercambiarse según se menciona en los “TIPOS DE DATOS DE PI OBJETO DE INTERCAMBIO” que figuran más adelante, pero no especifica la estructura detallada de datos de cada contenido</w:t>
      </w:r>
      <w:r w:rsidR="00170359" w:rsidRPr="001E2FF2">
        <w:rPr>
          <w:sz w:val="17"/>
          <w:lang w:val="es-419"/>
        </w:rPr>
        <w:t xml:space="preserve">. </w:t>
      </w:r>
      <w:r w:rsidRPr="001E2FF2">
        <w:rPr>
          <w:sz w:val="17"/>
          <w:lang w:val="es-419"/>
        </w:rPr>
        <w:t>Las recomendaciones detalladas sobre la estructura de los datos figuran en otras normas técnicas de la OMPI, especialmente en las normas enumeradas en la sección de referencias.</w:t>
      </w:r>
    </w:p>
    <w:p w14:paraId="3E64ADD9" w14:textId="7EE96BC0" w:rsidR="00535AD3" w:rsidRPr="001E2FF2" w:rsidRDefault="00885F25" w:rsidP="005F2AB5">
      <w:pPr>
        <w:pStyle w:val="Heading2"/>
        <w:rPr>
          <w:i/>
          <w:iCs/>
          <w:lang w:val="es-419"/>
        </w:rPr>
      </w:pPr>
      <w:bookmarkStart w:id="8" w:name="_Toc209011736"/>
      <w:r w:rsidRPr="001E2FF2">
        <w:rPr>
          <w:lang w:val="es-419"/>
        </w:rPr>
        <w:t>DEFINICIONES</w:t>
      </w:r>
      <w:bookmarkEnd w:id="8"/>
    </w:p>
    <w:p w14:paraId="7CA5B04E" w14:textId="6D0481D5" w:rsidR="00D9276C" w:rsidRPr="001E2FF2" w:rsidRDefault="00D9276C" w:rsidP="007B0758">
      <w:pPr>
        <w:tabs>
          <w:tab w:val="left" w:pos="426"/>
        </w:tabs>
        <w:spacing w:before="0" w:after="170"/>
        <w:rPr>
          <w:rFonts w:eastAsia="Times New Roman" w:cs="Times New Roman"/>
          <w:kern w:val="0"/>
          <w:sz w:val="17"/>
          <w:szCs w:val="20"/>
          <w:lang w:val="es-419"/>
          <w14:ligatures w14:val="none"/>
        </w:rPr>
      </w:pPr>
      <w:r w:rsidRPr="001E2FF2">
        <w:rPr>
          <w:rFonts w:eastAsia="Times New Roman" w:cs="Times New Roman"/>
          <w:sz w:val="17"/>
          <w:lang w:val="es-419"/>
        </w:rPr>
        <w:fldChar w:fldCharType="begin"/>
      </w:r>
      <w:r w:rsidRPr="001E2FF2">
        <w:rPr>
          <w:rFonts w:eastAsia="Times New Roman" w:cs="Times New Roman"/>
          <w:sz w:val="17"/>
          <w:lang w:val="es-419"/>
        </w:rPr>
        <w:instrText xml:space="preserve"> AUTONUM  </w:instrText>
      </w:r>
      <w:r w:rsidRPr="001E2FF2">
        <w:rPr>
          <w:rFonts w:eastAsia="Times New Roman" w:cs="Times New Roman"/>
          <w:sz w:val="17"/>
          <w:lang w:val="es-419"/>
        </w:rPr>
        <w:fldChar w:fldCharType="end"/>
      </w:r>
      <w:r w:rsidRPr="001E2FF2">
        <w:rPr>
          <w:sz w:val="17"/>
          <w:lang w:val="es-419"/>
        </w:rPr>
        <w:tab/>
        <w:t>A efectos de lo previsto en la presente norma:</w:t>
      </w:r>
    </w:p>
    <w:p w14:paraId="109AEFD2" w14:textId="0640C61F" w:rsidR="009A5312" w:rsidRPr="001E2FF2" w:rsidRDefault="000E04BA"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“datos de propiedad intelectual” o “datos de PI” se entiende los datos relacionados con las patentes, diseños (dibujos o modelos) industriales y las marcas.</w:t>
      </w:r>
    </w:p>
    <w:p w14:paraId="27FFEF6F" w14:textId="20B7E375" w:rsidR="004862D5" w:rsidRPr="001E2FF2" w:rsidRDefault="00E2386C"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“Oficina de origen” se entiende la oficina de PI que publica sus propios datos de PI.</w:t>
      </w:r>
    </w:p>
    <w:p w14:paraId="616FD8CD" w14:textId="7A573DD6" w:rsidR="00E2386C" w:rsidRPr="001E2FF2" w:rsidRDefault="00E2386C"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por “Oficina proveedora” se entiende la oficina de PI que </w:t>
      </w:r>
      <w:r w:rsidR="00AC096C" w:rsidRPr="001E2FF2">
        <w:rPr>
          <w:sz w:val="17"/>
          <w:lang w:val="es-419"/>
        </w:rPr>
        <w:t>suministra</w:t>
      </w:r>
      <w:r w:rsidRPr="001E2FF2">
        <w:rPr>
          <w:sz w:val="17"/>
          <w:lang w:val="es-419"/>
        </w:rPr>
        <w:t xml:space="preserve"> datos de PI a otra oficina de PI</w:t>
      </w:r>
      <w:r w:rsidR="00170359" w:rsidRPr="001E2FF2">
        <w:rPr>
          <w:sz w:val="17"/>
          <w:lang w:val="es-419"/>
        </w:rPr>
        <w:t xml:space="preserve">. </w:t>
      </w:r>
      <w:r w:rsidRPr="001E2FF2">
        <w:rPr>
          <w:sz w:val="17"/>
          <w:lang w:val="es-419"/>
        </w:rPr>
        <w:t xml:space="preserve">Cuando una Oficina de origen </w:t>
      </w:r>
      <w:r w:rsidR="00AC096C" w:rsidRPr="001E2FF2">
        <w:rPr>
          <w:sz w:val="17"/>
          <w:lang w:val="es-419"/>
        </w:rPr>
        <w:t>suministra</w:t>
      </w:r>
      <w:r w:rsidRPr="001E2FF2">
        <w:rPr>
          <w:sz w:val="17"/>
          <w:lang w:val="es-419"/>
        </w:rPr>
        <w:t xml:space="preserve"> datos de PI a una Oficina receptora directamente, se entiende que la Oficina proveedora es la Oficina de origen.</w:t>
      </w:r>
    </w:p>
    <w:p w14:paraId="38DC5892" w14:textId="56EFA82B" w:rsidR="00E2386C" w:rsidRPr="001E2FF2" w:rsidRDefault="00E2386C"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“Oficina receptora” se entiende la oficina de PI que re</w:t>
      </w:r>
      <w:r w:rsidR="00777CA3" w:rsidRPr="001E2FF2">
        <w:rPr>
          <w:sz w:val="17"/>
          <w:lang w:val="es-419"/>
        </w:rPr>
        <w:t>c</w:t>
      </w:r>
      <w:r w:rsidRPr="001E2FF2">
        <w:rPr>
          <w:sz w:val="17"/>
          <w:lang w:val="es-419"/>
        </w:rPr>
        <w:t>ibe datos de PI directamente de una Oficina proveedora.</w:t>
      </w:r>
    </w:p>
    <w:p w14:paraId="55547C6F" w14:textId="6A4797A9" w:rsidR="00885F25" w:rsidRPr="001E2FF2" w:rsidRDefault="00885F25"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por </w:t>
      </w:r>
      <w:r w:rsidR="007F40D2" w:rsidRPr="001E2FF2">
        <w:rPr>
          <w:sz w:val="17"/>
          <w:lang w:val="es-419"/>
        </w:rPr>
        <w:t>“</w:t>
      </w:r>
      <w:r w:rsidRPr="001E2FF2">
        <w:rPr>
          <w:sz w:val="17"/>
          <w:lang w:val="es-419"/>
        </w:rPr>
        <w:t>biblioteca</w:t>
      </w:r>
      <w:r w:rsidR="007F40D2" w:rsidRPr="001E2FF2">
        <w:rPr>
          <w:sz w:val="17"/>
          <w:lang w:val="es-419"/>
        </w:rPr>
        <w:t>”</w:t>
      </w:r>
      <w:r w:rsidRPr="001E2FF2">
        <w:rPr>
          <w:sz w:val="17"/>
          <w:lang w:val="es-419"/>
        </w:rPr>
        <w:t xml:space="preserve"> se entiende la institución cuya gestión depende directamente de la oficina de PI o que funciona como entidad no comercial</w:t>
      </w:r>
      <w:r w:rsidR="00170359" w:rsidRPr="001E2FF2">
        <w:rPr>
          <w:sz w:val="17"/>
          <w:lang w:val="es-419"/>
        </w:rPr>
        <w:t xml:space="preserve">. </w:t>
      </w:r>
      <w:r w:rsidRPr="001E2FF2">
        <w:rPr>
          <w:sz w:val="17"/>
          <w:lang w:val="es-419"/>
        </w:rPr>
        <w:t>La oficina de PI la autoriza a difundir sus datos de PI</w:t>
      </w:r>
      <w:r w:rsidR="00170359" w:rsidRPr="001E2FF2">
        <w:rPr>
          <w:sz w:val="17"/>
          <w:lang w:val="es-419"/>
        </w:rPr>
        <w:t xml:space="preserve">. </w:t>
      </w:r>
      <w:r w:rsidRPr="001E2FF2">
        <w:rPr>
          <w:sz w:val="17"/>
          <w:lang w:val="es-419"/>
        </w:rPr>
        <w:t>Dichas instituciones están establecidas o controladas por un órgano público o semipúblico a los fines de la difusión de información al público, como una biblioteca depositaria ubicada dentro de una oficina de PI.</w:t>
      </w:r>
    </w:p>
    <w:p w14:paraId="6C23EC34" w14:textId="1B9AA40F" w:rsidR="00885F25" w:rsidRPr="001E2FF2" w:rsidRDefault="00885F25"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“tercero” se entiende la oficina de PI, organización, institución académica, particular o empresa, que no es la Oficina proveedora (o su biblioteca) ni la Oficina receptora (o su biblioteca).</w:t>
      </w:r>
    </w:p>
    <w:p w14:paraId="5D48D282" w14:textId="7EDFA60A" w:rsidR="00A10C1A" w:rsidRPr="001E2FF2" w:rsidRDefault="00A10C1A"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por “uso externo de los datos” se entiende el uso, tratamiento y suministro de los datos objeto de intercambio a terceros, excluidas las oficinas de PI, para uso personal, de la empresa y comercial. </w:t>
      </w:r>
    </w:p>
    <w:p w14:paraId="3A277AA2" w14:textId="7DFD5439" w:rsidR="00DA36C9" w:rsidRPr="001E2FF2" w:rsidRDefault="00D130EA" w:rsidP="00302F41">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“uso oficial” se entiende el uso de los datos por funcionarios de una oficina receptora de PI o, cuando proceda, por un funcionario de una biblioteca:</w:t>
      </w:r>
    </w:p>
    <w:p w14:paraId="11C49DEB" w14:textId="07C8B72A" w:rsidR="00D130EA" w:rsidRPr="001E2FF2" w:rsidRDefault="00D130EA" w:rsidP="00302F41">
      <w:pPr>
        <w:pStyle w:val="ListParagraph"/>
        <w:numPr>
          <w:ilvl w:val="0"/>
          <w:numId w:val="4"/>
        </w:numPr>
        <w:spacing w:before="0" w:after="170"/>
        <w:ind w:left="1191" w:hanging="284"/>
        <w:contextualSpacing w:val="0"/>
        <w:rPr>
          <w:rFonts w:eastAsia="SimSun" w:cs="Arial"/>
          <w:kern w:val="0"/>
          <w:sz w:val="17"/>
          <w:szCs w:val="17"/>
          <w:lang w:val="es-419"/>
          <w14:ligatures w14:val="none"/>
        </w:rPr>
      </w:pPr>
      <w:r w:rsidRPr="001E2FF2">
        <w:rPr>
          <w:sz w:val="17"/>
          <w:lang w:val="es-419"/>
        </w:rPr>
        <w:t>en el marco de los procedimientos oficiales para la concesión de títulos de PI, incluidos los procedimientos de búsqueda, examen, mantenimiento y recurso;</w:t>
      </w:r>
    </w:p>
    <w:p w14:paraId="3EEAF39F" w14:textId="7A94FB0D" w:rsidR="00D130EA" w:rsidRPr="001E2FF2" w:rsidRDefault="00D130EA" w:rsidP="00302F41">
      <w:pPr>
        <w:pStyle w:val="ListParagraph"/>
        <w:numPr>
          <w:ilvl w:val="0"/>
          <w:numId w:val="4"/>
        </w:numPr>
        <w:spacing w:before="0" w:after="170"/>
        <w:ind w:left="1191" w:hanging="284"/>
        <w:contextualSpacing w:val="0"/>
        <w:rPr>
          <w:rFonts w:eastAsia="SimSun" w:cs="Arial"/>
          <w:kern w:val="0"/>
          <w:sz w:val="17"/>
          <w:szCs w:val="17"/>
          <w:lang w:val="es-419"/>
          <w14:ligatures w14:val="none"/>
        </w:rPr>
      </w:pPr>
      <w:r w:rsidRPr="001E2FF2">
        <w:rPr>
          <w:sz w:val="17"/>
          <w:lang w:val="es-419"/>
        </w:rPr>
        <w:t>a los fines de análisis estadísticos y técnicos en el marco de las actividades oficiales de la oficina de PI;</w:t>
      </w:r>
    </w:p>
    <w:p w14:paraId="5690FDE4" w14:textId="1165D952" w:rsidR="00D130EA" w:rsidRPr="001E2FF2" w:rsidRDefault="00D130EA" w:rsidP="00302F41">
      <w:pPr>
        <w:pStyle w:val="ListParagraph"/>
        <w:numPr>
          <w:ilvl w:val="0"/>
          <w:numId w:val="4"/>
        </w:numPr>
        <w:spacing w:before="0" w:after="170"/>
        <w:ind w:left="1191" w:hanging="284"/>
        <w:contextualSpacing w:val="0"/>
        <w:rPr>
          <w:rFonts w:eastAsia="SimSun" w:cs="Arial"/>
          <w:kern w:val="0"/>
          <w:sz w:val="17"/>
          <w:szCs w:val="17"/>
          <w:lang w:val="es-419"/>
          <w14:ligatures w14:val="none"/>
        </w:rPr>
      </w:pPr>
      <w:r w:rsidRPr="001E2FF2">
        <w:rPr>
          <w:sz w:val="17"/>
          <w:lang w:val="es-419"/>
        </w:rPr>
        <w:t xml:space="preserve">con el fin de proporcionar servicios especial al público para satisfacer requisitos específicos de usuarios particulares o empresas basados en sus propias necesidades; </w:t>
      </w:r>
    </w:p>
    <w:p w14:paraId="3D3B963B" w14:textId="53BE9560" w:rsidR="00D130EA" w:rsidRPr="001E2FF2" w:rsidRDefault="00D130EA" w:rsidP="004015AE">
      <w:pPr>
        <w:pStyle w:val="ListParagraph"/>
        <w:numPr>
          <w:ilvl w:val="0"/>
          <w:numId w:val="4"/>
        </w:numPr>
        <w:spacing w:before="0" w:after="170"/>
        <w:ind w:left="1191" w:hanging="284"/>
        <w:contextualSpacing w:val="0"/>
        <w:rPr>
          <w:rFonts w:eastAsia="SimSun" w:cs="Arial"/>
          <w:kern w:val="0"/>
          <w:sz w:val="17"/>
          <w:szCs w:val="17"/>
          <w:lang w:val="es-419"/>
          <w14:ligatures w14:val="none"/>
        </w:rPr>
      </w:pPr>
      <w:r w:rsidRPr="001E2FF2">
        <w:rPr>
          <w:sz w:val="17"/>
          <w:lang w:val="es-419"/>
        </w:rPr>
        <w:lastRenderedPageBreak/>
        <w:t>a los fines de proporcionar actividades de formación sistemáticas, siempre y cuando el uso de los datos sea compatible con el uso leal y no exceda el alcance justificado por el propósito o las copias de los datos para el uso de la Oficina o biblioteca receptora;</w:t>
      </w:r>
    </w:p>
    <w:p w14:paraId="31FF2BC1" w14:textId="5756ABBF" w:rsidR="00D130EA" w:rsidRPr="001E2FF2" w:rsidRDefault="00D130EA" w:rsidP="00302F41">
      <w:pPr>
        <w:pStyle w:val="ListParagraph"/>
        <w:numPr>
          <w:ilvl w:val="0"/>
          <w:numId w:val="4"/>
        </w:numPr>
        <w:spacing w:before="0" w:after="170"/>
        <w:ind w:left="1191" w:hanging="284"/>
        <w:contextualSpacing w:val="0"/>
        <w:rPr>
          <w:rFonts w:eastAsia="SimSun" w:cs="Arial"/>
          <w:kern w:val="0"/>
          <w:sz w:val="17"/>
          <w:szCs w:val="17"/>
          <w:lang w:val="es-419"/>
          <w14:ligatures w14:val="none"/>
        </w:rPr>
      </w:pPr>
      <w:r w:rsidRPr="001E2FF2">
        <w:rPr>
          <w:sz w:val="17"/>
          <w:lang w:val="es-419"/>
        </w:rPr>
        <w:t>para el uso en los servicios públicos existentes o futuros de la oficina de PI receptora; y</w:t>
      </w:r>
    </w:p>
    <w:p w14:paraId="253E482F" w14:textId="3E6D1188" w:rsidR="00D130EA" w:rsidRPr="001E2FF2" w:rsidRDefault="00D130EA" w:rsidP="00302F41">
      <w:pPr>
        <w:pStyle w:val="ListParagraph"/>
        <w:numPr>
          <w:ilvl w:val="0"/>
          <w:numId w:val="4"/>
        </w:numPr>
        <w:spacing w:before="0" w:after="170"/>
        <w:ind w:left="1191" w:hanging="284"/>
        <w:contextualSpacing w:val="0"/>
        <w:rPr>
          <w:rFonts w:eastAsia="SimSun" w:cs="Arial"/>
          <w:kern w:val="0"/>
          <w:sz w:val="17"/>
          <w:szCs w:val="17"/>
          <w:lang w:val="es-419"/>
          <w14:ligatures w14:val="none"/>
        </w:rPr>
      </w:pPr>
      <w:r w:rsidRPr="001E2FF2">
        <w:rPr>
          <w:sz w:val="17"/>
          <w:lang w:val="es-419"/>
        </w:rPr>
        <w:t>en el suministro de herramientas para prestar apoyo a los usuarios para que utilicen más eficientemente los datos de PI.</w:t>
      </w:r>
    </w:p>
    <w:p w14:paraId="500F80AF" w14:textId="745BB283" w:rsidR="00157436" w:rsidRPr="001E2FF2" w:rsidRDefault="00D130EA"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“uso de biblioteca” se entiende el uso de los datos por miembros del público cuando ejecutan búsquedas en las oficinas de PI o en las bibliotecas.</w:t>
      </w:r>
    </w:p>
    <w:p w14:paraId="0215F5C9" w14:textId="20A14FBF" w:rsidR="002B0F50" w:rsidRPr="001E2FF2" w:rsidRDefault="000E04BA"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bookmarkStart w:id="9" w:name="_Toc207995207"/>
      <w:bookmarkEnd w:id="9"/>
      <w:r w:rsidRPr="001E2FF2">
        <w:rPr>
          <w:sz w:val="17"/>
          <w:lang w:val="es-419"/>
        </w:rPr>
        <w:t>por “uso de intercambio de datos” se entiende el uso de datos para suministrarlos a oficinas de PI de terceros (bajo la condición de la aceptación mutua del principio de reciprocidad).</w:t>
      </w:r>
    </w:p>
    <w:p w14:paraId="5529601F" w14:textId="4578BCE0" w:rsidR="00B60AB1" w:rsidRPr="001E2FF2" w:rsidRDefault="00D63F50"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el “uso interno” de los datos consiste en el “uso oficial”, el “uso de biblioteca” y el “uso de intercambio de datos” por parte de la Oficina receptora, según lo dispuesto anteriormente.</w:t>
      </w:r>
    </w:p>
    <w:p w14:paraId="018B283B" w14:textId="7D241375" w:rsidR="00F674F8" w:rsidRPr="001E2FF2" w:rsidRDefault="00F674F8"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el “costo marginal” comprende todos los costos, a excepción de los costos de producción, para hacer accesible el producto (por ejemplo, el costo del disco virgen, el uso de la computadora, la copia, el embalaje/transporte y la mano de obra).</w:t>
      </w:r>
    </w:p>
    <w:p w14:paraId="0174AA2B" w14:textId="706FC049" w:rsidR="005A12E7" w:rsidRPr="001E2FF2" w:rsidRDefault="005A12E7" w:rsidP="00EE4B4F">
      <w:pPr>
        <w:pStyle w:val="ListParagraph"/>
        <w:numPr>
          <w:ilvl w:val="0"/>
          <w:numId w:val="6"/>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por “en forma masiva” se entiende la posibilidad de descargar más de un documento en una sola transacción.</w:t>
      </w:r>
    </w:p>
    <w:p w14:paraId="681E6CC3" w14:textId="6A3EAA0B" w:rsidR="00560A6C" w:rsidRPr="001E2FF2" w:rsidRDefault="00560A6C" w:rsidP="00BA7812">
      <w:pPr>
        <w:pStyle w:val="ListParagraph"/>
        <w:tabs>
          <w:tab w:val="left" w:pos="426"/>
        </w:tabs>
        <w:spacing w:before="0" w:after="170"/>
        <w:ind w:left="0"/>
        <w:contextualSpacing w:val="0"/>
        <w:rPr>
          <w:bCs/>
          <w:sz w:val="17"/>
          <w:szCs w:val="17"/>
          <w:lang w:val="es-419"/>
        </w:rPr>
      </w:pPr>
      <w:r w:rsidRPr="001E2FF2">
        <w:rPr>
          <w:sz w:val="17"/>
          <w:lang w:val="es-419"/>
        </w:rPr>
        <w:fldChar w:fldCharType="begin"/>
      </w:r>
      <w:r w:rsidRPr="001E2FF2">
        <w:rPr>
          <w:sz w:val="17"/>
          <w:lang w:val="es-419"/>
        </w:rPr>
        <w:instrText xml:space="preserve"> AUTONUM  </w:instrText>
      </w:r>
      <w:r w:rsidRPr="001E2FF2">
        <w:rPr>
          <w:sz w:val="17"/>
          <w:lang w:val="es-419"/>
        </w:rPr>
        <w:fldChar w:fldCharType="end"/>
      </w:r>
      <w:r w:rsidRPr="001E2FF2">
        <w:rPr>
          <w:sz w:val="17"/>
          <w:lang w:val="es-419"/>
        </w:rPr>
        <w:tab/>
        <w:t>A los fines de la presente norma:</w:t>
      </w:r>
    </w:p>
    <w:p w14:paraId="74580820" w14:textId="5C43A87F" w:rsidR="00F35897" w:rsidRPr="001E2FF2" w:rsidRDefault="00F35897" w:rsidP="00EE4B4F">
      <w:pPr>
        <w:pStyle w:val="ListParagraph"/>
        <w:numPr>
          <w:ilvl w:val="0"/>
          <w:numId w:val="7"/>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“puede” hace referencia a un enfoque facultativo o autorizado, pero no a un requisito.</w:t>
      </w:r>
    </w:p>
    <w:p w14:paraId="775382ED" w14:textId="0A30A377" w:rsidR="00B16A0D" w:rsidRPr="001E2FF2" w:rsidRDefault="00524356" w:rsidP="00EE4B4F">
      <w:pPr>
        <w:pStyle w:val="ListParagraph"/>
        <w:numPr>
          <w:ilvl w:val="0"/>
          <w:numId w:val="7"/>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“debería” hace referencia a un enfoque al que se insta vivamente, pero no a un requisito.</w:t>
      </w:r>
    </w:p>
    <w:p w14:paraId="7CA5E993" w14:textId="5CFF3213" w:rsidR="00B94E73" w:rsidRPr="001E2FF2" w:rsidRDefault="00266881" w:rsidP="00EE4B4F">
      <w:pPr>
        <w:pStyle w:val="ListParagraph"/>
        <w:numPr>
          <w:ilvl w:val="0"/>
          <w:numId w:val="7"/>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“no debería” hace referencia a un enfoque que se desaconseja vivamente, pero no a una prohibición. </w:t>
      </w:r>
    </w:p>
    <w:p w14:paraId="7A0A3592" w14:textId="17582B8A" w:rsidR="0012344B" w:rsidRPr="001E2FF2" w:rsidRDefault="00CE230E" w:rsidP="005F2AB5">
      <w:pPr>
        <w:pStyle w:val="Heading2"/>
        <w:rPr>
          <w:lang w:val="es-419"/>
        </w:rPr>
      </w:pPr>
      <w:bookmarkStart w:id="10" w:name="_Toc209011737"/>
      <w:r w:rsidRPr="001E2FF2">
        <w:rPr>
          <w:lang w:val="es-419"/>
        </w:rPr>
        <w:t>CONDICIONES DEL SUMINISTRO, USO Y DIFUSIÓN DE DATOS DE PI</w:t>
      </w:r>
      <w:bookmarkEnd w:id="10"/>
    </w:p>
    <w:p w14:paraId="0A5CCD40" w14:textId="40D5AB31" w:rsidR="00542AC3" w:rsidRPr="001E2FF2" w:rsidRDefault="00542AC3" w:rsidP="005F2AB5">
      <w:pPr>
        <w:pStyle w:val="Heading2"/>
        <w:rPr>
          <w:lang w:val="es-419"/>
        </w:rPr>
      </w:pPr>
      <w:r w:rsidRPr="001E2FF2">
        <w:rPr>
          <w:lang w:val="es-419"/>
        </w:rPr>
        <w:t>PRINCIPIOS</w:t>
      </w:r>
    </w:p>
    <w:p w14:paraId="6CE4A40D" w14:textId="46C6A717" w:rsidR="0061284C" w:rsidRPr="001E2FF2" w:rsidRDefault="0061284C" w:rsidP="00071D5E">
      <w:pPr>
        <w:tabs>
          <w:tab w:val="left" w:pos="426"/>
        </w:tabs>
        <w:spacing w:before="0" w:after="170"/>
        <w:rPr>
          <w:lang w:val="es-419"/>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sz w:val="17"/>
          <w:lang w:val="es-419"/>
        </w:rPr>
        <w:t>Cada oficina de PI comparte la idea común de que sus propios datos de PI deberían suministrarse al público y a terceros sobre la base del principio del costo marginal o gratuitamente, y que debería mejorarse la calidad de los exámenes y promoverse la utilización de los datos de PI por los usuarios</w:t>
      </w:r>
      <w:r w:rsidR="00170359" w:rsidRPr="001E2FF2">
        <w:rPr>
          <w:sz w:val="17"/>
          <w:lang w:val="es-419"/>
        </w:rPr>
        <w:t xml:space="preserve">. </w:t>
      </w:r>
      <w:r w:rsidRPr="001E2FF2">
        <w:rPr>
          <w:sz w:val="17"/>
          <w:lang w:val="es-419"/>
        </w:rPr>
        <w:t xml:space="preserve">A fin de lograr esos objetivos, se recomienda a las oficinas de PI que presten apoyo al flujo sin trabas de los datos de PI, al intercambio de datos entre ellas en cumplimiento del principio de reciprocidad recomendado en la presente norma y </w:t>
      </w:r>
      <w:r w:rsidR="00FC09D7" w:rsidRPr="001E2FF2">
        <w:rPr>
          <w:sz w:val="17"/>
          <w:lang w:val="es-419"/>
        </w:rPr>
        <w:t>suministr</w:t>
      </w:r>
      <w:r w:rsidRPr="001E2FF2">
        <w:rPr>
          <w:sz w:val="17"/>
          <w:lang w:val="es-419"/>
        </w:rPr>
        <w:t>en los datos de PI a terceros.</w:t>
      </w:r>
    </w:p>
    <w:p w14:paraId="0C1C4BC5" w14:textId="353D44A9" w:rsidR="00964EB0" w:rsidRPr="001E2FF2" w:rsidRDefault="00964EB0" w:rsidP="00DE58F5">
      <w:pPr>
        <w:pStyle w:val="Heading3"/>
        <w:rPr>
          <w:lang w:val="es-419"/>
        </w:rPr>
      </w:pPr>
      <w:r w:rsidRPr="001E2FF2">
        <w:rPr>
          <w:lang w:val="es-419"/>
        </w:rPr>
        <w:t>Principio de reciprocidad</w:t>
      </w:r>
    </w:p>
    <w:p w14:paraId="7E9BE891" w14:textId="357130B7" w:rsidR="00964EB0" w:rsidRPr="001E2FF2" w:rsidRDefault="00EB0BC5" w:rsidP="00071D5E">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sz w:val="17"/>
          <w:lang w:val="es-419"/>
        </w:rPr>
        <w:t xml:space="preserve">Cuando una Oficina de origen </w:t>
      </w:r>
      <w:r w:rsidR="00FC09D7" w:rsidRPr="001E2FF2">
        <w:rPr>
          <w:sz w:val="17"/>
          <w:lang w:val="es-419"/>
        </w:rPr>
        <w:t xml:space="preserve">suministra </w:t>
      </w:r>
      <w:r w:rsidRPr="001E2FF2">
        <w:rPr>
          <w:sz w:val="17"/>
          <w:lang w:val="es-419"/>
        </w:rPr>
        <w:t xml:space="preserve">datos de PI a una Oficina receptora, la Oficina de origen debería reunir los requisitos necesarios para recibir dichos datos de la Oficina receptora, y la Oficina receptora debería estar preparada para </w:t>
      </w:r>
      <w:r w:rsidR="00FC09D7" w:rsidRPr="001E2FF2">
        <w:rPr>
          <w:sz w:val="17"/>
          <w:lang w:val="es-419"/>
        </w:rPr>
        <w:t>suministrar</w:t>
      </w:r>
      <w:r w:rsidRPr="001E2FF2">
        <w:rPr>
          <w:sz w:val="17"/>
          <w:lang w:val="es-419"/>
        </w:rPr>
        <w:t xml:space="preserve"> a la Oficina de origen sus propios datos de PI equivalentes a los datos de PI </w:t>
      </w:r>
      <w:r w:rsidR="00FC09D7" w:rsidRPr="001E2FF2">
        <w:rPr>
          <w:sz w:val="17"/>
          <w:lang w:val="es-419"/>
        </w:rPr>
        <w:t>suministrad</w:t>
      </w:r>
      <w:r w:rsidRPr="001E2FF2">
        <w:rPr>
          <w:sz w:val="17"/>
          <w:lang w:val="es-419"/>
        </w:rPr>
        <w:t>os</w:t>
      </w:r>
      <w:r w:rsidR="00170359" w:rsidRPr="001E2FF2">
        <w:rPr>
          <w:sz w:val="17"/>
          <w:lang w:val="es-419"/>
        </w:rPr>
        <w:t xml:space="preserve">. </w:t>
      </w:r>
      <w:r w:rsidRPr="001E2FF2">
        <w:rPr>
          <w:sz w:val="17"/>
          <w:lang w:val="es-419"/>
        </w:rPr>
        <w:t xml:space="preserve">Cuando una Oficina receptora </w:t>
      </w:r>
      <w:r w:rsidR="00FC09D7" w:rsidRPr="001E2FF2">
        <w:rPr>
          <w:sz w:val="17"/>
          <w:lang w:val="es-419"/>
        </w:rPr>
        <w:t xml:space="preserve">suministra </w:t>
      </w:r>
      <w:r w:rsidRPr="001E2FF2">
        <w:rPr>
          <w:sz w:val="17"/>
          <w:lang w:val="es-419"/>
        </w:rPr>
        <w:t xml:space="preserve">a una tercera oficina de PI datos de PI </w:t>
      </w:r>
      <w:r w:rsidR="00FC09D7" w:rsidRPr="001E2FF2">
        <w:rPr>
          <w:sz w:val="17"/>
          <w:lang w:val="es-419"/>
        </w:rPr>
        <w:t>suministrad</w:t>
      </w:r>
      <w:r w:rsidRPr="001E2FF2">
        <w:rPr>
          <w:sz w:val="17"/>
          <w:lang w:val="es-419"/>
        </w:rPr>
        <w:t xml:space="preserve">os por una Oficina de origen, la Oficina de origen debería reunir los requisitos necesarios para recibir dichos datos de la tercera oficina de PI, y esta última debería estar preparada para </w:t>
      </w:r>
      <w:r w:rsidR="00FC09D7" w:rsidRPr="001E2FF2">
        <w:rPr>
          <w:sz w:val="17"/>
          <w:lang w:val="es-419"/>
        </w:rPr>
        <w:t>suministrar</w:t>
      </w:r>
      <w:r w:rsidRPr="001E2FF2">
        <w:rPr>
          <w:sz w:val="17"/>
          <w:lang w:val="es-419"/>
        </w:rPr>
        <w:t xml:space="preserve"> a la Oficina de origen sus propios datos de PI equivalentes a los datos de PI </w:t>
      </w:r>
      <w:r w:rsidR="00FC09D7" w:rsidRPr="001E2FF2">
        <w:rPr>
          <w:sz w:val="17"/>
          <w:lang w:val="es-419"/>
        </w:rPr>
        <w:t>suministrad</w:t>
      </w:r>
      <w:r w:rsidRPr="001E2FF2">
        <w:rPr>
          <w:sz w:val="17"/>
          <w:lang w:val="es-419"/>
        </w:rPr>
        <w:t>os</w:t>
      </w:r>
      <w:r w:rsidR="00170359" w:rsidRPr="001E2FF2">
        <w:rPr>
          <w:sz w:val="17"/>
          <w:lang w:val="es-419"/>
        </w:rPr>
        <w:t xml:space="preserve">. </w:t>
      </w:r>
      <w:r w:rsidRPr="001E2FF2">
        <w:rPr>
          <w:sz w:val="17"/>
          <w:lang w:val="es-419"/>
        </w:rPr>
        <w:t xml:space="preserve">Sin embargo, esto no se aplica si la Oficina de origen declara explícitamente que no necesita de dicha Oficina receptora o dicha tercera oficina de PI los datos equivalentes a los datos </w:t>
      </w:r>
      <w:r w:rsidR="00FC09D7" w:rsidRPr="001E2FF2">
        <w:rPr>
          <w:sz w:val="17"/>
          <w:lang w:val="es-419"/>
        </w:rPr>
        <w:t>suministrad</w:t>
      </w:r>
      <w:r w:rsidRPr="001E2FF2">
        <w:rPr>
          <w:sz w:val="17"/>
          <w:lang w:val="es-419"/>
        </w:rPr>
        <w:t>os por la Oficina de origen.</w:t>
      </w:r>
    </w:p>
    <w:p w14:paraId="521A224B" w14:textId="506B30AB" w:rsidR="003F3F4B" w:rsidRPr="001E2FF2" w:rsidRDefault="003F3F4B" w:rsidP="00F3335B">
      <w:pPr>
        <w:pStyle w:val="Heading3"/>
        <w:rPr>
          <w:lang w:val="es-419"/>
        </w:rPr>
      </w:pPr>
      <w:bookmarkStart w:id="11" w:name="_Toc209011738"/>
      <w:r w:rsidRPr="001E2FF2">
        <w:rPr>
          <w:lang w:val="es-419"/>
        </w:rPr>
        <w:t>Autorización de uso interno</w:t>
      </w:r>
      <w:bookmarkEnd w:id="11"/>
    </w:p>
    <w:p w14:paraId="1A81F302" w14:textId="48F8317D" w:rsidR="00E072A4" w:rsidRPr="001E2FF2" w:rsidRDefault="00554B05" w:rsidP="00071D5E">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sz w:val="17"/>
          <w:lang w:val="es-419"/>
        </w:rPr>
        <w:t>Las Oficinas receptoras deberían poder utilizar internamente los datos objeto de intercambio sin ninguna restricción para el “uso oficial” y el “uso de biblioteca”</w:t>
      </w:r>
      <w:r w:rsidR="00170359" w:rsidRPr="001E2FF2">
        <w:rPr>
          <w:sz w:val="17"/>
          <w:lang w:val="es-419"/>
        </w:rPr>
        <w:t xml:space="preserve">. </w:t>
      </w:r>
      <w:r w:rsidRPr="001E2FF2">
        <w:rPr>
          <w:sz w:val="17"/>
          <w:lang w:val="es-419"/>
        </w:rPr>
        <w:t xml:space="preserve">Las Oficinas receptoras deberían poder </w:t>
      </w:r>
      <w:r w:rsidR="00FC09D7" w:rsidRPr="001E2FF2">
        <w:rPr>
          <w:sz w:val="17"/>
          <w:lang w:val="es-419"/>
        </w:rPr>
        <w:t>suministrar</w:t>
      </w:r>
      <w:r w:rsidRPr="001E2FF2">
        <w:rPr>
          <w:sz w:val="17"/>
          <w:lang w:val="es-419"/>
        </w:rPr>
        <w:t xml:space="preserve"> a terceras oficinas de PI los datos objeto de intercambio, siempre y cuando la tercera oficina de PI respete el principio de reciprocidad. </w:t>
      </w:r>
    </w:p>
    <w:p w14:paraId="125683D8" w14:textId="48B7AEFC" w:rsidR="00746F03" w:rsidRPr="001E2FF2" w:rsidRDefault="00746F03" w:rsidP="00F3335B">
      <w:pPr>
        <w:pStyle w:val="Heading3"/>
        <w:rPr>
          <w:lang w:val="es-419"/>
        </w:rPr>
      </w:pPr>
      <w:bookmarkStart w:id="12" w:name="_Toc209011739"/>
      <w:r w:rsidRPr="001E2FF2">
        <w:rPr>
          <w:lang w:val="es-419"/>
        </w:rPr>
        <w:t>Autorización de uso externo</w:t>
      </w:r>
      <w:bookmarkEnd w:id="12"/>
    </w:p>
    <w:p w14:paraId="215C1E82" w14:textId="69F5588D" w:rsidR="00DB6BD7" w:rsidRPr="001E2FF2" w:rsidRDefault="0006331E" w:rsidP="00071D5E">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 xml:space="preserve">Las Oficinas receptoras deberían poder </w:t>
      </w:r>
      <w:r w:rsidR="00FC09D7" w:rsidRPr="001E2FF2">
        <w:rPr>
          <w:rFonts w:eastAsia="SimSun" w:cs="Arial"/>
          <w:kern w:val="0"/>
          <w:sz w:val="17"/>
          <w:szCs w:val="17"/>
          <w:lang w:val="es-419"/>
          <w14:ligatures w14:val="none"/>
        </w:rPr>
        <w:t>suministrar</w:t>
      </w:r>
      <w:r w:rsidRPr="001E2FF2">
        <w:rPr>
          <w:rFonts w:eastAsia="SimSun" w:cs="Arial"/>
          <w:kern w:val="0"/>
          <w:sz w:val="17"/>
          <w:szCs w:val="17"/>
          <w:lang w:val="es-419"/>
          <w14:ligatures w14:val="none"/>
        </w:rPr>
        <w:t xml:space="preserve"> los datos objeto de intercambio en cualquier forma, incluida la forma masiva, a terceros para uso externo y comercial.</w:t>
      </w:r>
    </w:p>
    <w:p w14:paraId="0E863CBE" w14:textId="5D0B9F2C" w:rsidR="00E072A4" w:rsidRPr="001E2FF2" w:rsidRDefault="00DB6BD7" w:rsidP="00071D5E">
      <w:pPr>
        <w:tabs>
          <w:tab w:val="left" w:pos="426"/>
        </w:tabs>
        <w:spacing w:before="0" w:after="170"/>
        <w:rPr>
          <w:rFonts w:eastAsia="SimSun" w:cs="Arial"/>
          <w:kern w:val="0"/>
          <w:sz w:val="17"/>
          <w:szCs w:val="17"/>
          <w:lang w:val="es-419"/>
          <w14:ligatures w14:val="none"/>
        </w:rPr>
      </w:pPr>
      <w:r w:rsidRPr="001E2FF2">
        <w:rPr>
          <w:rFonts w:eastAsia="SimSun" w:cs="Arial"/>
          <w:kern w:val="0"/>
          <w:sz w:val="17"/>
          <w:szCs w:val="17"/>
          <w:lang w:val="es-419"/>
          <w14:ligatures w14:val="none"/>
        </w:rPr>
        <w:fldChar w:fldCharType="begin"/>
      </w:r>
      <w:r w:rsidRPr="001E2FF2">
        <w:rPr>
          <w:rFonts w:eastAsia="SimSun" w:cs="Arial"/>
          <w:kern w:val="0"/>
          <w:sz w:val="17"/>
          <w:szCs w:val="17"/>
          <w:lang w:val="es-419"/>
          <w14:ligatures w14:val="none"/>
        </w:rPr>
        <w:instrText xml:space="preserve"> AUTONUM  </w:instrText>
      </w:r>
      <w:r w:rsidRPr="001E2FF2">
        <w:rPr>
          <w:rFonts w:eastAsia="SimSun" w:cs="Arial"/>
          <w:kern w:val="0"/>
          <w:sz w:val="17"/>
          <w:szCs w:val="17"/>
          <w:lang w:val="es-419"/>
          <w14:ligatures w14:val="none"/>
        </w:rPr>
        <w:fldChar w:fldCharType="end"/>
      </w:r>
      <w:r w:rsidRPr="001E2FF2">
        <w:rPr>
          <w:rFonts w:eastAsia="SimSun" w:cs="Arial"/>
          <w:kern w:val="0"/>
          <w:sz w:val="17"/>
          <w:szCs w:val="17"/>
          <w:lang w:val="es-419"/>
          <w14:ligatures w14:val="none"/>
        </w:rPr>
        <w:tab/>
        <w:t xml:space="preserve">Un tercero solo podrá redistribuir los datos si ha añadido valor, por ejemplo, </w:t>
      </w:r>
      <w:r w:rsidR="00C05235" w:rsidRPr="001E2FF2">
        <w:rPr>
          <w:rFonts w:eastAsia="SimSun" w:cs="Arial"/>
          <w:kern w:val="0"/>
          <w:sz w:val="17"/>
          <w:szCs w:val="17"/>
          <w:lang w:val="es-419"/>
          <w14:ligatures w14:val="none"/>
        </w:rPr>
        <w:t>efectuando preparativos</w:t>
      </w:r>
      <w:r w:rsidRPr="001E2FF2">
        <w:rPr>
          <w:rFonts w:eastAsia="SimSun" w:cs="Arial"/>
          <w:kern w:val="0"/>
          <w:sz w:val="17"/>
          <w:szCs w:val="17"/>
          <w:lang w:val="es-419"/>
          <w14:ligatures w14:val="none"/>
        </w:rPr>
        <w:t xml:space="preserve"> para el entrenamiento de modelos de IA</w:t>
      </w:r>
      <w:r w:rsidR="00170359" w:rsidRPr="001E2FF2">
        <w:rPr>
          <w:rFonts w:eastAsia="SimSun" w:cs="Arial"/>
          <w:kern w:val="0"/>
          <w:sz w:val="17"/>
          <w:szCs w:val="17"/>
          <w:lang w:val="es-419"/>
          <w14:ligatures w14:val="none"/>
        </w:rPr>
        <w:t xml:space="preserve">. </w:t>
      </w:r>
      <w:r w:rsidRPr="001E2FF2">
        <w:rPr>
          <w:sz w:val="17"/>
          <w:lang w:val="es-419"/>
        </w:rPr>
        <w:t>Los datos no deberían redistribuirse en su forma original “tal cual”</w:t>
      </w:r>
      <w:r w:rsidR="00B9778B" w:rsidRPr="001E2FF2">
        <w:rPr>
          <w:sz w:val="17"/>
          <w:lang w:val="es-419"/>
        </w:rPr>
        <w:t>.</w:t>
      </w:r>
      <w:r w:rsidR="00AF3797" w:rsidRPr="001E2FF2">
        <w:rPr>
          <w:rStyle w:val="FootnoteReference"/>
          <w:rFonts w:eastAsia="SimSun" w:cs="Arial"/>
          <w:kern w:val="0"/>
          <w:sz w:val="17"/>
          <w:szCs w:val="17"/>
          <w:lang w:val="es-419" w:eastAsia="zh-CN"/>
        </w:rPr>
        <w:footnoteReference w:id="2"/>
      </w:r>
    </w:p>
    <w:p w14:paraId="75A397E7" w14:textId="2CEE576F" w:rsidR="00427CF4" w:rsidRPr="001E2FF2" w:rsidRDefault="00427CF4" w:rsidP="00F3335B">
      <w:pPr>
        <w:pStyle w:val="Heading3"/>
        <w:rPr>
          <w:lang w:val="es-419"/>
        </w:rPr>
      </w:pPr>
      <w:bookmarkStart w:id="13" w:name="_Toc209011740"/>
      <w:r w:rsidRPr="001E2FF2">
        <w:rPr>
          <w:lang w:val="es-419"/>
        </w:rPr>
        <w:t>Gratuidad</w:t>
      </w:r>
      <w:bookmarkEnd w:id="13"/>
    </w:p>
    <w:p w14:paraId="5637D49E" w14:textId="3BF3812D" w:rsidR="00427CF4" w:rsidRPr="001E2FF2" w:rsidRDefault="00427CF4" w:rsidP="00071D5E">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 xml:space="preserve">Los datos de PI que se suministren a terceros deberían </w:t>
      </w:r>
      <w:r w:rsidR="00FC09D7" w:rsidRPr="001E2FF2">
        <w:rPr>
          <w:rFonts w:eastAsia="SimSun" w:cs="Arial"/>
          <w:kern w:val="0"/>
          <w:sz w:val="17"/>
          <w:szCs w:val="17"/>
          <w:lang w:val="es-419"/>
          <w14:ligatures w14:val="none"/>
        </w:rPr>
        <w:t>suministrarse</w:t>
      </w:r>
      <w:r w:rsidRPr="001E2FF2">
        <w:rPr>
          <w:rFonts w:eastAsia="SimSun" w:cs="Arial"/>
          <w:kern w:val="0"/>
          <w:sz w:val="17"/>
          <w:szCs w:val="17"/>
          <w:lang w:val="es-419"/>
          <w14:ligatures w14:val="none"/>
        </w:rPr>
        <w:t xml:space="preserve"> únicamente de manera gratuita o a un costo marginal</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Por lo tanto, las oficinas de PI no deberían suministrar los datos a asociados externos a un precio superior al costo marginal.</w:t>
      </w:r>
    </w:p>
    <w:p w14:paraId="70B885B0" w14:textId="77777777" w:rsidR="00180E52" w:rsidRPr="001E2FF2" w:rsidRDefault="00180E52" w:rsidP="00853E1F">
      <w:pPr>
        <w:pStyle w:val="Heading2"/>
        <w:rPr>
          <w:i/>
          <w:iCs/>
          <w:lang w:val="es-419"/>
        </w:rPr>
      </w:pPr>
      <w:bookmarkStart w:id="14" w:name="_Toc209011741"/>
      <w:r w:rsidRPr="001E2FF2">
        <w:rPr>
          <w:lang w:val="es-419"/>
        </w:rPr>
        <w:t>TIPOS DE DATOS DE PI OBJETO DE INTERCAMBIO</w:t>
      </w:r>
      <w:bookmarkEnd w:id="14"/>
    </w:p>
    <w:p w14:paraId="422DF7D0" w14:textId="20784648" w:rsidR="00180E52" w:rsidRPr="001E2FF2" w:rsidRDefault="00180E52" w:rsidP="00071D5E">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Las recomendaciones de la presente norma se aplican a todos los tipos de datos objeto de intercambio, incluido</w:t>
      </w:r>
      <w:r w:rsidR="00FC6FCB" w:rsidRPr="001E2FF2">
        <w:rPr>
          <w:rFonts w:eastAsia="SimSun" w:cs="Arial"/>
          <w:kern w:val="0"/>
          <w:sz w:val="17"/>
          <w:szCs w:val="17"/>
          <w:lang w:val="es-419"/>
          <w14:ligatures w14:val="none"/>
        </w:rPr>
        <w:t>s</w:t>
      </w:r>
      <w:r w:rsidRPr="001E2FF2">
        <w:rPr>
          <w:rFonts w:eastAsia="SimSun" w:cs="Arial"/>
          <w:kern w:val="0"/>
          <w:sz w:val="17"/>
          <w:szCs w:val="17"/>
          <w:lang w:val="es-419"/>
          <w14:ligatures w14:val="none"/>
        </w:rPr>
        <w:t xml:space="preserve"> </w:t>
      </w:r>
      <w:r w:rsidR="00FC6FCB" w:rsidRPr="001E2FF2">
        <w:rPr>
          <w:rFonts w:eastAsia="SimSun" w:cs="Arial"/>
          <w:kern w:val="0"/>
          <w:sz w:val="17"/>
          <w:szCs w:val="17"/>
          <w:lang w:val="es-419"/>
          <w14:ligatures w14:val="none"/>
        </w:rPr>
        <w:t xml:space="preserve">los </w:t>
      </w:r>
      <w:r w:rsidRPr="001E2FF2">
        <w:rPr>
          <w:rFonts w:eastAsia="SimSun" w:cs="Arial"/>
          <w:kern w:val="0"/>
          <w:sz w:val="17"/>
          <w:szCs w:val="17"/>
          <w:lang w:val="es-419"/>
          <w14:ligatures w14:val="none"/>
        </w:rPr>
        <w:t>conjunto</w:t>
      </w:r>
      <w:r w:rsidR="00FC6FCB" w:rsidRPr="001E2FF2">
        <w:rPr>
          <w:rFonts w:eastAsia="SimSun" w:cs="Arial"/>
          <w:kern w:val="0"/>
          <w:sz w:val="17"/>
          <w:szCs w:val="17"/>
          <w:lang w:val="es-419"/>
          <w14:ligatures w14:val="none"/>
        </w:rPr>
        <w:t>s</w:t>
      </w:r>
      <w:r w:rsidRPr="001E2FF2">
        <w:rPr>
          <w:rFonts w:eastAsia="SimSun" w:cs="Arial"/>
          <w:kern w:val="0"/>
          <w:sz w:val="17"/>
          <w:szCs w:val="17"/>
          <w:lang w:val="es-419"/>
          <w14:ligatures w14:val="none"/>
        </w:rPr>
        <w:t xml:space="preserve"> o subconjunto</w:t>
      </w:r>
      <w:r w:rsidR="00FC6FCB" w:rsidRPr="001E2FF2">
        <w:rPr>
          <w:rFonts w:eastAsia="SimSun" w:cs="Arial"/>
          <w:kern w:val="0"/>
          <w:sz w:val="17"/>
          <w:szCs w:val="17"/>
          <w:lang w:val="es-419"/>
          <w14:ligatures w14:val="none"/>
        </w:rPr>
        <w:t>s</w:t>
      </w:r>
      <w:r w:rsidRPr="001E2FF2">
        <w:rPr>
          <w:rFonts w:eastAsia="SimSun" w:cs="Arial"/>
          <w:kern w:val="0"/>
          <w:sz w:val="17"/>
          <w:szCs w:val="17"/>
          <w:lang w:val="es-419"/>
          <w14:ligatures w14:val="none"/>
        </w:rPr>
        <w:t xml:space="preserve"> de datos recibidos o suministrados a oficinas de PI, además de </w:t>
      </w:r>
      <w:r w:rsidR="00FC6FCB" w:rsidRPr="001E2FF2">
        <w:rPr>
          <w:rFonts w:eastAsia="SimSun" w:cs="Arial"/>
          <w:kern w:val="0"/>
          <w:sz w:val="17"/>
          <w:szCs w:val="17"/>
          <w:lang w:val="es-419"/>
          <w14:ligatures w14:val="none"/>
        </w:rPr>
        <w:t xml:space="preserve">las </w:t>
      </w:r>
      <w:r w:rsidRPr="001E2FF2">
        <w:rPr>
          <w:rFonts w:eastAsia="SimSun" w:cs="Arial"/>
          <w:kern w:val="0"/>
          <w:sz w:val="17"/>
          <w:szCs w:val="17"/>
          <w:lang w:val="es-419"/>
          <w14:ligatures w14:val="none"/>
        </w:rPr>
        <w:t>base</w:t>
      </w:r>
      <w:r w:rsidR="00FC6FCB" w:rsidRPr="001E2FF2">
        <w:rPr>
          <w:rFonts w:eastAsia="SimSun" w:cs="Arial"/>
          <w:kern w:val="0"/>
          <w:sz w:val="17"/>
          <w:szCs w:val="17"/>
          <w:lang w:val="es-419"/>
          <w14:ligatures w14:val="none"/>
        </w:rPr>
        <w:t>s</w:t>
      </w:r>
      <w:r w:rsidRPr="001E2FF2">
        <w:rPr>
          <w:rFonts w:eastAsia="SimSun" w:cs="Arial"/>
          <w:kern w:val="0"/>
          <w:sz w:val="17"/>
          <w:szCs w:val="17"/>
          <w:lang w:val="es-419"/>
          <w14:ligatures w14:val="none"/>
        </w:rPr>
        <w:t xml:space="preserve"> de datos que contenga</w:t>
      </w:r>
      <w:r w:rsidR="00FA1F76" w:rsidRPr="001E2FF2">
        <w:rPr>
          <w:rFonts w:eastAsia="SimSun" w:cs="Arial"/>
          <w:kern w:val="0"/>
          <w:sz w:val="17"/>
          <w:szCs w:val="17"/>
          <w:lang w:val="es-419"/>
          <w14:ligatures w14:val="none"/>
        </w:rPr>
        <w:t>n</w:t>
      </w:r>
      <w:r w:rsidRPr="001E2FF2">
        <w:rPr>
          <w:rFonts w:eastAsia="SimSun" w:cs="Arial"/>
          <w:kern w:val="0"/>
          <w:sz w:val="17"/>
          <w:szCs w:val="17"/>
          <w:lang w:val="es-419"/>
          <w14:ligatures w14:val="none"/>
        </w:rPr>
        <w:t xml:space="preserve"> datos de varias oficinas de PI</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Los</w:t>
      </w:r>
      <w:r w:rsidRPr="001E2FF2">
        <w:rPr>
          <w:sz w:val="17"/>
          <w:lang w:val="es-419"/>
        </w:rPr>
        <w:t xml:space="preserve"> datos de PI objeto de intercambio se limitan a los datos basados en información que ya ha puesto a disposición del público cada oficina de PI en concordancia con sus marcos legislativos de PI aplicables, como los datos de un boletín de PI.</w:t>
      </w:r>
    </w:p>
    <w:p w14:paraId="13A22E34" w14:textId="65DD8A13" w:rsidR="00A2191F" w:rsidRPr="001E2FF2" w:rsidRDefault="00180E52" w:rsidP="00EB2A80">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 xml:space="preserve">Los datos suministrados o intercambiados por las oficinas de PI deberían incluir al menos los siguientes tipos de datos descargados </w:t>
      </w:r>
      <w:r w:rsidR="00E948F8" w:rsidRPr="001E2FF2">
        <w:rPr>
          <w:rFonts w:eastAsia="SimSun" w:cs="Arial"/>
          <w:kern w:val="0"/>
          <w:sz w:val="17"/>
          <w:szCs w:val="17"/>
          <w:lang w:val="es-419"/>
          <w14:ligatures w14:val="none"/>
        </w:rPr>
        <w:t>de forma</w:t>
      </w:r>
      <w:r w:rsidRPr="001E2FF2">
        <w:rPr>
          <w:rFonts w:eastAsia="SimSun" w:cs="Arial"/>
          <w:kern w:val="0"/>
          <w:sz w:val="17"/>
          <w:szCs w:val="17"/>
          <w:lang w:val="es-419"/>
          <w14:ligatures w14:val="none"/>
        </w:rPr>
        <w:t xml:space="preserve"> masiva, preferiblemente en cumplimiento de los formas de las normas técnicas de la OMPI vigentes, como las Normas ST.96 o ST.97:</w:t>
      </w:r>
    </w:p>
    <w:p w14:paraId="3355298E" w14:textId="6E821E46" w:rsidR="00180E52" w:rsidRPr="001E2FF2" w:rsidRDefault="00180E52" w:rsidP="00EE4B4F">
      <w:pPr>
        <w:pStyle w:val="ListParagraph"/>
        <w:numPr>
          <w:ilvl w:val="0"/>
          <w:numId w:val="8"/>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datos bibliográficos, incluida información de clasificación, preferiblemente en formato XML o JSON;</w:t>
      </w:r>
    </w:p>
    <w:p w14:paraId="6527F0D8" w14:textId="443DE318" w:rsidR="00180E52" w:rsidRPr="001E2FF2" w:rsidRDefault="00FC1749" w:rsidP="00EE4B4F">
      <w:pPr>
        <w:pStyle w:val="ListParagraph"/>
        <w:numPr>
          <w:ilvl w:val="0"/>
          <w:numId w:val="8"/>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datos en texto completo de las publicaciones [de documentos de patente], incluidas las reivindicaciones y </w:t>
      </w:r>
      <w:r w:rsidR="00BA49B3" w:rsidRPr="001E2FF2">
        <w:rPr>
          <w:sz w:val="17"/>
          <w:lang w:val="es-419"/>
        </w:rPr>
        <w:t>memorias descriptivas</w:t>
      </w:r>
      <w:r w:rsidRPr="001E2FF2">
        <w:rPr>
          <w:sz w:val="17"/>
          <w:lang w:val="es-419"/>
        </w:rPr>
        <w:t xml:space="preserve">, preferiblemente en formato XML; </w:t>
      </w:r>
    </w:p>
    <w:p w14:paraId="1648DB58" w14:textId="5E663F5A" w:rsidR="00FC1749" w:rsidRPr="001E2FF2" w:rsidRDefault="00FC1749" w:rsidP="00EE4B4F">
      <w:pPr>
        <w:pStyle w:val="ListParagraph"/>
        <w:numPr>
          <w:ilvl w:val="0"/>
          <w:numId w:val="8"/>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datos en texto completo de las publicaciones [de documentos de marcas y diseños industriales], preferiblemente en formato XML; y</w:t>
      </w:r>
    </w:p>
    <w:p w14:paraId="484F7A84" w14:textId="45BD6A10" w:rsidR="00180E52" w:rsidRPr="001E2FF2" w:rsidRDefault="00180E52" w:rsidP="00EE4B4F">
      <w:pPr>
        <w:pStyle w:val="ListParagraph"/>
        <w:numPr>
          <w:ilvl w:val="0"/>
          <w:numId w:val="8"/>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datos de imágenes de los dibujos.</w:t>
      </w:r>
    </w:p>
    <w:p w14:paraId="1D8B0CFF" w14:textId="470FC01C" w:rsidR="004A62D2" w:rsidRPr="001E2FF2" w:rsidRDefault="004A62D2" w:rsidP="00F3559E">
      <w:pPr>
        <w:keepLines/>
        <w:tabs>
          <w:tab w:val="left" w:pos="720"/>
        </w:tabs>
        <w:spacing w:before="0" w:after="170"/>
        <w:rPr>
          <w:rFonts w:cs="Arial"/>
          <w:kern w:val="0"/>
          <w:sz w:val="17"/>
          <w:szCs w:val="17"/>
          <w:lang w:val="es-419"/>
          <w14:ligatures w14:val="none"/>
        </w:rPr>
      </w:pPr>
      <w:r w:rsidRPr="001E2FF2">
        <w:rPr>
          <w:i/>
          <w:sz w:val="17"/>
          <w:lang w:val="es-419"/>
        </w:rPr>
        <w:tab/>
      </w:r>
      <w:r w:rsidRPr="001E2FF2">
        <w:rPr>
          <w:i/>
          <w:sz w:val="17"/>
          <w:lang w:val="es-419"/>
        </w:rPr>
        <w:tab/>
        <w:t>Nota</w:t>
      </w:r>
      <w:r w:rsidR="00170359" w:rsidRPr="001E2FF2">
        <w:rPr>
          <w:sz w:val="17"/>
          <w:lang w:val="es-419"/>
        </w:rPr>
        <w:t xml:space="preserve">: </w:t>
      </w:r>
      <w:r w:rsidRPr="001E2FF2">
        <w:rPr>
          <w:sz w:val="17"/>
          <w:lang w:val="es-419"/>
        </w:rPr>
        <w:t>Si b) abarca a), no son necesarios estos últimos.</w:t>
      </w:r>
    </w:p>
    <w:p w14:paraId="17C51E6B" w14:textId="5C9680E9" w:rsidR="00180E52" w:rsidRPr="001E2FF2" w:rsidRDefault="00180E52" w:rsidP="00EE4B4F">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Se recomiend</w:t>
      </w:r>
      <w:r w:rsidR="002061C5" w:rsidRPr="001E2FF2">
        <w:rPr>
          <w:rFonts w:eastAsia="SimSun" w:cs="Arial"/>
          <w:kern w:val="0"/>
          <w:sz w:val="17"/>
          <w:szCs w:val="17"/>
          <w:lang w:val="es-419"/>
          <w14:ligatures w14:val="none"/>
        </w:rPr>
        <w:t>a</w:t>
      </w:r>
      <w:r w:rsidRPr="001E2FF2">
        <w:rPr>
          <w:rFonts w:eastAsia="SimSun" w:cs="Arial"/>
          <w:kern w:val="0"/>
          <w:sz w:val="17"/>
          <w:szCs w:val="17"/>
          <w:lang w:val="es-419"/>
          <w14:ligatures w14:val="none"/>
        </w:rPr>
        <w:t xml:space="preserve"> además que las oficinas de PI incluyan los siguientes tipos de datos:</w:t>
      </w:r>
    </w:p>
    <w:p w14:paraId="002CAEDD" w14:textId="38664AF8" w:rsidR="00180E52" w:rsidRPr="001E2FF2" w:rsidRDefault="0061028B" w:rsidP="00EE4B4F">
      <w:pPr>
        <w:pStyle w:val="ListParagraph"/>
        <w:numPr>
          <w:ilvl w:val="0"/>
          <w:numId w:val="9"/>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una descripción detallada de las citas realizadas durante los procedimientos de búsqueda o examen; y </w:t>
      </w:r>
    </w:p>
    <w:p w14:paraId="4D3D0C68" w14:textId="2AE78680" w:rsidR="00180E52" w:rsidRPr="001E2FF2" w:rsidRDefault="00180E52" w:rsidP="00EE4B4F">
      <w:pPr>
        <w:pStyle w:val="ListParagraph"/>
        <w:numPr>
          <w:ilvl w:val="0"/>
          <w:numId w:val="9"/>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datos sobre la situación jurídica en relación con un derecho de PI concreto.</w:t>
      </w:r>
    </w:p>
    <w:p w14:paraId="422A03E1" w14:textId="789E4A59" w:rsidR="001D672F" w:rsidRPr="001E2FF2" w:rsidRDefault="001D672F" w:rsidP="00853E1F">
      <w:pPr>
        <w:pStyle w:val="Heading2"/>
        <w:rPr>
          <w:lang w:val="es-419"/>
        </w:rPr>
      </w:pPr>
      <w:bookmarkStart w:id="15" w:name="_Toc209011742"/>
      <w:r w:rsidRPr="001E2FF2">
        <w:rPr>
          <w:lang w:val="es-419"/>
        </w:rPr>
        <w:t xml:space="preserve">MEDIOS DE INTERCAMBIO DE DATOS DE PI </w:t>
      </w:r>
      <w:bookmarkEnd w:id="15"/>
    </w:p>
    <w:p w14:paraId="60E3AB59" w14:textId="51925C36" w:rsidR="001D672F" w:rsidRPr="001E2FF2" w:rsidRDefault="001D672F" w:rsidP="005A488D">
      <w:pPr>
        <w:tabs>
          <w:tab w:val="left" w:pos="426"/>
        </w:tabs>
        <w:spacing w:before="0" w:after="170"/>
        <w:rPr>
          <w:rFonts w:cs="Times New Roman"/>
          <w:kern w:val="0"/>
          <w:sz w:val="17"/>
          <w:szCs w:val="20"/>
          <w:lang w:val="es-419"/>
          <w14:ligatures w14:val="none"/>
        </w:rPr>
      </w:pPr>
      <w:r w:rsidRPr="001E2FF2">
        <w:rPr>
          <w:rFonts w:eastAsia="Times New Roman" w:cs="Times New Roman"/>
          <w:sz w:val="17"/>
          <w:lang w:val="es-419"/>
        </w:rPr>
        <w:fldChar w:fldCharType="begin"/>
      </w:r>
      <w:r w:rsidRPr="001E2FF2">
        <w:rPr>
          <w:rFonts w:eastAsia="Times New Roman" w:cs="Times New Roman"/>
          <w:sz w:val="17"/>
          <w:lang w:val="es-419"/>
        </w:rPr>
        <w:instrText xml:space="preserve"> AUTONUM  </w:instrText>
      </w:r>
      <w:r w:rsidRPr="001E2FF2">
        <w:rPr>
          <w:rFonts w:eastAsia="Times New Roman" w:cs="Times New Roman"/>
          <w:sz w:val="17"/>
          <w:lang w:val="es-419"/>
        </w:rPr>
        <w:fldChar w:fldCharType="end"/>
      </w:r>
      <w:r w:rsidRPr="001E2FF2">
        <w:rPr>
          <w:lang w:val="es-419"/>
        </w:rPr>
        <w:tab/>
      </w:r>
      <w:r w:rsidRPr="001E2FF2">
        <w:rPr>
          <w:rFonts w:eastAsia="SimSun" w:cs="Arial"/>
          <w:kern w:val="0"/>
          <w:sz w:val="17"/>
          <w:szCs w:val="17"/>
          <w:lang w:val="es-419"/>
          <w14:ligatures w14:val="none"/>
        </w:rPr>
        <w:t>Los datos de PI podrán suministrarse en varios soportes electrónicos de datos, por ejemplo, discos duros (HDD) u ópticos, pero preferiblemente se suministrarán por medios no físicos, como interfaces de programación de aplicaciones (API) y protocolos de transferencia de ficheros (FTP)</w:t>
      </w:r>
      <w:r w:rsidR="00170359" w:rsidRPr="001E2FF2">
        <w:rPr>
          <w:rFonts w:eastAsia="SimSun" w:cs="Arial"/>
          <w:kern w:val="0"/>
          <w:sz w:val="17"/>
          <w:szCs w:val="17"/>
          <w:lang w:val="es-419"/>
          <w14:ligatures w14:val="none"/>
        </w:rPr>
        <w:t xml:space="preserve">. </w:t>
      </w:r>
      <w:r w:rsidRPr="001E2FF2">
        <w:rPr>
          <w:sz w:val="17"/>
          <w:lang w:val="es-419"/>
        </w:rPr>
        <w:t>Estos medios de intercambio son gratuitos y se elegirán de entre los medios disponibles en el momento de la publicación.</w:t>
      </w:r>
    </w:p>
    <w:p w14:paraId="0E034AFD" w14:textId="2125A62C" w:rsidR="00E072A4" w:rsidRPr="001E2FF2" w:rsidRDefault="0012344B" w:rsidP="00853E1F">
      <w:pPr>
        <w:pStyle w:val="Heading2"/>
        <w:rPr>
          <w:lang w:val="es-419"/>
        </w:rPr>
      </w:pPr>
      <w:bookmarkStart w:id="16" w:name="_Toc209011743"/>
      <w:r w:rsidRPr="001E2FF2">
        <w:rPr>
          <w:lang w:val="es-419"/>
        </w:rPr>
        <w:t>REQUISITOS DE GARANTÍA Y CALIDAD DE LOS DATOS DE PI</w:t>
      </w:r>
      <w:bookmarkEnd w:id="16"/>
    </w:p>
    <w:p w14:paraId="2F607FFD" w14:textId="7EF78C59" w:rsidR="00E072A4" w:rsidRPr="001E2FF2" w:rsidRDefault="0006331E" w:rsidP="005A488D">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 xml:space="preserve">La Oficina de origen será la fuente </w:t>
      </w:r>
      <w:bookmarkStart w:id="17" w:name="_Hlk207214756"/>
      <w:r w:rsidRPr="001E2FF2">
        <w:rPr>
          <w:rFonts w:eastAsia="SimSun" w:cs="Arial"/>
          <w:kern w:val="0"/>
          <w:sz w:val="17"/>
          <w:szCs w:val="17"/>
          <w:lang w:val="es-419"/>
          <w14:ligatures w14:val="none"/>
        </w:rPr>
        <w:t>autorizada para los datos suministrados directamente a las Oficinas receptoras</w:t>
      </w:r>
      <w:bookmarkEnd w:id="17"/>
      <w:r w:rsidRPr="001E2FF2">
        <w:rPr>
          <w:rFonts w:eastAsia="SimSun" w:cs="Arial"/>
          <w:kern w:val="0"/>
          <w:sz w:val="17"/>
          <w:szCs w:val="17"/>
          <w:lang w:val="es-419"/>
          <w14:ligatures w14:val="none"/>
        </w:rPr>
        <w:t>.</w:t>
      </w:r>
    </w:p>
    <w:p w14:paraId="32B4F7BB" w14:textId="4992D77B" w:rsidR="00E072A4" w:rsidRPr="001E2FF2" w:rsidRDefault="0006331E" w:rsidP="005A488D">
      <w:pPr>
        <w:tabs>
          <w:tab w:val="left" w:pos="426"/>
        </w:tabs>
        <w:spacing w:before="0" w:after="170"/>
        <w:rPr>
          <w:rFonts w:eastAsia="SimSun" w:cs="Arial"/>
          <w:kern w:val="0"/>
          <w:sz w:val="17"/>
          <w:szCs w:val="17"/>
          <w:lang w:val="es-419"/>
          <w14:ligatures w14:val="none"/>
        </w:rPr>
      </w:pPr>
      <w:r w:rsidRPr="001E2FF2">
        <w:rPr>
          <w:rFonts w:eastAsia="SimSun" w:cs="Arial"/>
          <w:kern w:val="0"/>
          <w:sz w:val="17"/>
          <w:szCs w:val="17"/>
          <w:lang w:val="es-419"/>
          <w14:ligatures w14:val="none"/>
        </w:rPr>
        <w:fldChar w:fldCharType="begin"/>
      </w:r>
      <w:r w:rsidRPr="001E2FF2">
        <w:rPr>
          <w:rFonts w:eastAsia="SimSun" w:cs="Arial"/>
          <w:kern w:val="0"/>
          <w:sz w:val="17"/>
          <w:szCs w:val="17"/>
          <w:lang w:val="es-419"/>
          <w14:ligatures w14:val="none"/>
        </w:rPr>
        <w:instrText xml:space="preserve"> AUTONUM  </w:instrText>
      </w:r>
      <w:r w:rsidRPr="001E2FF2">
        <w:rPr>
          <w:rFonts w:eastAsia="SimSun" w:cs="Arial"/>
          <w:kern w:val="0"/>
          <w:sz w:val="17"/>
          <w:szCs w:val="17"/>
          <w:lang w:val="es-419"/>
          <w14:ligatures w14:val="none"/>
        </w:rPr>
        <w:fldChar w:fldCharType="end"/>
      </w:r>
      <w:r w:rsidRPr="001E2FF2">
        <w:rPr>
          <w:rFonts w:eastAsia="SimSun" w:cs="Arial"/>
          <w:kern w:val="0"/>
          <w:sz w:val="17"/>
          <w:szCs w:val="17"/>
          <w:lang w:val="es-419"/>
          <w14:ligatures w14:val="none"/>
        </w:rPr>
        <w:tab/>
        <w:t>Los terceros receptores de datos de PI no deberían hacer responsable por ningún motivo a la Oficina de origen, incluidos los defectos en los datos suministrados, por ejemplo, en relación con la integridad, exactitud o corrección de los datos puestos a disposición o suministrados</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El tercero receptor renuncia a todos los derechos de reclamación contra la Oficina de origen.</w:t>
      </w:r>
    </w:p>
    <w:p w14:paraId="12BAAEE9" w14:textId="76EE9F37" w:rsidR="00E072A4" w:rsidRPr="001E2FF2" w:rsidRDefault="0006331E" w:rsidP="005A488D">
      <w:pPr>
        <w:tabs>
          <w:tab w:val="left" w:pos="426"/>
        </w:tabs>
        <w:spacing w:before="0" w:after="170"/>
        <w:rPr>
          <w:rFonts w:eastAsia="SimSun" w:cs="Arial"/>
          <w:kern w:val="0"/>
          <w:sz w:val="17"/>
          <w:szCs w:val="17"/>
          <w:lang w:val="es-419"/>
          <w14:ligatures w14:val="none"/>
        </w:rPr>
      </w:pPr>
      <w:r w:rsidRPr="001E2FF2">
        <w:rPr>
          <w:rFonts w:eastAsia="SimSun" w:cs="Arial"/>
          <w:kern w:val="0"/>
          <w:sz w:val="17"/>
          <w:szCs w:val="17"/>
          <w:lang w:val="es-419"/>
          <w14:ligatures w14:val="none"/>
        </w:rPr>
        <w:fldChar w:fldCharType="begin"/>
      </w:r>
      <w:r w:rsidRPr="001E2FF2">
        <w:rPr>
          <w:rFonts w:eastAsia="SimSun" w:cs="Arial"/>
          <w:kern w:val="0"/>
          <w:sz w:val="17"/>
          <w:szCs w:val="17"/>
          <w:lang w:val="es-419"/>
          <w14:ligatures w14:val="none"/>
        </w:rPr>
        <w:instrText xml:space="preserve"> AUTONUM  </w:instrText>
      </w:r>
      <w:r w:rsidRPr="001E2FF2">
        <w:rPr>
          <w:rFonts w:eastAsia="SimSun" w:cs="Arial"/>
          <w:kern w:val="0"/>
          <w:sz w:val="17"/>
          <w:szCs w:val="17"/>
          <w:lang w:val="es-419"/>
          <w14:ligatures w14:val="none"/>
        </w:rPr>
        <w:fldChar w:fldCharType="end"/>
      </w:r>
      <w:r w:rsidRPr="001E2FF2">
        <w:rPr>
          <w:rFonts w:eastAsia="SimSun" w:cs="Arial"/>
          <w:kern w:val="0"/>
          <w:sz w:val="17"/>
          <w:szCs w:val="17"/>
          <w:lang w:val="es-419"/>
          <w14:ligatures w14:val="none"/>
        </w:rPr>
        <w:tab/>
        <w:t xml:space="preserve">Las reclamaciones planteadas por terceros deberían atenderse exclusivamente </w:t>
      </w:r>
      <w:r w:rsidR="00120236" w:rsidRPr="001E2FF2">
        <w:rPr>
          <w:rFonts w:eastAsia="SimSun" w:cs="Arial"/>
          <w:kern w:val="0"/>
          <w:sz w:val="17"/>
          <w:szCs w:val="17"/>
          <w:lang w:val="es-419"/>
          <w14:ligatures w14:val="none"/>
        </w:rPr>
        <w:t>en</w:t>
      </w:r>
      <w:r w:rsidRPr="001E2FF2">
        <w:rPr>
          <w:rFonts w:eastAsia="SimSun" w:cs="Arial"/>
          <w:kern w:val="0"/>
          <w:sz w:val="17"/>
          <w:szCs w:val="17"/>
          <w:lang w:val="es-419"/>
          <w14:ligatures w14:val="none"/>
        </w:rPr>
        <w:t xml:space="preserve"> la oficina de PI que suministre directamente los datos para uso interno o externo</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La Oficina de origen no asume responsabilidad alguna por los datos suministrados por la Oficina receptora a un tercero.</w:t>
      </w:r>
    </w:p>
    <w:p w14:paraId="1ED4EA27" w14:textId="03BB4801" w:rsidR="00E072A4" w:rsidRPr="001E2FF2" w:rsidRDefault="0006331E" w:rsidP="005A488D">
      <w:pPr>
        <w:tabs>
          <w:tab w:val="left" w:pos="426"/>
        </w:tabs>
        <w:spacing w:before="0" w:after="170"/>
        <w:rPr>
          <w:rFonts w:eastAsia="SimSun" w:cs="Arial"/>
          <w:kern w:val="0"/>
          <w:sz w:val="17"/>
          <w:szCs w:val="17"/>
          <w:lang w:val="es-419"/>
          <w14:ligatures w14:val="none"/>
        </w:rPr>
      </w:pPr>
      <w:r w:rsidRPr="001E2FF2">
        <w:rPr>
          <w:rFonts w:eastAsia="SimSun" w:cs="Arial"/>
          <w:kern w:val="0"/>
          <w:sz w:val="17"/>
          <w:szCs w:val="17"/>
          <w:lang w:val="es-419"/>
          <w14:ligatures w14:val="none"/>
        </w:rPr>
        <w:fldChar w:fldCharType="begin"/>
      </w:r>
      <w:r w:rsidRPr="001E2FF2">
        <w:rPr>
          <w:rFonts w:eastAsia="SimSun" w:cs="Arial"/>
          <w:kern w:val="0"/>
          <w:sz w:val="17"/>
          <w:szCs w:val="17"/>
          <w:lang w:val="es-419"/>
          <w14:ligatures w14:val="none"/>
        </w:rPr>
        <w:instrText xml:space="preserve"> AUTONUM  </w:instrText>
      </w:r>
      <w:r w:rsidRPr="001E2FF2">
        <w:rPr>
          <w:rFonts w:eastAsia="SimSun" w:cs="Arial"/>
          <w:kern w:val="0"/>
          <w:sz w:val="17"/>
          <w:szCs w:val="17"/>
          <w:lang w:val="es-419"/>
          <w14:ligatures w14:val="none"/>
        </w:rPr>
        <w:fldChar w:fldCharType="end"/>
      </w:r>
      <w:r w:rsidRPr="001E2FF2">
        <w:rPr>
          <w:rFonts w:eastAsia="SimSun" w:cs="Arial"/>
          <w:kern w:val="0"/>
          <w:sz w:val="17"/>
          <w:szCs w:val="17"/>
          <w:lang w:val="es-419"/>
          <w14:ligatures w14:val="none"/>
        </w:rPr>
        <w:tab/>
        <w:t xml:space="preserve">La Oficina que </w:t>
      </w:r>
      <w:r w:rsidR="00FC09D7" w:rsidRPr="001E2FF2">
        <w:rPr>
          <w:rFonts w:eastAsia="SimSun" w:cs="Arial"/>
          <w:kern w:val="0"/>
          <w:sz w:val="17"/>
          <w:szCs w:val="17"/>
          <w:lang w:val="es-419"/>
          <w14:ligatures w14:val="none"/>
        </w:rPr>
        <w:t xml:space="preserve">suministra </w:t>
      </w:r>
      <w:r w:rsidRPr="001E2FF2">
        <w:rPr>
          <w:rFonts w:eastAsia="SimSun" w:cs="Arial"/>
          <w:kern w:val="0"/>
          <w:sz w:val="17"/>
          <w:szCs w:val="17"/>
          <w:lang w:val="es-419"/>
          <w14:ligatures w14:val="none"/>
        </w:rPr>
        <w:t xml:space="preserve">los datos </w:t>
      </w:r>
      <w:r w:rsidR="0050532C" w:rsidRPr="001E2FF2">
        <w:rPr>
          <w:rFonts w:eastAsia="SimSun" w:cs="Arial"/>
          <w:kern w:val="0"/>
          <w:sz w:val="17"/>
          <w:szCs w:val="17"/>
          <w:lang w:val="es-419"/>
          <w14:ligatures w14:val="none"/>
        </w:rPr>
        <w:t>(</w:t>
      </w:r>
      <w:r w:rsidRPr="001E2FF2">
        <w:rPr>
          <w:rFonts w:eastAsia="SimSun" w:cs="Arial"/>
          <w:kern w:val="0"/>
          <w:sz w:val="17"/>
          <w:szCs w:val="17"/>
          <w:lang w:val="es-419"/>
          <w14:ligatures w14:val="none"/>
        </w:rPr>
        <w:t>no la Oficina de origen</w:t>
      </w:r>
      <w:r w:rsidR="0050532C" w:rsidRPr="001E2FF2">
        <w:rPr>
          <w:rFonts w:eastAsia="SimSun" w:cs="Arial"/>
          <w:kern w:val="0"/>
          <w:sz w:val="17"/>
          <w:szCs w:val="17"/>
          <w:lang w:val="es-419"/>
          <w14:ligatures w14:val="none"/>
        </w:rPr>
        <w:t>)</w:t>
      </w:r>
      <w:r w:rsidRPr="001E2FF2">
        <w:rPr>
          <w:rFonts w:eastAsia="SimSun" w:cs="Arial"/>
          <w:kern w:val="0"/>
          <w:sz w:val="17"/>
          <w:szCs w:val="17"/>
          <w:lang w:val="es-419"/>
          <w14:ligatures w14:val="none"/>
        </w:rPr>
        <w:t xml:space="preserve"> debería ocuparse de las preguntas, cuestiones o apoyo, y los costos conexos, derivados de los datos suministrados a un tercero</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La oficina de PI que se ocupe de tales preguntas o cuestiones de terceros podrá informar a la Oficina de origen, si procede.</w:t>
      </w:r>
    </w:p>
    <w:p w14:paraId="5FB65F0D" w14:textId="1FFABF63" w:rsidR="0012344B" w:rsidRPr="001E2FF2" w:rsidRDefault="0006331E" w:rsidP="005A488D">
      <w:pPr>
        <w:tabs>
          <w:tab w:val="left" w:pos="426"/>
        </w:tabs>
        <w:spacing w:before="0" w:after="170"/>
        <w:rPr>
          <w:rFonts w:eastAsia="SimSun" w:cs="Arial"/>
          <w:kern w:val="0"/>
          <w:sz w:val="17"/>
          <w:szCs w:val="17"/>
          <w:lang w:val="es-419"/>
          <w14:ligatures w14:val="none"/>
        </w:rPr>
      </w:pPr>
      <w:r w:rsidRPr="001E2FF2">
        <w:rPr>
          <w:rFonts w:eastAsia="SimSun" w:cs="Arial"/>
          <w:kern w:val="0"/>
          <w:sz w:val="17"/>
          <w:szCs w:val="17"/>
          <w:lang w:val="es-419"/>
          <w14:ligatures w14:val="none"/>
        </w:rPr>
        <w:fldChar w:fldCharType="begin"/>
      </w:r>
      <w:r w:rsidRPr="001E2FF2">
        <w:rPr>
          <w:rFonts w:eastAsia="SimSun" w:cs="Arial"/>
          <w:kern w:val="0"/>
          <w:sz w:val="17"/>
          <w:szCs w:val="17"/>
          <w:lang w:val="es-419"/>
          <w14:ligatures w14:val="none"/>
        </w:rPr>
        <w:instrText xml:space="preserve"> AUTONUM  </w:instrText>
      </w:r>
      <w:r w:rsidRPr="001E2FF2">
        <w:rPr>
          <w:rFonts w:eastAsia="SimSun" w:cs="Arial"/>
          <w:kern w:val="0"/>
          <w:sz w:val="17"/>
          <w:szCs w:val="17"/>
          <w:lang w:val="es-419"/>
          <w14:ligatures w14:val="none"/>
        </w:rPr>
        <w:fldChar w:fldCharType="end"/>
      </w:r>
      <w:r w:rsidRPr="001E2FF2">
        <w:rPr>
          <w:rFonts w:eastAsia="SimSun" w:cs="Arial"/>
          <w:kern w:val="0"/>
          <w:sz w:val="17"/>
          <w:szCs w:val="17"/>
          <w:lang w:val="es-419"/>
          <w14:ligatures w14:val="none"/>
        </w:rPr>
        <w:tab/>
        <w:t>La Oficina receptora debería establecer procedimientos de corrección de errores de los datos para dar cuenta de los errores detectados a la oficina de origen o a otras oficinas de PI, cuando proceda</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En</w:t>
      </w:r>
      <w:r w:rsidRPr="001E2FF2">
        <w:rPr>
          <w:sz w:val="17"/>
          <w:lang w:val="es-419"/>
        </w:rPr>
        <w:t xml:space="preserve"> consecuencia, la Oficina de origen debería corregir esos errores en origen</w:t>
      </w:r>
      <w:r w:rsidR="00170359" w:rsidRPr="001E2FF2">
        <w:rPr>
          <w:sz w:val="17"/>
          <w:lang w:val="es-419"/>
        </w:rPr>
        <w:t xml:space="preserve">. </w:t>
      </w:r>
      <w:r w:rsidRPr="001E2FF2">
        <w:rPr>
          <w:sz w:val="17"/>
          <w:lang w:val="es-419"/>
        </w:rPr>
        <w:t>A fin de minimizar los defectos en los datos de PI, la oficina de PI de origen podrá verificar algunos puntos mediante una lista de verificación básica (véase el ANEXO I) antes de suministrar los datos de PI.</w:t>
      </w:r>
    </w:p>
    <w:p w14:paraId="1988B3A3" w14:textId="77EACCF4" w:rsidR="0012344B" w:rsidRPr="001E2FF2" w:rsidRDefault="0006331E" w:rsidP="005A488D">
      <w:pPr>
        <w:tabs>
          <w:tab w:val="left" w:pos="426"/>
        </w:tabs>
        <w:spacing w:before="0" w:after="170"/>
        <w:rPr>
          <w:rFonts w:eastAsia="SimSun" w:cs="Arial"/>
          <w:kern w:val="0"/>
          <w:sz w:val="17"/>
          <w:szCs w:val="17"/>
          <w:lang w:val="es-419"/>
          <w14:ligatures w14:val="none"/>
        </w:rPr>
      </w:pPr>
      <w:r w:rsidRPr="001E2FF2">
        <w:rPr>
          <w:rFonts w:eastAsia="SimSun" w:cs="Arial"/>
          <w:sz w:val="17"/>
          <w:lang w:val="es-419"/>
        </w:rPr>
        <w:fldChar w:fldCharType="begin"/>
      </w:r>
      <w:r w:rsidRPr="001E2FF2">
        <w:rPr>
          <w:rFonts w:eastAsia="SimSun" w:cs="Arial"/>
          <w:sz w:val="17"/>
          <w:lang w:val="es-419"/>
        </w:rPr>
        <w:instrText xml:space="preserve"> AUTONUM  </w:instrText>
      </w:r>
      <w:r w:rsidRPr="001E2FF2">
        <w:rPr>
          <w:rFonts w:eastAsia="SimSun" w:cs="Arial"/>
          <w:sz w:val="17"/>
          <w:lang w:val="es-419"/>
        </w:rPr>
        <w:fldChar w:fldCharType="end"/>
      </w:r>
      <w:r w:rsidRPr="001E2FF2">
        <w:rPr>
          <w:lang w:val="es-419"/>
        </w:rPr>
        <w:tab/>
      </w:r>
      <w:r w:rsidRPr="001E2FF2">
        <w:rPr>
          <w:rFonts w:eastAsia="SimSun" w:cs="Arial"/>
          <w:kern w:val="0"/>
          <w:sz w:val="17"/>
          <w:szCs w:val="17"/>
          <w:lang w:val="es-419"/>
          <w14:ligatures w14:val="none"/>
        </w:rPr>
        <w:t>Los datos de publicación que han de suministrar o intercambiar las oficinas de PI deberían actualizarse con la mayor frecuencia posible para velar por que estén al día</w:t>
      </w:r>
      <w:r w:rsidR="00170359" w:rsidRPr="001E2FF2">
        <w:rPr>
          <w:rFonts w:eastAsia="SimSun" w:cs="Arial"/>
          <w:kern w:val="0"/>
          <w:sz w:val="17"/>
          <w:szCs w:val="17"/>
          <w:lang w:val="es-419"/>
          <w14:ligatures w14:val="none"/>
        </w:rPr>
        <w:t xml:space="preserve">. </w:t>
      </w:r>
      <w:r w:rsidRPr="001E2FF2">
        <w:rPr>
          <w:rFonts w:eastAsia="SimSun" w:cs="Arial"/>
          <w:kern w:val="0"/>
          <w:sz w:val="17"/>
          <w:szCs w:val="17"/>
          <w:lang w:val="es-419"/>
          <w14:ligatures w14:val="none"/>
        </w:rPr>
        <w:t xml:space="preserve">Es preferible que los datos </w:t>
      </w:r>
      <w:r w:rsidR="00A86871" w:rsidRPr="001E2FF2">
        <w:rPr>
          <w:rFonts w:eastAsia="SimSun" w:cs="Arial"/>
          <w:kern w:val="0"/>
          <w:sz w:val="17"/>
          <w:szCs w:val="17"/>
          <w:lang w:val="es-419"/>
          <w14:ligatures w14:val="none"/>
        </w:rPr>
        <w:t>s</w:t>
      </w:r>
      <w:r w:rsidRPr="001E2FF2">
        <w:rPr>
          <w:rFonts w:eastAsia="SimSun" w:cs="Arial"/>
          <w:kern w:val="0"/>
          <w:sz w:val="17"/>
          <w:szCs w:val="17"/>
          <w:lang w:val="es-419"/>
          <w14:ligatures w14:val="none"/>
        </w:rPr>
        <w:t>e actualicen al menos una vez al mes y, en el mejor de los casos, con la frecuencia de</w:t>
      </w:r>
      <w:r w:rsidRPr="001E2FF2">
        <w:rPr>
          <w:sz w:val="17"/>
          <w:lang w:val="es-419"/>
        </w:rPr>
        <w:t xml:space="preserve"> publicación de la Oficina de origen.</w:t>
      </w:r>
    </w:p>
    <w:p w14:paraId="6ABC56EE" w14:textId="77777777" w:rsidR="006237F6" w:rsidRPr="001E2FF2" w:rsidRDefault="006237F6" w:rsidP="005A488D">
      <w:pPr>
        <w:tabs>
          <w:tab w:val="left" w:pos="426"/>
        </w:tabs>
        <w:spacing w:before="0" w:after="170"/>
        <w:rPr>
          <w:rFonts w:cs="Arial"/>
          <w:kern w:val="0"/>
          <w:sz w:val="17"/>
          <w:szCs w:val="17"/>
          <w:lang w:val="es-419" w:eastAsia="ja-JP"/>
          <w14:ligatures w14:val="none"/>
        </w:rPr>
      </w:pPr>
    </w:p>
    <w:p w14:paraId="0B0DEA71" w14:textId="77777777" w:rsidR="009F1B0F" w:rsidRPr="001E2FF2" w:rsidRDefault="009F1B0F">
      <w:pPr>
        <w:rPr>
          <w:rFonts w:eastAsia="SimSun" w:cs="Arial"/>
          <w:kern w:val="0"/>
          <w:sz w:val="17"/>
          <w:szCs w:val="17"/>
          <w:lang w:val="es-419"/>
          <w14:ligatures w14:val="none"/>
        </w:rPr>
      </w:pPr>
      <w:bookmarkStart w:id="18" w:name="_Toc209011744"/>
      <w:r w:rsidRPr="001E2FF2">
        <w:rPr>
          <w:lang w:val="es-419"/>
        </w:rPr>
        <w:br w:type="page"/>
      </w:r>
    </w:p>
    <w:p w14:paraId="75C8D6ED" w14:textId="3CD323B7" w:rsidR="00DA4DE5" w:rsidRPr="001E2FF2" w:rsidRDefault="00DA4DE5" w:rsidP="00853E1F">
      <w:pPr>
        <w:pStyle w:val="Heading2"/>
        <w:rPr>
          <w:bCs/>
          <w:i/>
          <w:lang w:val="es-419"/>
        </w:rPr>
      </w:pPr>
      <w:r w:rsidRPr="001E2FF2">
        <w:rPr>
          <w:lang w:val="es-419"/>
        </w:rPr>
        <w:t>REFERENCIAS</w:t>
      </w:r>
      <w:bookmarkStart w:id="19" w:name="_Toc163221157"/>
      <w:bookmarkEnd w:id="18"/>
    </w:p>
    <w:p w14:paraId="7F80FC16" w14:textId="3D4A2AD4" w:rsidR="003116B9" w:rsidRPr="001E2FF2" w:rsidRDefault="0006331E" w:rsidP="00BD4D01">
      <w:pPr>
        <w:tabs>
          <w:tab w:val="left" w:pos="426"/>
        </w:tabs>
        <w:spacing w:before="0" w:after="0"/>
        <w:rPr>
          <w:rFonts w:eastAsia="Times New Roman" w:cs="Times New Roman"/>
          <w:kern w:val="0"/>
          <w:sz w:val="17"/>
          <w:szCs w:val="20"/>
          <w:lang w:val="es-419"/>
          <w14:ligatures w14:val="none"/>
        </w:rPr>
      </w:pPr>
      <w:r w:rsidRPr="001E2FF2">
        <w:rPr>
          <w:rFonts w:eastAsia="Times New Roman" w:cs="Times New Roman"/>
          <w:sz w:val="17"/>
          <w:lang w:val="es-419"/>
        </w:rPr>
        <w:fldChar w:fldCharType="begin"/>
      </w:r>
      <w:r w:rsidRPr="001E2FF2">
        <w:rPr>
          <w:rFonts w:eastAsia="Times New Roman" w:cs="Times New Roman"/>
          <w:sz w:val="17"/>
          <w:lang w:val="es-419"/>
        </w:rPr>
        <w:instrText xml:space="preserve"> AUTONUM  </w:instrText>
      </w:r>
      <w:r w:rsidRPr="001E2FF2">
        <w:rPr>
          <w:rFonts w:eastAsia="Times New Roman" w:cs="Times New Roman"/>
          <w:sz w:val="17"/>
          <w:lang w:val="es-419"/>
        </w:rPr>
        <w:fldChar w:fldCharType="end"/>
      </w:r>
      <w:r w:rsidRPr="001E2FF2">
        <w:rPr>
          <w:sz w:val="17"/>
          <w:lang w:val="es-419"/>
        </w:rPr>
        <w:tab/>
        <w:t>Las referencias a las siguientes normas y recursos son pertinentes para la presente norma:</w:t>
      </w:r>
    </w:p>
    <w:tbl>
      <w:tblPr>
        <w:tblpPr w:leftFromText="142" w:rightFromText="142" w:vertAnchor="text" w:horzAnchor="margin" w:tblpXSpec="center" w:tblpY="241"/>
        <w:tblW w:w="8460" w:type="dxa"/>
        <w:tblCellMar>
          <w:left w:w="0" w:type="dxa"/>
          <w:right w:w="0" w:type="dxa"/>
        </w:tblCellMar>
        <w:tblLook w:val="04A0" w:firstRow="1" w:lastRow="0" w:firstColumn="1" w:lastColumn="0" w:noHBand="0" w:noVBand="1"/>
      </w:tblPr>
      <w:tblGrid>
        <w:gridCol w:w="1922"/>
        <w:gridCol w:w="6538"/>
      </w:tblGrid>
      <w:tr w:rsidR="009F1B0F" w:rsidRPr="001E2FF2" w14:paraId="5810DFAF" w14:textId="77777777" w:rsidTr="009F1B0F">
        <w:trPr>
          <w:trHeight w:val="20"/>
        </w:trPr>
        <w:tc>
          <w:tcPr>
            <w:tcW w:w="1922" w:type="dxa"/>
            <w:tcBorders>
              <w:top w:val="nil"/>
              <w:left w:val="nil"/>
              <w:bottom w:val="nil"/>
              <w:right w:val="nil"/>
            </w:tcBorders>
          </w:tcPr>
          <w:p w14:paraId="18C235FC" w14:textId="0110E164"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3" w:history="1">
              <w:r w:rsidRPr="001E2FF2">
                <w:rPr>
                  <w:rStyle w:val="Hyperlink"/>
                  <w:rFonts w:asciiTheme="minorBidi" w:hAnsiTheme="minorBidi"/>
                  <w:sz w:val="17"/>
                  <w:lang w:val="es-419"/>
                </w:rPr>
                <w:t>ST.3</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6D9DC163"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Códigos normalizados de dos letras, recomendados para la representación de Estados, otras entidades y organizaciones intergubernamentales;</w:t>
            </w:r>
          </w:p>
        </w:tc>
      </w:tr>
      <w:tr w:rsidR="009F1B0F" w:rsidRPr="001E2FF2" w14:paraId="51B1889C" w14:textId="77777777" w:rsidTr="009F1B0F">
        <w:trPr>
          <w:trHeight w:val="20"/>
        </w:trPr>
        <w:tc>
          <w:tcPr>
            <w:tcW w:w="1922" w:type="dxa"/>
            <w:tcBorders>
              <w:top w:val="nil"/>
              <w:left w:val="nil"/>
              <w:bottom w:val="nil"/>
              <w:right w:val="nil"/>
            </w:tcBorders>
          </w:tcPr>
          <w:p w14:paraId="1A622BFF" w14:textId="3C6F428D"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4" w:history="1">
              <w:r w:rsidRPr="001E2FF2">
                <w:rPr>
                  <w:rStyle w:val="Hyperlink"/>
                  <w:rFonts w:asciiTheme="minorBidi" w:hAnsiTheme="minorBidi"/>
                  <w:sz w:val="17"/>
                  <w:lang w:val="es-419"/>
                </w:rPr>
                <w:t>ST.9</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433E8CEF"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Datos bibliográficos contenidos en los documentos de patente y en los CPS; </w:t>
            </w:r>
          </w:p>
        </w:tc>
      </w:tr>
      <w:tr w:rsidR="009F1B0F" w:rsidRPr="001E2FF2" w14:paraId="6BB7D231" w14:textId="77777777" w:rsidTr="009F1B0F">
        <w:trPr>
          <w:trHeight w:val="20"/>
        </w:trPr>
        <w:tc>
          <w:tcPr>
            <w:tcW w:w="1922" w:type="dxa"/>
            <w:tcBorders>
              <w:top w:val="nil"/>
              <w:left w:val="nil"/>
              <w:bottom w:val="nil"/>
              <w:right w:val="nil"/>
            </w:tcBorders>
          </w:tcPr>
          <w:p w14:paraId="22D2B612" w14:textId="56DAF731"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5" w:history="1">
              <w:r w:rsidRPr="001E2FF2">
                <w:rPr>
                  <w:rStyle w:val="Hyperlink"/>
                  <w:rFonts w:asciiTheme="minorBidi" w:hAnsiTheme="minorBidi"/>
                  <w:sz w:val="17"/>
                  <w:lang w:val="es-419"/>
                </w:rPr>
                <w:t>ST.16</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089F8B83"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Identificación de los diferentes tipos de documentos de patente; </w:t>
            </w:r>
          </w:p>
        </w:tc>
      </w:tr>
      <w:tr w:rsidR="009F1B0F" w:rsidRPr="001E2FF2" w14:paraId="5203B2BC" w14:textId="77777777" w:rsidTr="009F1B0F">
        <w:trPr>
          <w:trHeight w:val="20"/>
        </w:trPr>
        <w:tc>
          <w:tcPr>
            <w:tcW w:w="1922" w:type="dxa"/>
            <w:tcBorders>
              <w:top w:val="nil"/>
              <w:left w:val="nil"/>
              <w:bottom w:val="nil"/>
              <w:right w:val="nil"/>
            </w:tcBorders>
          </w:tcPr>
          <w:p w14:paraId="06078516" w14:textId="1389A6F1"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6" w:history="1">
              <w:r w:rsidRPr="001E2FF2">
                <w:rPr>
                  <w:rStyle w:val="Hyperlink"/>
                  <w:rFonts w:asciiTheme="minorBidi" w:hAnsiTheme="minorBidi"/>
                  <w:sz w:val="17"/>
                  <w:lang w:val="es-419"/>
                </w:rPr>
                <w:t>ST.26</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69894407"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Presentación de listas de secuencias de nucleótidos y aminoácidos mediante XML; </w:t>
            </w:r>
          </w:p>
        </w:tc>
      </w:tr>
      <w:tr w:rsidR="009F1B0F" w:rsidRPr="001E2FF2" w14:paraId="4783A190" w14:textId="77777777" w:rsidTr="009F1B0F">
        <w:trPr>
          <w:trHeight w:val="20"/>
        </w:trPr>
        <w:tc>
          <w:tcPr>
            <w:tcW w:w="1922" w:type="dxa"/>
            <w:tcBorders>
              <w:top w:val="nil"/>
              <w:left w:val="nil"/>
              <w:bottom w:val="nil"/>
              <w:right w:val="nil"/>
            </w:tcBorders>
          </w:tcPr>
          <w:p w14:paraId="72ECA93D" w14:textId="0F8D31E3"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7" w:history="1">
              <w:r w:rsidRPr="001E2FF2">
                <w:rPr>
                  <w:rStyle w:val="Hyperlink"/>
                  <w:rFonts w:asciiTheme="minorBidi" w:hAnsiTheme="minorBidi"/>
                  <w:sz w:val="17"/>
                  <w:lang w:val="es-419"/>
                </w:rPr>
                <w:t>ST.27</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7C258C48"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Intercambio de datos sobre la situación jurídica de las patentes; </w:t>
            </w:r>
          </w:p>
        </w:tc>
      </w:tr>
      <w:tr w:rsidR="009F1B0F" w:rsidRPr="001E2FF2" w14:paraId="1EBDB850" w14:textId="77777777" w:rsidTr="009F1B0F">
        <w:trPr>
          <w:trHeight w:val="20"/>
        </w:trPr>
        <w:tc>
          <w:tcPr>
            <w:tcW w:w="1922" w:type="dxa"/>
            <w:tcBorders>
              <w:top w:val="nil"/>
              <w:left w:val="nil"/>
              <w:bottom w:val="nil"/>
              <w:right w:val="nil"/>
            </w:tcBorders>
          </w:tcPr>
          <w:p w14:paraId="1FD9F173" w14:textId="6A78F8F2"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8" w:history="1">
              <w:r w:rsidRPr="001E2FF2">
                <w:rPr>
                  <w:rStyle w:val="Hyperlink"/>
                  <w:rFonts w:asciiTheme="minorBidi" w:hAnsiTheme="minorBidi"/>
                  <w:sz w:val="17"/>
                  <w:lang w:val="es-419"/>
                </w:rPr>
                <w:t>ST.36</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07107DFB"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Tratamiento en XML de la información sobre patentes; </w:t>
            </w:r>
          </w:p>
        </w:tc>
      </w:tr>
      <w:tr w:rsidR="009F1B0F" w:rsidRPr="001E2FF2" w14:paraId="5FDB4053" w14:textId="77777777" w:rsidTr="009F1B0F">
        <w:trPr>
          <w:trHeight w:val="20"/>
        </w:trPr>
        <w:tc>
          <w:tcPr>
            <w:tcW w:w="1922" w:type="dxa"/>
            <w:tcBorders>
              <w:top w:val="nil"/>
              <w:left w:val="nil"/>
              <w:bottom w:val="nil"/>
              <w:right w:val="nil"/>
            </w:tcBorders>
          </w:tcPr>
          <w:p w14:paraId="6F549C64" w14:textId="3C557A3E"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19" w:history="1">
              <w:r w:rsidRPr="001E2FF2">
                <w:rPr>
                  <w:rStyle w:val="Hyperlink"/>
                  <w:rFonts w:asciiTheme="minorBidi" w:hAnsiTheme="minorBidi"/>
                  <w:sz w:val="17"/>
                  <w:lang w:val="es-419"/>
                </w:rPr>
                <w:t>ST.60</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1C00A589"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Datos bibliográficos sobre marcas; </w:t>
            </w:r>
          </w:p>
        </w:tc>
      </w:tr>
      <w:tr w:rsidR="009F1B0F" w:rsidRPr="001E2FF2" w14:paraId="4FD7473F" w14:textId="77777777" w:rsidTr="009F1B0F">
        <w:trPr>
          <w:trHeight w:val="20"/>
        </w:trPr>
        <w:tc>
          <w:tcPr>
            <w:tcW w:w="1922" w:type="dxa"/>
            <w:tcBorders>
              <w:top w:val="nil"/>
              <w:left w:val="nil"/>
              <w:bottom w:val="nil"/>
              <w:right w:val="nil"/>
            </w:tcBorders>
          </w:tcPr>
          <w:p w14:paraId="793F9BE5" w14:textId="3BFD1BD6"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20" w:history="1">
              <w:r w:rsidRPr="001E2FF2">
                <w:rPr>
                  <w:rStyle w:val="Hyperlink"/>
                  <w:rFonts w:asciiTheme="minorBidi" w:hAnsiTheme="minorBidi"/>
                  <w:sz w:val="17"/>
                  <w:lang w:val="es-419"/>
                </w:rPr>
                <w:t>ST.61</w:t>
              </w:r>
            </w:hyperlink>
            <w:r w:rsidRPr="001E2FF2">
              <w:rPr>
                <w:rFonts w:asciiTheme="minorBidi" w:hAnsiTheme="minorBidi"/>
                <w:sz w:val="17"/>
                <w:lang w:val="es-419"/>
              </w:rPr>
              <w:t xml:space="preserve"> de la OMPI </w:t>
            </w:r>
          </w:p>
        </w:tc>
        <w:tc>
          <w:tcPr>
            <w:tcW w:w="6538" w:type="dxa"/>
            <w:tcBorders>
              <w:top w:val="nil"/>
              <w:left w:val="nil"/>
              <w:bottom w:val="nil"/>
              <w:right w:val="nil"/>
            </w:tcBorders>
          </w:tcPr>
          <w:p w14:paraId="184CA80A"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Intercambio de datos sobre la situación jurídica de las marcas; </w:t>
            </w:r>
          </w:p>
        </w:tc>
      </w:tr>
      <w:tr w:rsidR="009F1B0F" w:rsidRPr="001E2FF2" w14:paraId="29EE03FF" w14:textId="77777777" w:rsidTr="009F1B0F">
        <w:trPr>
          <w:trHeight w:val="20"/>
        </w:trPr>
        <w:tc>
          <w:tcPr>
            <w:tcW w:w="1922" w:type="dxa"/>
            <w:tcBorders>
              <w:top w:val="nil"/>
              <w:left w:val="nil"/>
              <w:bottom w:val="nil"/>
              <w:right w:val="nil"/>
            </w:tcBorders>
          </w:tcPr>
          <w:p w14:paraId="10D51DE5" w14:textId="40E2F918"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21" w:history="1">
              <w:r w:rsidRPr="001E2FF2">
                <w:rPr>
                  <w:rStyle w:val="Hyperlink"/>
                  <w:rFonts w:asciiTheme="minorBidi" w:hAnsiTheme="minorBidi"/>
                  <w:sz w:val="17"/>
                  <w:lang w:val="es-419"/>
                </w:rPr>
                <w:t>ST.66</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5AE8A425"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Tratamiento en XML de la información sobre marcas; </w:t>
            </w:r>
          </w:p>
        </w:tc>
      </w:tr>
      <w:tr w:rsidR="009F1B0F" w:rsidRPr="001E2FF2" w14:paraId="408C2701" w14:textId="77777777" w:rsidTr="009F1B0F">
        <w:trPr>
          <w:trHeight w:val="20"/>
        </w:trPr>
        <w:tc>
          <w:tcPr>
            <w:tcW w:w="1922" w:type="dxa"/>
            <w:tcBorders>
              <w:top w:val="nil"/>
              <w:left w:val="nil"/>
              <w:bottom w:val="nil"/>
              <w:right w:val="nil"/>
            </w:tcBorders>
          </w:tcPr>
          <w:p w14:paraId="2B1C1E56" w14:textId="2C6E267C"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22" w:history="1">
              <w:r w:rsidRPr="001E2FF2">
                <w:rPr>
                  <w:rStyle w:val="Hyperlink"/>
                  <w:rFonts w:asciiTheme="minorBidi" w:hAnsiTheme="minorBidi"/>
                  <w:sz w:val="17"/>
                  <w:lang w:val="es-419"/>
                </w:rPr>
                <w:t>ST.80</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70C494C4"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Datos bibliográficos sobre dibujos y modelos industriales; </w:t>
            </w:r>
          </w:p>
        </w:tc>
      </w:tr>
      <w:tr w:rsidR="009F1B0F" w:rsidRPr="001E2FF2" w14:paraId="2FE0A042" w14:textId="77777777" w:rsidTr="009F1B0F">
        <w:trPr>
          <w:trHeight w:val="20"/>
        </w:trPr>
        <w:tc>
          <w:tcPr>
            <w:tcW w:w="1922" w:type="dxa"/>
            <w:tcBorders>
              <w:top w:val="nil"/>
              <w:left w:val="nil"/>
              <w:bottom w:val="nil"/>
              <w:right w:val="nil"/>
            </w:tcBorders>
          </w:tcPr>
          <w:p w14:paraId="5BC11852" w14:textId="2BE27FE2"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23" w:history="1">
              <w:r w:rsidRPr="001E2FF2">
                <w:rPr>
                  <w:rStyle w:val="Hyperlink"/>
                  <w:rFonts w:asciiTheme="minorBidi" w:hAnsiTheme="minorBidi"/>
                  <w:sz w:val="17"/>
                  <w:lang w:val="es-419"/>
                </w:rPr>
                <w:t>ST.86</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19CEDC28" w14:textId="77777777"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Tratamiento en XML de la información relativa a los diseños industriales; </w:t>
            </w:r>
          </w:p>
        </w:tc>
      </w:tr>
      <w:tr w:rsidR="009F1B0F" w:rsidRPr="001E2FF2" w14:paraId="779947B8" w14:textId="77777777" w:rsidTr="009F1B0F">
        <w:trPr>
          <w:trHeight w:val="20"/>
        </w:trPr>
        <w:tc>
          <w:tcPr>
            <w:tcW w:w="1922" w:type="dxa"/>
            <w:tcBorders>
              <w:top w:val="nil"/>
              <w:left w:val="nil"/>
              <w:bottom w:val="nil"/>
              <w:right w:val="nil"/>
            </w:tcBorders>
          </w:tcPr>
          <w:p w14:paraId="5770C084" w14:textId="562BB565"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24" w:history="1">
              <w:r w:rsidRPr="001E2FF2">
                <w:rPr>
                  <w:rStyle w:val="Hyperlink"/>
                  <w:rFonts w:asciiTheme="minorBidi" w:hAnsiTheme="minorBidi"/>
                  <w:sz w:val="17"/>
                  <w:lang w:val="es-419"/>
                </w:rPr>
                <w:t>ST.87</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1B967F2B" w14:textId="0DC470D3"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Intercambio de datos sobre la situación jurídica de los dibujos y modelos industriales; y</w:t>
            </w:r>
          </w:p>
        </w:tc>
      </w:tr>
      <w:tr w:rsidR="009F1B0F" w:rsidRPr="001E2FF2" w14:paraId="749F7AF1" w14:textId="77777777" w:rsidTr="009F1B0F">
        <w:trPr>
          <w:trHeight w:val="71"/>
        </w:trPr>
        <w:tc>
          <w:tcPr>
            <w:tcW w:w="1922" w:type="dxa"/>
            <w:tcBorders>
              <w:top w:val="nil"/>
              <w:left w:val="nil"/>
              <w:bottom w:val="nil"/>
              <w:right w:val="nil"/>
            </w:tcBorders>
          </w:tcPr>
          <w:p w14:paraId="4E615966" w14:textId="17EFEAAE"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 xml:space="preserve">Norma </w:t>
            </w:r>
            <w:hyperlink r:id="rId25" w:history="1">
              <w:r w:rsidRPr="001E2FF2">
                <w:rPr>
                  <w:rStyle w:val="Hyperlink"/>
                  <w:rFonts w:asciiTheme="minorBidi" w:hAnsiTheme="minorBidi"/>
                  <w:sz w:val="17"/>
                  <w:lang w:val="es-419"/>
                </w:rPr>
                <w:t>ST.96</w:t>
              </w:r>
            </w:hyperlink>
            <w:r w:rsidRPr="001E2FF2">
              <w:rPr>
                <w:rFonts w:asciiTheme="minorBidi" w:hAnsiTheme="minorBidi"/>
                <w:sz w:val="17"/>
                <w:lang w:val="es-419"/>
              </w:rPr>
              <w:t xml:space="preserve"> de la OMPI</w:t>
            </w:r>
          </w:p>
        </w:tc>
        <w:tc>
          <w:tcPr>
            <w:tcW w:w="6538" w:type="dxa"/>
            <w:tcBorders>
              <w:top w:val="nil"/>
              <w:left w:val="nil"/>
              <w:bottom w:val="nil"/>
              <w:right w:val="nil"/>
            </w:tcBorders>
          </w:tcPr>
          <w:p w14:paraId="07AF8C21" w14:textId="6DD30EC9" w:rsidR="009F1B0F" w:rsidRPr="001E2FF2" w:rsidRDefault="009F1B0F" w:rsidP="009F1B0F">
            <w:pPr>
              <w:keepLines/>
              <w:rPr>
                <w:rFonts w:asciiTheme="minorBidi" w:eastAsia="MS PGothic" w:hAnsiTheme="minorBidi" w:cstheme="minorBidi"/>
                <w:sz w:val="17"/>
                <w:szCs w:val="17"/>
                <w:lang w:val="es-419"/>
              </w:rPr>
            </w:pPr>
            <w:r w:rsidRPr="001E2FF2">
              <w:rPr>
                <w:rFonts w:asciiTheme="minorBidi" w:hAnsiTheme="minorBidi"/>
                <w:sz w:val="17"/>
                <w:lang w:val="es-419"/>
              </w:rPr>
              <w:t>Tratamiento en XML de la información relativa a la propiedad intelectual.</w:t>
            </w:r>
          </w:p>
        </w:tc>
      </w:tr>
    </w:tbl>
    <w:p w14:paraId="43C2D6CE" w14:textId="77777777" w:rsidR="006A3E45" w:rsidRPr="001E2FF2" w:rsidRDefault="006A3E45" w:rsidP="00343682">
      <w:pPr>
        <w:keepLines/>
        <w:tabs>
          <w:tab w:val="left" w:pos="567"/>
        </w:tabs>
        <w:spacing w:before="0" w:after="170"/>
        <w:rPr>
          <w:rFonts w:cs="Times New Roman"/>
          <w:kern w:val="0"/>
          <w:sz w:val="17"/>
          <w:szCs w:val="20"/>
          <w:lang w:val="es-419" w:eastAsia="ja-JP"/>
          <w14:ligatures w14:val="none"/>
        </w:rPr>
      </w:pPr>
    </w:p>
    <w:p w14:paraId="7F8B6A33" w14:textId="77777777" w:rsidR="00BD4D01" w:rsidRPr="001E2FF2" w:rsidRDefault="00BD4D01" w:rsidP="00343682">
      <w:pPr>
        <w:keepLines/>
        <w:tabs>
          <w:tab w:val="left" w:pos="567"/>
        </w:tabs>
        <w:spacing w:before="0" w:after="170"/>
        <w:rPr>
          <w:rFonts w:cs="Times New Roman"/>
          <w:kern w:val="0"/>
          <w:sz w:val="17"/>
          <w:szCs w:val="20"/>
          <w:lang w:val="es-419" w:eastAsia="ja-JP"/>
          <w14:ligatures w14:val="none"/>
        </w:rPr>
      </w:pPr>
    </w:p>
    <w:p w14:paraId="29F22318" w14:textId="77777777" w:rsidR="00BD4D01" w:rsidRPr="001E2FF2" w:rsidRDefault="00BD4D01" w:rsidP="00343682">
      <w:pPr>
        <w:keepLines/>
        <w:tabs>
          <w:tab w:val="left" w:pos="567"/>
        </w:tabs>
        <w:spacing w:before="0" w:after="170"/>
        <w:rPr>
          <w:rFonts w:cs="Times New Roman"/>
          <w:kern w:val="0"/>
          <w:sz w:val="17"/>
          <w:szCs w:val="20"/>
          <w:lang w:val="es-419" w:eastAsia="ja-JP"/>
          <w14:ligatures w14:val="none"/>
        </w:rPr>
      </w:pPr>
    </w:p>
    <w:p w14:paraId="7B010C9D" w14:textId="77777777" w:rsidR="002B5203" w:rsidRPr="001E2FF2" w:rsidRDefault="002B5203" w:rsidP="00343682">
      <w:pPr>
        <w:keepLines/>
        <w:rPr>
          <w:rFonts w:cs="Times New Roman"/>
          <w:kern w:val="0"/>
          <w:sz w:val="17"/>
          <w:szCs w:val="20"/>
          <w:lang w:val="es-419" w:eastAsia="ja-JP"/>
          <w14:ligatures w14:val="none"/>
        </w:rPr>
      </w:pPr>
    </w:p>
    <w:p w14:paraId="2E532CAB" w14:textId="15896C03" w:rsidR="002B5203" w:rsidRPr="001E2FF2" w:rsidRDefault="006A3E45" w:rsidP="006A3E45">
      <w:pPr>
        <w:keepLines/>
        <w:ind w:left="5533"/>
        <w:jc w:val="center"/>
        <w:rPr>
          <w:rFonts w:cs="Times New Roman"/>
          <w:iCs/>
          <w:kern w:val="0"/>
          <w:sz w:val="17"/>
          <w:szCs w:val="20"/>
          <w:lang w:val="es-419"/>
          <w14:ligatures w14:val="none"/>
        </w:rPr>
      </w:pPr>
      <w:r w:rsidRPr="001E2FF2">
        <w:rPr>
          <w:sz w:val="17"/>
          <w:lang w:val="es-419"/>
        </w:rPr>
        <w:t>[Sigue el Anexo I del proyecto de norma].</w:t>
      </w:r>
    </w:p>
    <w:p w14:paraId="1D123E1E" w14:textId="724DD0E1" w:rsidR="003116B9" w:rsidRPr="001E2FF2" w:rsidRDefault="003116B9" w:rsidP="00343682">
      <w:pPr>
        <w:keepLines/>
        <w:rPr>
          <w:rFonts w:cs="Times New Roman"/>
          <w:kern w:val="0"/>
          <w:sz w:val="17"/>
          <w:szCs w:val="20"/>
          <w:lang w:val="es-419"/>
          <w14:ligatures w14:val="none"/>
        </w:rPr>
      </w:pPr>
      <w:r w:rsidRPr="001E2FF2">
        <w:rPr>
          <w:lang w:val="es-419"/>
        </w:rPr>
        <w:br w:type="page"/>
      </w:r>
    </w:p>
    <w:p w14:paraId="6873340A" w14:textId="3E776A53" w:rsidR="00F07D62" w:rsidRPr="001E2FF2" w:rsidRDefault="00F07D62" w:rsidP="004C5C0F">
      <w:pPr>
        <w:widowControl w:val="0"/>
        <w:kinsoku w:val="0"/>
        <w:spacing w:before="0" w:after="170" w:line="211" w:lineRule="auto"/>
        <w:jc w:val="center"/>
        <w:outlineLvl w:val="0"/>
        <w:rPr>
          <w:rFonts w:cs="Arial"/>
          <w:kern w:val="0"/>
          <w:sz w:val="17"/>
          <w:szCs w:val="17"/>
          <w:lang w:val="es-419"/>
          <w14:ligatures w14:val="none"/>
        </w:rPr>
      </w:pPr>
      <w:bookmarkStart w:id="20" w:name="_Toc209011745"/>
      <w:r w:rsidRPr="001E2FF2">
        <w:rPr>
          <w:sz w:val="17"/>
          <w:lang w:val="es-419"/>
        </w:rPr>
        <w:t>ANEXO I (Ejemplo de lista de verificación)</w:t>
      </w:r>
      <w:bookmarkEnd w:id="20"/>
    </w:p>
    <w:p w14:paraId="0128FA08" w14:textId="77777777" w:rsidR="00EE223B" w:rsidRPr="001E2FF2" w:rsidRDefault="00EE223B" w:rsidP="004C5C0F">
      <w:pPr>
        <w:widowControl w:val="0"/>
        <w:kinsoku w:val="0"/>
        <w:spacing w:before="0" w:after="170" w:line="211" w:lineRule="auto"/>
        <w:jc w:val="center"/>
        <w:outlineLvl w:val="0"/>
        <w:rPr>
          <w:rFonts w:cs="Arial"/>
          <w:kern w:val="0"/>
          <w:sz w:val="17"/>
          <w:szCs w:val="17"/>
          <w:lang w:val="es-419" w:eastAsia="ja-JP"/>
          <w14:ligatures w14:val="none"/>
        </w:rPr>
      </w:pPr>
    </w:p>
    <w:p w14:paraId="1A91E869" w14:textId="40C926C5" w:rsidR="0015212A" w:rsidRPr="001E2FF2" w:rsidRDefault="0015212A" w:rsidP="00DE58F5">
      <w:pPr>
        <w:keepLines/>
        <w:tabs>
          <w:tab w:val="left" w:pos="426"/>
        </w:tabs>
        <w:spacing w:after="170"/>
        <w:rPr>
          <w:rFonts w:eastAsia="SimSun" w:cs="Arial"/>
          <w:kern w:val="0"/>
          <w:sz w:val="17"/>
          <w:szCs w:val="17"/>
          <w:lang w:val="es-419"/>
          <w14:ligatures w14:val="none"/>
        </w:rPr>
      </w:pPr>
      <w:r w:rsidRPr="001E2FF2">
        <w:rPr>
          <w:sz w:val="17"/>
          <w:lang w:val="es-419"/>
        </w:rPr>
        <w:t>La descripción del contenido incluye al menos la información siguiente:</w:t>
      </w:r>
    </w:p>
    <w:p w14:paraId="6A8DB273" w14:textId="77777777" w:rsidR="0015212A" w:rsidRPr="001E2FF2" w:rsidRDefault="0015212A"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código de país</w:t>
      </w:r>
    </w:p>
    <w:p w14:paraId="5903C95B" w14:textId="77777777" w:rsidR="0015212A" w:rsidRPr="001E2FF2" w:rsidRDefault="0015212A"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tipo de datos (datos bibliográficos, datos de imagen, texto completo, etc.)</w:t>
      </w:r>
    </w:p>
    <w:p w14:paraId="01509143" w14:textId="77777777" w:rsidR="0015212A" w:rsidRPr="001E2FF2" w:rsidRDefault="0015212A"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gama de documentos suministrados </w:t>
      </w:r>
    </w:p>
    <w:p w14:paraId="0AE16BB8" w14:textId="77777777" w:rsidR="0015212A" w:rsidRPr="001E2FF2" w:rsidRDefault="0015212A"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 xml:space="preserve">código de tipo o tipo de documento </w:t>
      </w:r>
    </w:p>
    <w:p w14:paraId="04EE240D" w14:textId="77777777" w:rsidR="0015212A" w:rsidRPr="001E2FF2" w:rsidRDefault="0015212A"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número total de documentos</w:t>
      </w:r>
    </w:p>
    <w:p w14:paraId="3EE9BA29" w14:textId="77777777" w:rsidR="0015212A" w:rsidRPr="001E2FF2" w:rsidRDefault="0015212A"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fecha de publicación y período de publicación abarcados</w:t>
      </w:r>
    </w:p>
    <w:p w14:paraId="27979844" w14:textId="7EF9C7F0" w:rsidR="0015212A" w:rsidRPr="001E2FF2" w:rsidRDefault="00837BFE" w:rsidP="005A488D">
      <w:pPr>
        <w:pStyle w:val="ListParagraph"/>
        <w:numPr>
          <w:ilvl w:val="0"/>
          <w:numId w:val="10"/>
        </w:numPr>
        <w:tabs>
          <w:tab w:val="left" w:pos="851"/>
        </w:tabs>
        <w:spacing w:before="0" w:after="170"/>
        <w:ind w:left="425" w:firstLine="0"/>
        <w:contextualSpacing w:val="0"/>
        <w:rPr>
          <w:rFonts w:eastAsia="Times New Roman" w:cs="Times New Roman"/>
          <w:kern w:val="0"/>
          <w:sz w:val="17"/>
          <w:szCs w:val="20"/>
          <w:lang w:val="es-419"/>
          <w14:ligatures w14:val="none"/>
        </w:rPr>
      </w:pPr>
      <w:r w:rsidRPr="001E2FF2">
        <w:rPr>
          <w:sz w:val="17"/>
          <w:lang w:val="es-419"/>
        </w:rPr>
        <w:t>Persona de contacto (remitente)</w:t>
      </w:r>
    </w:p>
    <w:p w14:paraId="16F69E47" w14:textId="77777777" w:rsidR="00F07D62" w:rsidRPr="001E2FF2" w:rsidRDefault="00F07D62" w:rsidP="00B443AB">
      <w:pPr>
        <w:keepLines/>
        <w:tabs>
          <w:tab w:val="left" w:pos="567"/>
        </w:tabs>
        <w:spacing w:before="0" w:after="170"/>
        <w:rPr>
          <w:rFonts w:cs="Times New Roman"/>
          <w:kern w:val="0"/>
          <w:sz w:val="17"/>
          <w:szCs w:val="20"/>
          <w:lang w:val="es-419" w:eastAsia="ja-JP"/>
          <w14:ligatures w14:val="none"/>
        </w:rPr>
      </w:pPr>
    </w:p>
    <w:p w14:paraId="7B802A6B" w14:textId="77777777" w:rsidR="00252380" w:rsidRPr="001E2FF2" w:rsidRDefault="00252380" w:rsidP="00B443AB">
      <w:pPr>
        <w:keepLines/>
        <w:tabs>
          <w:tab w:val="left" w:pos="567"/>
        </w:tabs>
        <w:spacing w:before="0" w:after="170"/>
        <w:rPr>
          <w:rFonts w:cs="Times New Roman"/>
          <w:kern w:val="0"/>
          <w:sz w:val="17"/>
          <w:szCs w:val="20"/>
          <w:lang w:val="es-419" w:eastAsia="ja-JP"/>
          <w14:ligatures w14:val="none"/>
        </w:rPr>
      </w:pPr>
    </w:p>
    <w:p w14:paraId="1CF0492B" w14:textId="77777777" w:rsidR="00811602" w:rsidRPr="001E2FF2" w:rsidRDefault="00811602" w:rsidP="00B443AB">
      <w:pPr>
        <w:keepLines/>
        <w:tabs>
          <w:tab w:val="left" w:pos="567"/>
        </w:tabs>
        <w:spacing w:before="0" w:after="170"/>
        <w:rPr>
          <w:rFonts w:cs="Times New Roman"/>
          <w:kern w:val="0"/>
          <w:sz w:val="17"/>
          <w:szCs w:val="20"/>
          <w:lang w:val="es-419" w:eastAsia="ja-JP"/>
          <w14:ligatures w14:val="none"/>
        </w:rPr>
      </w:pPr>
    </w:p>
    <w:p w14:paraId="5A0E2B95" w14:textId="2C9ACA7E" w:rsidR="005B7C93" w:rsidRPr="001E2FF2" w:rsidRDefault="005B7C93" w:rsidP="005B7C93">
      <w:pPr>
        <w:keepLines/>
        <w:ind w:left="5533"/>
        <w:jc w:val="center"/>
        <w:rPr>
          <w:rFonts w:cs="Times New Roman"/>
          <w:iCs/>
          <w:kern w:val="0"/>
          <w:sz w:val="17"/>
          <w:szCs w:val="20"/>
          <w:lang w:val="es-419"/>
          <w14:ligatures w14:val="none"/>
        </w:rPr>
      </w:pPr>
      <w:r w:rsidRPr="001E2FF2">
        <w:rPr>
          <w:sz w:val="17"/>
          <w:lang w:val="es-419"/>
        </w:rPr>
        <w:t>[Fin del Anexo I y del proyecto de norma]</w:t>
      </w:r>
    </w:p>
    <w:p w14:paraId="0E87757D" w14:textId="77777777" w:rsidR="005B7C93" w:rsidRPr="001E2FF2" w:rsidRDefault="005B7C93" w:rsidP="00252380">
      <w:pPr>
        <w:keepLines/>
        <w:tabs>
          <w:tab w:val="left" w:pos="567"/>
        </w:tabs>
        <w:spacing w:before="0" w:after="170"/>
        <w:ind w:left="5533"/>
        <w:jc w:val="center"/>
        <w:rPr>
          <w:rFonts w:cs="Times New Roman"/>
          <w:iCs/>
          <w:kern w:val="0"/>
          <w:lang w:val="es-419" w:eastAsia="ja-JP"/>
          <w14:ligatures w14:val="none"/>
        </w:rPr>
      </w:pPr>
    </w:p>
    <w:p w14:paraId="57B1C638" w14:textId="77777777" w:rsidR="005B7C93" w:rsidRPr="001E2FF2" w:rsidRDefault="005B7C93" w:rsidP="00252380">
      <w:pPr>
        <w:keepLines/>
        <w:tabs>
          <w:tab w:val="left" w:pos="567"/>
        </w:tabs>
        <w:spacing w:before="0" w:after="170"/>
        <w:ind w:left="5533"/>
        <w:jc w:val="center"/>
        <w:rPr>
          <w:rFonts w:cs="Times New Roman"/>
          <w:iCs/>
          <w:kern w:val="0"/>
          <w:lang w:val="es-419" w:eastAsia="ja-JP"/>
          <w14:ligatures w14:val="none"/>
        </w:rPr>
      </w:pPr>
    </w:p>
    <w:p w14:paraId="5DE634B1" w14:textId="7DB3041D" w:rsidR="00811602" w:rsidRPr="001E2FF2" w:rsidRDefault="00252380" w:rsidP="00252380">
      <w:pPr>
        <w:keepLines/>
        <w:tabs>
          <w:tab w:val="left" w:pos="567"/>
        </w:tabs>
        <w:spacing w:before="0" w:after="170"/>
        <w:ind w:left="5533"/>
        <w:jc w:val="center"/>
        <w:rPr>
          <w:rFonts w:cs="Times New Roman"/>
          <w:iCs/>
          <w:kern w:val="0"/>
          <w:lang w:val="es-419"/>
          <w14:ligatures w14:val="none"/>
        </w:rPr>
      </w:pPr>
      <w:r w:rsidRPr="001E2FF2">
        <w:rPr>
          <w:lang w:val="es-419"/>
        </w:rPr>
        <w:t>[Fin del Anexo y del documento]</w:t>
      </w:r>
    </w:p>
    <w:p w14:paraId="2336DB6A" w14:textId="47E29E2E" w:rsidR="00D96BE3" w:rsidRPr="001E2FF2" w:rsidRDefault="00D96BE3" w:rsidP="00B443AB">
      <w:pPr>
        <w:ind w:hanging="3582"/>
        <w:rPr>
          <w:rFonts w:cs="Arial"/>
          <w:kern w:val="0"/>
          <w:sz w:val="17"/>
          <w:szCs w:val="17"/>
          <w:lang w:val="es-419"/>
          <w14:ligatures w14:val="none"/>
        </w:rPr>
      </w:pPr>
      <w:bookmarkStart w:id="21" w:name="_Toc163221159"/>
      <w:bookmarkStart w:id="22" w:name="_Ref371513458"/>
      <w:bookmarkEnd w:id="19"/>
    </w:p>
    <w:p w14:paraId="7E4BE6F0" w14:textId="77777777" w:rsidR="001D2852" w:rsidRPr="001E2FF2" w:rsidRDefault="001D2852" w:rsidP="00B443AB">
      <w:pPr>
        <w:ind w:hanging="3582"/>
        <w:rPr>
          <w:rFonts w:eastAsia="SimSun" w:cs="Arial"/>
          <w:kern w:val="0"/>
          <w:sz w:val="17"/>
          <w:szCs w:val="17"/>
          <w:lang w:val="es-419"/>
          <w14:ligatures w14:val="none"/>
        </w:rPr>
      </w:pPr>
    </w:p>
    <w:p w14:paraId="3FDDAD6A" w14:textId="77777777" w:rsidR="00D96BE3" w:rsidRPr="001E2FF2" w:rsidRDefault="00D96BE3" w:rsidP="00B443AB">
      <w:pPr>
        <w:ind w:hanging="3582"/>
        <w:rPr>
          <w:rFonts w:eastAsia="SimSun" w:cs="Arial"/>
          <w:kern w:val="0"/>
          <w:sz w:val="17"/>
          <w:szCs w:val="17"/>
          <w:lang w:val="es-419"/>
          <w14:ligatures w14:val="none"/>
        </w:rPr>
      </w:pPr>
    </w:p>
    <w:p w14:paraId="189A301F" w14:textId="77777777" w:rsidR="00D96BE3" w:rsidRPr="001E2FF2" w:rsidRDefault="00D96BE3" w:rsidP="00B443AB">
      <w:pPr>
        <w:ind w:hanging="3582"/>
        <w:rPr>
          <w:rFonts w:eastAsia="SimSun" w:cs="Arial"/>
          <w:kern w:val="0"/>
          <w:sz w:val="17"/>
          <w:szCs w:val="17"/>
          <w:lang w:val="es-419"/>
          <w14:ligatures w14:val="none"/>
        </w:rPr>
      </w:pPr>
    </w:p>
    <w:bookmarkEnd w:id="21"/>
    <w:bookmarkEnd w:id="22"/>
    <w:p w14:paraId="796D732F" w14:textId="77777777" w:rsidR="00D96BE3" w:rsidRPr="001E2FF2" w:rsidRDefault="00D96BE3" w:rsidP="00B443AB">
      <w:pPr>
        <w:ind w:hanging="3582"/>
        <w:rPr>
          <w:rFonts w:eastAsia="SimSun" w:cs="Arial"/>
          <w:kern w:val="0"/>
          <w:sz w:val="17"/>
          <w:szCs w:val="17"/>
          <w:lang w:val="es-419"/>
          <w14:ligatures w14:val="none"/>
        </w:rPr>
      </w:pPr>
    </w:p>
    <w:sectPr w:rsidR="00D96BE3" w:rsidRPr="001E2FF2" w:rsidSect="00DB250F">
      <w:headerReference w:type="default" r:id="rId26"/>
      <w:headerReference w:type="first" r:id="rId27"/>
      <w:pgSz w:w="11909" w:h="16834" w:code="9"/>
      <w:pgMar w:top="567" w:right="1134" w:bottom="1418" w:left="1418" w:header="510"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EBEE" w14:textId="77777777" w:rsidR="00CB3CD1" w:rsidRPr="00885F25" w:rsidRDefault="00CB3CD1" w:rsidP="006312A7">
      <w:pPr>
        <w:spacing w:after="0"/>
      </w:pPr>
      <w:r w:rsidRPr="00885F25">
        <w:separator/>
      </w:r>
    </w:p>
  </w:endnote>
  <w:endnote w:type="continuationSeparator" w:id="0">
    <w:p w14:paraId="1B113C67" w14:textId="77777777" w:rsidR="00CB3CD1" w:rsidRPr="00885F25" w:rsidRDefault="00CB3CD1" w:rsidP="006312A7">
      <w:pPr>
        <w:spacing w:after="0"/>
      </w:pPr>
      <w:r w:rsidRPr="00885F25">
        <w:continuationSeparator/>
      </w:r>
    </w:p>
  </w:endnote>
  <w:endnote w:type="continuationNotice" w:id="1">
    <w:p w14:paraId="6238B6FA" w14:textId="77777777" w:rsidR="00CB3CD1" w:rsidRDefault="00CB3C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86C5" w14:textId="77777777" w:rsidR="00CB3CD1" w:rsidRPr="00885F25" w:rsidRDefault="00CB3CD1" w:rsidP="006312A7">
      <w:pPr>
        <w:spacing w:after="0"/>
      </w:pPr>
      <w:r w:rsidRPr="00885F25">
        <w:separator/>
      </w:r>
    </w:p>
  </w:footnote>
  <w:footnote w:type="continuationSeparator" w:id="0">
    <w:p w14:paraId="1813F0DD" w14:textId="77777777" w:rsidR="00CB3CD1" w:rsidRPr="00885F25" w:rsidRDefault="00CB3CD1" w:rsidP="006312A7">
      <w:pPr>
        <w:spacing w:after="0"/>
      </w:pPr>
      <w:r w:rsidRPr="00885F25">
        <w:continuationSeparator/>
      </w:r>
    </w:p>
  </w:footnote>
  <w:footnote w:type="continuationNotice" w:id="1">
    <w:p w14:paraId="7A4D093F" w14:textId="77777777" w:rsidR="00CB3CD1" w:rsidRDefault="00CB3CD1">
      <w:pPr>
        <w:spacing w:before="0" w:after="0"/>
      </w:pPr>
    </w:p>
  </w:footnote>
  <w:footnote w:id="2">
    <w:p w14:paraId="54549A95" w14:textId="574D8138" w:rsidR="00AF3797" w:rsidRDefault="00AF3797" w:rsidP="003A1552">
      <w:pPr>
        <w:pStyle w:val="FootnoteText"/>
        <w:tabs>
          <w:tab w:val="left" w:pos="567"/>
        </w:tabs>
        <w:ind w:left="0"/>
      </w:pPr>
      <w:r>
        <w:rPr>
          <w:rStyle w:val="FootnoteReference"/>
        </w:rPr>
        <w:footnoteRef/>
      </w:r>
      <w:r>
        <w:tab/>
        <w:t>Esta intención debería reflejarse en los acuerdos bilaterales suscritos entre las oficinas de PI y los proveedores comerciales.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FCF5" w14:textId="1440C677" w:rsidR="00FB473A" w:rsidRDefault="00FB473A" w:rsidP="006959BB">
    <w:pPr>
      <w:pStyle w:val="Header"/>
      <w:spacing w:before="0"/>
      <w:jc w:val="right"/>
    </w:pPr>
    <w:r>
      <w:t>CWS/13/27</w:t>
    </w:r>
  </w:p>
  <w:p w14:paraId="6ACB0DDB" w14:textId="77777777" w:rsidR="00FB473A" w:rsidRDefault="00FB473A" w:rsidP="006959BB">
    <w:pPr>
      <w:pStyle w:val="Header"/>
      <w:spacing w:before="0"/>
      <w:jc w:val="right"/>
    </w:pPr>
    <w:r>
      <w:t xml:space="preserve">Anexo, página </w:t>
    </w:r>
    <w:r>
      <w:fldChar w:fldCharType="begin"/>
    </w:r>
    <w:r>
      <w:instrText xml:space="preserve"> PAGE  \* Arabic  \* MERGEFORMAT </w:instrText>
    </w:r>
    <w:r>
      <w:fldChar w:fldCharType="separate"/>
    </w:r>
    <w:r>
      <w:t>1</w:t>
    </w:r>
    <w:r>
      <w:fldChar w:fldCharType="end"/>
    </w:r>
  </w:p>
  <w:p w14:paraId="6F697B77" w14:textId="77777777" w:rsidR="006959BB" w:rsidRDefault="006959BB" w:rsidP="006959BB">
    <w:pPr>
      <w:pStyle w:val="Header"/>
      <w:spacing w:before="0"/>
      <w:jc w:val="right"/>
    </w:pPr>
  </w:p>
  <w:p w14:paraId="2772A95E" w14:textId="77777777" w:rsidR="006959BB" w:rsidRPr="002A5D77" w:rsidRDefault="006959BB" w:rsidP="006959BB">
    <w:pPr>
      <w:pStyle w:val="Header"/>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FBFE" w14:textId="519D22F2" w:rsidR="00DB250F" w:rsidRDefault="00DB250F" w:rsidP="006959BB">
    <w:pPr>
      <w:pStyle w:val="Header"/>
      <w:spacing w:before="0"/>
      <w:jc w:val="right"/>
    </w:pPr>
    <w:r>
      <w:t>CWS/13/27</w:t>
    </w:r>
  </w:p>
  <w:p w14:paraId="67FF0B2C" w14:textId="5D3F5FC7" w:rsidR="00DB250F" w:rsidRDefault="00DB250F" w:rsidP="006959BB">
    <w:pPr>
      <w:pStyle w:val="Header"/>
      <w:spacing w:before="0"/>
      <w:jc w:val="right"/>
    </w:pPr>
    <w:r>
      <w:t>ANEXO</w:t>
    </w:r>
  </w:p>
  <w:p w14:paraId="574767A6" w14:textId="77777777" w:rsidR="006959BB" w:rsidRDefault="006959BB" w:rsidP="006959BB">
    <w:pPr>
      <w:pStyle w:val="Header"/>
      <w:spacing w:before="0"/>
      <w:jc w:val="right"/>
    </w:pPr>
  </w:p>
  <w:p w14:paraId="4D5F88F5" w14:textId="77777777" w:rsidR="006959BB" w:rsidRDefault="006959BB" w:rsidP="006959BB">
    <w:pPr>
      <w:pStyle w:val="Header"/>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199B0D64"/>
    <w:multiLevelType w:val="hybridMultilevel"/>
    <w:tmpl w:val="6CD8FBA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676684"/>
    <w:multiLevelType w:val="hybridMultilevel"/>
    <w:tmpl w:val="DF94B7CE"/>
    <w:lvl w:ilvl="0" w:tplc="2F4A73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F3D6E"/>
    <w:multiLevelType w:val="multilevel"/>
    <w:tmpl w:val="FC3E9A12"/>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EE13BB5"/>
    <w:multiLevelType w:val="hybridMultilevel"/>
    <w:tmpl w:val="9E1E6F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54752"/>
    <w:multiLevelType w:val="hybridMultilevel"/>
    <w:tmpl w:val="057A7A06"/>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FD3BDC"/>
    <w:multiLevelType w:val="multilevel"/>
    <w:tmpl w:val="0500316A"/>
    <w:lvl w:ilvl="0">
      <w:start w:val="1"/>
      <w:numFmt w:val="bullet"/>
      <w:lvlText w:val="­"/>
      <w:lvlJc w:val="left"/>
      <w:pPr>
        <w:ind w:left="108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bullet"/>
      <w:lvlText w:val="­"/>
      <w:lvlJc w:val="left"/>
      <w:pPr>
        <w:ind w:left="2160" w:hanging="360"/>
      </w:pPr>
      <w:rPr>
        <w:rFonts w:ascii="Courier New" w:hAnsi="Courier New"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212792"/>
    <w:multiLevelType w:val="hybridMultilevel"/>
    <w:tmpl w:val="38300C66"/>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245CC4"/>
    <w:multiLevelType w:val="hybridMultilevel"/>
    <w:tmpl w:val="DDF0F88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210AC5"/>
    <w:multiLevelType w:val="hybridMultilevel"/>
    <w:tmpl w:val="D354FC36"/>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6697618">
    <w:abstractNumId w:val="0"/>
  </w:num>
  <w:num w:numId="2" w16cid:durableId="1793555323">
    <w:abstractNumId w:val="3"/>
  </w:num>
  <w:num w:numId="3" w16cid:durableId="1882015182">
    <w:abstractNumId w:val="4"/>
  </w:num>
  <w:num w:numId="4" w16cid:durableId="864171401">
    <w:abstractNumId w:val="6"/>
  </w:num>
  <w:num w:numId="5" w16cid:durableId="160001358">
    <w:abstractNumId w:val="2"/>
  </w:num>
  <w:num w:numId="6" w16cid:durableId="649020071">
    <w:abstractNumId w:val="8"/>
  </w:num>
  <w:num w:numId="7" w16cid:durableId="1440103495">
    <w:abstractNumId w:val="5"/>
  </w:num>
  <w:num w:numId="8" w16cid:durableId="1553351483">
    <w:abstractNumId w:val="1"/>
  </w:num>
  <w:num w:numId="9" w16cid:durableId="1766225211">
    <w:abstractNumId w:val="9"/>
  </w:num>
  <w:num w:numId="10" w16cid:durableId="98227648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E4"/>
    <w:rsid w:val="00002227"/>
    <w:rsid w:val="000028B1"/>
    <w:rsid w:val="00002A27"/>
    <w:rsid w:val="000031BC"/>
    <w:rsid w:val="00003206"/>
    <w:rsid w:val="000038E6"/>
    <w:rsid w:val="00003AB8"/>
    <w:rsid w:val="00004F16"/>
    <w:rsid w:val="00005644"/>
    <w:rsid w:val="000058C6"/>
    <w:rsid w:val="00005F10"/>
    <w:rsid w:val="00007CC2"/>
    <w:rsid w:val="00007CD4"/>
    <w:rsid w:val="00010BF9"/>
    <w:rsid w:val="00011771"/>
    <w:rsid w:val="00011DC2"/>
    <w:rsid w:val="00015C74"/>
    <w:rsid w:val="00017431"/>
    <w:rsid w:val="000179D7"/>
    <w:rsid w:val="00017BDF"/>
    <w:rsid w:val="0002002C"/>
    <w:rsid w:val="0002278B"/>
    <w:rsid w:val="00022C47"/>
    <w:rsid w:val="0002360F"/>
    <w:rsid w:val="00023684"/>
    <w:rsid w:val="00024625"/>
    <w:rsid w:val="00024760"/>
    <w:rsid w:val="00024FEE"/>
    <w:rsid w:val="000270AC"/>
    <w:rsid w:val="00027101"/>
    <w:rsid w:val="00035044"/>
    <w:rsid w:val="00035DF8"/>
    <w:rsid w:val="00037BB4"/>
    <w:rsid w:val="00040CD8"/>
    <w:rsid w:val="00040D67"/>
    <w:rsid w:val="0004138A"/>
    <w:rsid w:val="00041E21"/>
    <w:rsid w:val="0004232D"/>
    <w:rsid w:val="00042A50"/>
    <w:rsid w:val="00043014"/>
    <w:rsid w:val="000447CC"/>
    <w:rsid w:val="00045320"/>
    <w:rsid w:val="000468A0"/>
    <w:rsid w:val="00046BFA"/>
    <w:rsid w:val="0005111B"/>
    <w:rsid w:val="00051538"/>
    <w:rsid w:val="00052186"/>
    <w:rsid w:val="00053462"/>
    <w:rsid w:val="0005663E"/>
    <w:rsid w:val="000571A0"/>
    <w:rsid w:val="000576A3"/>
    <w:rsid w:val="00057D2A"/>
    <w:rsid w:val="00060E49"/>
    <w:rsid w:val="00060EC3"/>
    <w:rsid w:val="0006106D"/>
    <w:rsid w:val="00061EE9"/>
    <w:rsid w:val="00062F3F"/>
    <w:rsid w:val="0006331E"/>
    <w:rsid w:val="00063952"/>
    <w:rsid w:val="00065430"/>
    <w:rsid w:val="00065829"/>
    <w:rsid w:val="000677C7"/>
    <w:rsid w:val="00070737"/>
    <w:rsid w:val="0007177A"/>
    <w:rsid w:val="00071D5E"/>
    <w:rsid w:val="00072888"/>
    <w:rsid w:val="00072B6E"/>
    <w:rsid w:val="00072B7B"/>
    <w:rsid w:val="000759E1"/>
    <w:rsid w:val="00075C4A"/>
    <w:rsid w:val="00075F88"/>
    <w:rsid w:val="0007661B"/>
    <w:rsid w:val="00076C2A"/>
    <w:rsid w:val="000812C7"/>
    <w:rsid w:val="00081469"/>
    <w:rsid w:val="00081939"/>
    <w:rsid w:val="0008552B"/>
    <w:rsid w:val="000866DC"/>
    <w:rsid w:val="00090EF9"/>
    <w:rsid w:val="000922A0"/>
    <w:rsid w:val="00092AD6"/>
    <w:rsid w:val="00092CEC"/>
    <w:rsid w:val="00093290"/>
    <w:rsid w:val="00095464"/>
    <w:rsid w:val="00096FD0"/>
    <w:rsid w:val="000A05CE"/>
    <w:rsid w:val="000A0A2F"/>
    <w:rsid w:val="000A1359"/>
    <w:rsid w:val="000A1AC9"/>
    <w:rsid w:val="000A1C5B"/>
    <w:rsid w:val="000A2696"/>
    <w:rsid w:val="000A3136"/>
    <w:rsid w:val="000A364F"/>
    <w:rsid w:val="000A3941"/>
    <w:rsid w:val="000A4875"/>
    <w:rsid w:val="000A602E"/>
    <w:rsid w:val="000A61CC"/>
    <w:rsid w:val="000B522E"/>
    <w:rsid w:val="000B62FF"/>
    <w:rsid w:val="000C08E0"/>
    <w:rsid w:val="000C311B"/>
    <w:rsid w:val="000C5882"/>
    <w:rsid w:val="000C6920"/>
    <w:rsid w:val="000C7424"/>
    <w:rsid w:val="000C7713"/>
    <w:rsid w:val="000C7C79"/>
    <w:rsid w:val="000D07B0"/>
    <w:rsid w:val="000D1898"/>
    <w:rsid w:val="000D245E"/>
    <w:rsid w:val="000D2D4A"/>
    <w:rsid w:val="000D3CA0"/>
    <w:rsid w:val="000D469D"/>
    <w:rsid w:val="000D4EC7"/>
    <w:rsid w:val="000D60A6"/>
    <w:rsid w:val="000E04BA"/>
    <w:rsid w:val="000E38EA"/>
    <w:rsid w:val="000E3A97"/>
    <w:rsid w:val="000E4A8F"/>
    <w:rsid w:val="000E5F5D"/>
    <w:rsid w:val="000E74FC"/>
    <w:rsid w:val="000E7E15"/>
    <w:rsid w:val="000E7E9D"/>
    <w:rsid w:val="000F03FE"/>
    <w:rsid w:val="000F1AD1"/>
    <w:rsid w:val="000F20D2"/>
    <w:rsid w:val="000F2CF5"/>
    <w:rsid w:val="000F6694"/>
    <w:rsid w:val="000F7C21"/>
    <w:rsid w:val="001007DD"/>
    <w:rsid w:val="00100C90"/>
    <w:rsid w:val="001019A7"/>
    <w:rsid w:val="00101DB8"/>
    <w:rsid w:val="00102068"/>
    <w:rsid w:val="00104409"/>
    <w:rsid w:val="001049B6"/>
    <w:rsid w:val="00106497"/>
    <w:rsid w:val="00107B19"/>
    <w:rsid w:val="00107DD4"/>
    <w:rsid w:val="0011025A"/>
    <w:rsid w:val="001102FE"/>
    <w:rsid w:val="00110976"/>
    <w:rsid w:val="0011295D"/>
    <w:rsid w:val="00112F06"/>
    <w:rsid w:val="001131CB"/>
    <w:rsid w:val="00113466"/>
    <w:rsid w:val="00113BAA"/>
    <w:rsid w:val="0011408C"/>
    <w:rsid w:val="00115617"/>
    <w:rsid w:val="00116A02"/>
    <w:rsid w:val="00120236"/>
    <w:rsid w:val="001219B3"/>
    <w:rsid w:val="00122140"/>
    <w:rsid w:val="001222FC"/>
    <w:rsid w:val="0012344B"/>
    <w:rsid w:val="0013027F"/>
    <w:rsid w:val="001307DF"/>
    <w:rsid w:val="0013259D"/>
    <w:rsid w:val="00136212"/>
    <w:rsid w:val="001409A4"/>
    <w:rsid w:val="00141B72"/>
    <w:rsid w:val="00142C89"/>
    <w:rsid w:val="00142CFD"/>
    <w:rsid w:val="00144996"/>
    <w:rsid w:val="0015212A"/>
    <w:rsid w:val="00152F51"/>
    <w:rsid w:val="00153144"/>
    <w:rsid w:val="001539A9"/>
    <w:rsid w:val="00153C1C"/>
    <w:rsid w:val="00154BAF"/>
    <w:rsid w:val="00155DC4"/>
    <w:rsid w:val="00157436"/>
    <w:rsid w:val="00162555"/>
    <w:rsid w:val="001639A7"/>
    <w:rsid w:val="00163D2F"/>
    <w:rsid w:val="0016536A"/>
    <w:rsid w:val="001667C9"/>
    <w:rsid w:val="00170359"/>
    <w:rsid w:val="0017041B"/>
    <w:rsid w:val="00170F5A"/>
    <w:rsid w:val="00171AB8"/>
    <w:rsid w:val="00173EC6"/>
    <w:rsid w:val="001758F4"/>
    <w:rsid w:val="001763D6"/>
    <w:rsid w:val="00180E52"/>
    <w:rsid w:val="001814D8"/>
    <w:rsid w:val="00181A9E"/>
    <w:rsid w:val="001822DA"/>
    <w:rsid w:val="00184F02"/>
    <w:rsid w:val="001870F5"/>
    <w:rsid w:val="00192A56"/>
    <w:rsid w:val="00194D1E"/>
    <w:rsid w:val="0019538A"/>
    <w:rsid w:val="001956E9"/>
    <w:rsid w:val="001A03F5"/>
    <w:rsid w:val="001A1DA8"/>
    <w:rsid w:val="001A1FF8"/>
    <w:rsid w:val="001A238F"/>
    <w:rsid w:val="001A4649"/>
    <w:rsid w:val="001A60BF"/>
    <w:rsid w:val="001A65DB"/>
    <w:rsid w:val="001A6736"/>
    <w:rsid w:val="001A7E6D"/>
    <w:rsid w:val="001B2F65"/>
    <w:rsid w:val="001B443E"/>
    <w:rsid w:val="001B45A5"/>
    <w:rsid w:val="001B6EAB"/>
    <w:rsid w:val="001C4442"/>
    <w:rsid w:val="001C5DCF"/>
    <w:rsid w:val="001C68E3"/>
    <w:rsid w:val="001C7777"/>
    <w:rsid w:val="001C7CAF"/>
    <w:rsid w:val="001D0B52"/>
    <w:rsid w:val="001D1FB9"/>
    <w:rsid w:val="001D2852"/>
    <w:rsid w:val="001D376B"/>
    <w:rsid w:val="001D4CDD"/>
    <w:rsid w:val="001D555C"/>
    <w:rsid w:val="001D672F"/>
    <w:rsid w:val="001D6C5F"/>
    <w:rsid w:val="001E1210"/>
    <w:rsid w:val="001E2FF2"/>
    <w:rsid w:val="001E4759"/>
    <w:rsid w:val="001E52DC"/>
    <w:rsid w:val="001E55A4"/>
    <w:rsid w:val="001E6007"/>
    <w:rsid w:val="001E6FE4"/>
    <w:rsid w:val="001F2CA4"/>
    <w:rsid w:val="001F54E7"/>
    <w:rsid w:val="0020197F"/>
    <w:rsid w:val="00203062"/>
    <w:rsid w:val="00203ADC"/>
    <w:rsid w:val="002042BE"/>
    <w:rsid w:val="002047C5"/>
    <w:rsid w:val="00205EE6"/>
    <w:rsid w:val="002061C5"/>
    <w:rsid w:val="002137E2"/>
    <w:rsid w:val="00215108"/>
    <w:rsid w:val="002171B8"/>
    <w:rsid w:val="00217315"/>
    <w:rsid w:val="00220CC9"/>
    <w:rsid w:val="002226DA"/>
    <w:rsid w:val="00223935"/>
    <w:rsid w:val="0022599A"/>
    <w:rsid w:val="00227FCA"/>
    <w:rsid w:val="0023118C"/>
    <w:rsid w:val="0023189F"/>
    <w:rsid w:val="00232F99"/>
    <w:rsid w:val="00233291"/>
    <w:rsid w:val="002357FC"/>
    <w:rsid w:val="00237CE4"/>
    <w:rsid w:val="002403BA"/>
    <w:rsid w:val="002414EA"/>
    <w:rsid w:val="00243804"/>
    <w:rsid w:val="00244261"/>
    <w:rsid w:val="00245C5D"/>
    <w:rsid w:val="00252380"/>
    <w:rsid w:val="002550C6"/>
    <w:rsid w:val="0025527E"/>
    <w:rsid w:val="00256902"/>
    <w:rsid w:val="00257AEF"/>
    <w:rsid w:val="00260B72"/>
    <w:rsid w:val="0026220A"/>
    <w:rsid w:val="0026289D"/>
    <w:rsid w:val="00263B45"/>
    <w:rsid w:val="00263B6A"/>
    <w:rsid w:val="0026442C"/>
    <w:rsid w:val="00264626"/>
    <w:rsid w:val="0026515C"/>
    <w:rsid w:val="00265316"/>
    <w:rsid w:val="00265650"/>
    <w:rsid w:val="00265701"/>
    <w:rsid w:val="00266881"/>
    <w:rsid w:val="00267256"/>
    <w:rsid w:val="00267955"/>
    <w:rsid w:val="00267BB7"/>
    <w:rsid w:val="00274B4E"/>
    <w:rsid w:val="00275FB7"/>
    <w:rsid w:val="00276389"/>
    <w:rsid w:val="0028097C"/>
    <w:rsid w:val="00285259"/>
    <w:rsid w:val="002860A2"/>
    <w:rsid w:val="00286687"/>
    <w:rsid w:val="00286B3C"/>
    <w:rsid w:val="00286CDF"/>
    <w:rsid w:val="00290FF4"/>
    <w:rsid w:val="00291C7B"/>
    <w:rsid w:val="00293280"/>
    <w:rsid w:val="002970AA"/>
    <w:rsid w:val="002A31A2"/>
    <w:rsid w:val="002A3AED"/>
    <w:rsid w:val="002A3E7A"/>
    <w:rsid w:val="002A404A"/>
    <w:rsid w:val="002A453D"/>
    <w:rsid w:val="002A471E"/>
    <w:rsid w:val="002A47E4"/>
    <w:rsid w:val="002A6278"/>
    <w:rsid w:val="002A628A"/>
    <w:rsid w:val="002B0F50"/>
    <w:rsid w:val="002B3A4F"/>
    <w:rsid w:val="002B5203"/>
    <w:rsid w:val="002B55B9"/>
    <w:rsid w:val="002B5817"/>
    <w:rsid w:val="002C0277"/>
    <w:rsid w:val="002C09B0"/>
    <w:rsid w:val="002C18A0"/>
    <w:rsid w:val="002C23AF"/>
    <w:rsid w:val="002C2C80"/>
    <w:rsid w:val="002C420D"/>
    <w:rsid w:val="002C4845"/>
    <w:rsid w:val="002C63B1"/>
    <w:rsid w:val="002C67FA"/>
    <w:rsid w:val="002D1539"/>
    <w:rsid w:val="002D5AF3"/>
    <w:rsid w:val="002D639E"/>
    <w:rsid w:val="002D6A22"/>
    <w:rsid w:val="002D6EDB"/>
    <w:rsid w:val="002E1471"/>
    <w:rsid w:val="002E2041"/>
    <w:rsid w:val="002E2652"/>
    <w:rsid w:val="002E335F"/>
    <w:rsid w:val="002E5B31"/>
    <w:rsid w:val="002E7DA8"/>
    <w:rsid w:val="002F0CD8"/>
    <w:rsid w:val="002F1399"/>
    <w:rsid w:val="002F21AF"/>
    <w:rsid w:val="002F2233"/>
    <w:rsid w:val="002F2FE1"/>
    <w:rsid w:val="002F3662"/>
    <w:rsid w:val="002F40E2"/>
    <w:rsid w:val="002F4C59"/>
    <w:rsid w:val="002F4F77"/>
    <w:rsid w:val="00300163"/>
    <w:rsid w:val="00300DE9"/>
    <w:rsid w:val="003022F3"/>
    <w:rsid w:val="00302BFF"/>
    <w:rsid w:val="00302F41"/>
    <w:rsid w:val="0030473D"/>
    <w:rsid w:val="003116B9"/>
    <w:rsid w:val="00311894"/>
    <w:rsid w:val="00311EF8"/>
    <w:rsid w:val="003139A1"/>
    <w:rsid w:val="00315724"/>
    <w:rsid w:val="00320461"/>
    <w:rsid w:val="0032070B"/>
    <w:rsid w:val="00320A51"/>
    <w:rsid w:val="00320D98"/>
    <w:rsid w:val="00321B41"/>
    <w:rsid w:val="00321C2C"/>
    <w:rsid w:val="00321F64"/>
    <w:rsid w:val="0032356D"/>
    <w:rsid w:val="00326037"/>
    <w:rsid w:val="00326299"/>
    <w:rsid w:val="00327982"/>
    <w:rsid w:val="0033034C"/>
    <w:rsid w:val="00332257"/>
    <w:rsid w:val="00332362"/>
    <w:rsid w:val="00333999"/>
    <w:rsid w:val="00337D1A"/>
    <w:rsid w:val="00337F5A"/>
    <w:rsid w:val="003428AA"/>
    <w:rsid w:val="00342F9A"/>
    <w:rsid w:val="003432BC"/>
    <w:rsid w:val="00343682"/>
    <w:rsid w:val="003446C2"/>
    <w:rsid w:val="003449C3"/>
    <w:rsid w:val="00345ABB"/>
    <w:rsid w:val="00345B99"/>
    <w:rsid w:val="00346748"/>
    <w:rsid w:val="00346A58"/>
    <w:rsid w:val="003510D9"/>
    <w:rsid w:val="00352116"/>
    <w:rsid w:val="0035223E"/>
    <w:rsid w:val="00361D77"/>
    <w:rsid w:val="003640D0"/>
    <w:rsid w:val="0036647B"/>
    <w:rsid w:val="003678E4"/>
    <w:rsid w:val="00370516"/>
    <w:rsid w:val="00371721"/>
    <w:rsid w:val="00371E6A"/>
    <w:rsid w:val="00372A37"/>
    <w:rsid w:val="00372F8C"/>
    <w:rsid w:val="00374D99"/>
    <w:rsid w:val="00375A0F"/>
    <w:rsid w:val="00376DCA"/>
    <w:rsid w:val="0037793D"/>
    <w:rsid w:val="00377FCE"/>
    <w:rsid w:val="00381B05"/>
    <w:rsid w:val="0038235A"/>
    <w:rsid w:val="00382909"/>
    <w:rsid w:val="0038553E"/>
    <w:rsid w:val="003867BB"/>
    <w:rsid w:val="00391815"/>
    <w:rsid w:val="0039312A"/>
    <w:rsid w:val="00393F41"/>
    <w:rsid w:val="003953E5"/>
    <w:rsid w:val="00395836"/>
    <w:rsid w:val="003960E9"/>
    <w:rsid w:val="00396705"/>
    <w:rsid w:val="003A0F1C"/>
    <w:rsid w:val="003A1552"/>
    <w:rsid w:val="003A22B0"/>
    <w:rsid w:val="003A310A"/>
    <w:rsid w:val="003A3532"/>
    <w:rsid w:val="003A5EF6"/>
    <w:rsid w:val="003A6610"/>
    <w:rsid w:val="003A7250"/>
    <w:rsid w:val="003A7E8B"/>
    <w:rsid w:val="003B38F0"/>
    <w:rsid w:val="003B3FBA"/>
    <w:rsid w:val="003B5C70"/>
    <w:rsid w:val="003B5DD0"/>
    <w:rsid w:val="003B5F19"/>
    <w:rsid w:val="003B6869"/>
    <w:rsid w:val="003B7127"/>
    <w:rsid w:val="003B730E"/>
    <w:rsid w:val="003C26FF"/>
    <w:rsid w:val="003C6BFF"/>
    <w:rsid w:val="003C6E26"/>
    <w:rsid w:val="003C7105"/>
    <w:rsid w:val="003D03A7"/>
    <w:rsid w:val="003D0444"/>
    <w:rsid w:val="003D6F03"/>
    <w:rsid w:val="003E0296"/>
    <w:rsid w:val="003E0D76"/>
    <w:rsid w:val="003E100D"/>
    <w:rsid w:val="003E176F"/>
    <w:rsid w:val="003E1AA7"/>
    <w:rsid w:val="003E29FC"/>
    <w:rsid w:val="003E333F"/>
    <w:rsid w:val="003E495C"/>
    <w:rsid w:val="003E4D99"/>
    <w:rsid w:val="003E5A00"/>
    <w:rsid w:val="003E5CCA"/>
    <w:rsid w:val="003E76CE"/>
    <w:rsid w:val="003E76D3"/>
    <w:rsid w:val="003E7CDA"/>
    <w:rsid w:val="003E7EB4"/>
    <w:rsid w:val="003F060F"/>
    <w:rsid w:val="003F08FA"/>
    <w:rsid w:val="003F16A0"/>
    <w:rsid w:val="003F1FFC"/>
    <w:rsid w:val="003F3F4B"/>
    <w:rsid w:val="003F5345"/>
    <w:rsid w:val="003F750B"/>
    <w:rsid w:val="0040107F"/>
    <w:rsid w:val="004015AE"/>
    <w:rsid w:val="00401A88"/>
    <w:rsid w:val="00403771"/>
    <w:rsid w:val="00405390"/>
    <w:rsid w:val="0040629F"/>
    <w:rsid w:val="00406429"/>
    <w:rsid w:val="00410BF3"/>
    <w:rsid w:val="00413015"/>
    <w:rsid w:val="00413D45"/>
    <w:rsid w:val="004155D3"/>
    <w:rsid w:val="00416D86"/>
    <w:rsid w:val="00417078"/>
    <w:rsid w:val="00417268"/>
    <w:rsid w:val="00420513"/>
    <w:rsid w:val="004206A8"/>
    <w:rsid w:val="004210C5"/>
    <w:rsid w:val="0042239E"/>
    <w:rsid w:val="004233B9"/>
    <w:rsid w:val="004241E6"/>
    <w:rsid w:val="00424B58"/>
    <w:rsid w:val="004275D4"/>
    <w:rsid w:val="00427CF4"/>
    <w:rsid w:val="0043052E"/>
    <w:rsid w:val="004314FA"/>
    <w:rsid w:val="00433851"/>
    <w:rsid w:val="004344C4"/>
    <w:rsid w:val="004346BD"/>
    <w:rsid w:val="004346F1"/>
    <w:rsid w:val="00437921"/>
    <w:rsid w:val="004403A8"/>
    <w:rsid w:val="0044476F"/>
    <w:rsid w:val="004454B3"/>
    <w:rsid w:val="00447A08"/>
    <w:rsid w:val="00450584"/>
    <w:rsid w:val="00450718"/>
    <w:rsid w:val="00450D6E"/>
    <w:rsid w:val="004531CC"/>
    <w:rsid w:val="004531ED"/>
    <w:rsid w:val="00453A8D"/>
    <w:rsid w:val="00455457"/>
    <w:rsid w:val="004574B8"/>
    <w:rsid w:val="00460D59"/>
    <w:rsid w:val="00462449"/>
    <w:rsid w:val="004625BF"/>
    <w:rsid w:val="00464248"/>
    <w:rsid w:val="00464BC5"/>
    <w:rsid w:val="00465DDD"/>
    <w:rsid w:val="00465E0A"/>
    <w:rsid w:val="0046696E"/>
    <w:rsid w:val="004700FF"/>
    <w:rsid w:val="00471338"/>
    <w:rsid w:val="0047245C"/>
    <w:rsid w:val="004743EB"/>
    <w:rsid w:val="00475C4C"/>
    <w:rsid w:val="00476506"/>
    <w:rsid w:val="00480A2C"/>
    <w:rsid w:val="00480EAE"/>
    <w:rsid w:val="004819A4"/>
    <w:rsid w:val="00481FE4"/>
    <w:rsid w:val="00482A26"/>
    <w:rsid w:val="004842B8"/>
    <w:rsid w:val="00484740"/>
    <w:rsid w:val="00484878"/>
    <w:rsid w:val="004848FA"/>
    <w:rsid w:val="00485D99"/>
    <w:rsid w:val="004862D5"/>
    <w:rsid w:val="00491D98"/>
    <w:rsid w:val="00492173"/>
    <w:rsid w:val="00493D5C"/>
    <w:rsid w:val="00494099"/>
    <w:rsid w:val="00495D33"/>
    <w:rsid w:val="004961E0"/>
    <w:rsid w:val="004971CC"/>
    <w:rsid w:val="0049740D"/>
    <w:rsid w:val="0049763A"/>
    <w:rsid w:val="004A0A91"/>
    <w:rsid w:val="004A1253"/>
    <w:rsid w:val="004A5010"/>
    <w:rsid w:val="004A62D2"/>
    <w:rsid w:val="004B2A94"/>
    <w:rsid w:val="004B3363"/>
    <w:rsid w:val="004B3953"/>
    <w:rsid w:val="004B44FC"/>
    <w:rsid w:val="004B5F23"/>
    <w:rsid w:val="004C02FD"/>
    <w:rsid w:val="004C13B8"/>
    <w:rsid w:val="004C1557"/>
    <w:rsid w:val="004C171C"/>
    <w:rsid w:val="004C21EB"/>
    <w:rsid w:val="004C293A"/>
    <w:rsid w:val="004C3107"/>
    <w:rsid w:val="004C3631"/>
    <w:rsid w:val="004C50CC"/>
    <w:rsid w:val="004C5C0F"/>
    <w:rsid w:val="004C70A4"/>
    <w:rsid w:val="004D313B"/>
    <w:rsid w:val="004D4538"/>
    <w:rsid w:val="004D4843"/>
    <w:rsid w:val="004D7B80"/>
    <w:rsid w:val="004E2935"/>
    <w:rsid w:val="004E4A59"/>
    <w:rsid w:val="004E4C10"/>
    <w:rsid w:val="004E4F3A"/>
    <w:rsid w:val="004E5406"/>
    <w:rsid w:val="004E559B"/>
    <w:rsid w:val="004E5A56"/>
    <w:rsid w:val="004E6A1A"/>
    <w:rsid w:val="004F0373"/>
    <w:rsid w:val="004F05E1"/>
    <w:rsid w:val="004F1B59"/>
    <w:rsid w:val="004F5BA9"/>
    <w:rsid w:val="004F603D"/>
    <w:rsid w:val="00501006"/>
    <w:rsid w:val="00503672"/>
    <w:rsid w:val="00503AA6"/>
    <w:rsid w:val="0050532C"/>
    <w:rsid w:val="00507D05"/>
    <w:rsid w:val="005109F9"/>
    <w:rsid w:val="00512B23"/>
    <w:rsid w:val="00512DEE"/>
    <w:rsid w:val="005141A6"/>
    <w:rsid w:val="00515762"/>
    <w:rsid w:val="00515A86"/>
    <w:rsid w:val="0052280D"/>
    <w:rsid w:val="00522C05"/>
    <w:rsid w:val="00524356"/>
    <w:rsid w:val="00525BC7"/>
    <w:rsid w:val="00530CB1"/>
    <w:rsid w:val="00531AD5"/>
    <w:rsid w:val="005331B6"/>
    <w:rsid w:val="00533BC9"/>
    <w:rsid w:val="00533D17"/>
    <w:rsid w:val="0053401D"/>
    <w:rsid w:val="00534046"/>
    <w:rsid w:val="00534FD5"/>
    <w:rsid w:val="00535184"/>
    <w:rsid w:val="00535AD3"/>
    <w:rsid w:val="0053730B"/>
    <w:rsid w:val="00537D5A"/>
    <w:rsid w:val="005406AE"/>
    <w:rsid w:val="0054282C"/>
    <w:rsid w:val="00542AC3"/>
    <w:rsid w:val="00542B3D"/>
    <w:rsid w:val="00543792"/>
    <w:rsid w:val="00545710"/>
    <w:rsid w:val="005467E0"/>
    <w:rsid w:val="00546BB8"/>
    <w:rsid w:val="0054704C"/>
    <w:rsid w:val="00547241"/>
    <w:rsid w:val="005474A6"/>
    <w:rsid w:val="00547FD7"/>
    <w:rsid w:val="00552425"/>
    <w:rsid w:val="00554B05"/>
    <w:rsid w:val="005577BB"/>
    <w:rsid w:val="00560A6C"/>
    <w:rsid w:val="005620BF"/>
    <w:rsid w:val="00562B3D"/>
    <w:rsid w:val="00563127"/>
    <w:rsid w:val="00564EE9"/>
    <w:rsid w:val="00566290"/>
    <w:rsid w:val="005731E4"/>
    <w:rsid w:val="005731FD"/>
    <w:rsid w:val="00573C10"/>
    <w:rsid w:val="00573EE8"/>
    <w:rsid w:val="00575C64"/>
    <w:rsid w:val="00575C8C"/>
    <w:rsid w:val="00575E51"/>
    <w:rsid w:val="00576746"/>
    <w:rsid w:val="005809E3"/>
    <w:rsid w:val="005838FC"/>
    <w:rsid w:val="00584B1A"/>
    <w:rsid w:val="005900CB"/>
    <w:rsid w:val="005929AE"/>
    <w:rsid w:val="00592AFD"/>
    <w:rsid w:val="005946E8"/>
    <w:rsid w:val="005967B1"/>
    <w:rsid w:val="005972DE"/>
    <w:rsid w:val="005A12E7"/>
    <w:rsid w:val="005A1717"/>
    <w:rsid w:val="005A1ABA"/>
    <w:rsid w:val="005A488D"/>
    <w:rsid w:val="005A7836"/>
    <w:rsid w:val="005A7EEB"/>
    <w:rsid w:val="005B2455"/>
    <w:rsid w:val="005B2F62"/>
    <w:rsid w:val="005B42BA"/>
    <w:rsid w:val="005B4D33"/>
    <w:rsid w:val="005B4D63"/>
    <w:rsid w:val="005B4FFE"/>
    <w:rsid w:val="005B55C8"/>
    <w:rsid w:val="005B65E5"/>
    <w:rsid w:val="005B7C93"/>
    <w:rsid w:val="005C03FB"/>
    <w:rsid w:val="005C26F9"/>
    <w:rsid w:val="005C2804"/>
    <w:rsid w:val="005C3D63"/>
    <w:rsid w:val="005C3FC1"/>
    <w:rsid w:val="005C4106"/>
    <w:rsid w:val="005C4DFF"/>
    <w:rsid w:val="005D020B"/>
    <w:rsid w:val="005D0A1B"/>
    <w:rsid w:val="005D1A2E"/>
    <w:rsid w:val="005D4468"/>
    <w:rsid w:val="005D4DD2"/>
    <w:rsid w:val="005D5E0F"/>
    <w:rsid w:val="005D7855"/>
    <w:rsid w:val="005E361A"/>
    <w:rsid w:val="005E3C1B"/>
    <w:rsid w:val="005E41B0"/>
    <w:rsid w:val="005E5DF5"/>
    <w:rsid w:val="005F2289"/>
    <w:rsid w:val="005F2AB5"/>
    <w:rsid w:val="005F58BA"/>
    <w:rsid w:val="005F6E36"/>
    <w:rsid w:val="00600495"/>
    <w:rsid w:val="006009B6"/>
    <w:rsid w:val="00601659"/>
    <w:rsid w:val="00604001"/>
    <w:rsid w:val="0060603D"/>
    <w:rsid w:val="00607900"/>
    <w:rsid w:val="0061028B"/>
    <w:rsid w:val="00612187"/>
    <w:rsid w:val="006127F6"/>
    <w:rsid w:val="0061284C"/>
    <w:rsid w:val="006128F0"/>
    <w:rsid w:val="0061392F"/>
    <w:rsid w:val="00613B9B"/>
    <w:rsid w:val="00616500"/>
    <w:rsid w:val="00620267"/>
    <w:rsid w:val="00622814"/>
    <w:rsid w:val="006237F6"/>
    <w:rsid w:val="00623951"/>
    <w:rsid w:val="00623C01"/>
    <w:rsid w:val="00623E65"/>
    <w:rsid w:val="00626048"/>
    <w:rsid w:val="0062612F"/>
    <w:rsid w:val="00626A05"/>
    <w:rsid w:val="006304E8"/>
    <w:rsid w:val="006312A7"/>
    <w:rsid w:val="00631F7F"/>
    <w:rsid w:val="00632C8D"/>
    <w:rsid w:val="00634135"/>
    <w:rsid w:val="006351B0"/>
    <w:rsid w:val="00635230"/>
    <w:rsid w:val="0063588E"/>
    <w:rsid w:val="00635A08"/>
    <w:rsid w:val="00636BCF"/>
    <w:rsid w:val="00637633"/>
    <w:rsid w:val="00637ABC"/>
    <w:rsid w:val="00637AD0"/>
    <w:rsid w:val="00640443"/>
    <w:rsid w:val="0064047A"/>
    <w:rsid w:val="00641049"/>
    <w:rsid w:val="0064110C"/>
    <w:rsid w:val="006422EE"/>
    <w:rsid w:val="00644D87"/>
    <w:rsid w:val="006460B3"/>
    <w:rsid w:val="0065082D"/>
    <w:rsid w:val="006508AE"/>
    <w:rsid w:val="0065406F"/>
    <w:rsid w:val="00654295"/>
    <w:rsid w:val="00655CDE"/>
    <w:rsid w:val="00657175"/>
    <w:rsid w:val="00661342"/>
    <w:rsid w:val="00661FCE"/>
    <w:rsid w:val="006626D7"/>
    <w:rsid w:val="006634DF"/>
    <w:rsid w:val="00663D89"/>
    <w:rsid w:val="0066529E"/>
    <w:rsid w:val="00665392"/>
    <w:rsid w:val="0066675C"/>
    <w:rsid w:val="006667E6"/>
    <w:rsid w:val="006726E7"/>
    <w:rsid w:val="006733A5"/>
    <w:rsid w:val="00674328"/>
    <w:rsid w:val="0067444E"/>
    <w:rsid w:val="006768EF"/>
    <w:rsid w:val="006819BC"/>
    <w:rsid w:val="0068344E"/>
    <w:rsid w:val="00684265"/>
    <w:rsid w:val="00685B49"/>
    <w:rsid w:val="00690F8B"/>
    <w:rsid w:val="0069111F"/>
    <w:rsid w:val="00692DFD"/>
    <w:rsid w:val="006959BB"/>
    <w:rsid w:val="006A11E5"/>
    <w:rsid w:val="006A1D56"/>
    <w:rsid w:val="006A397B"/>
    <w:rsid w:val="006A3E40"/>
    <w:rsid w:val="006A3E45"/>
    <w:rsid w:val="006A3EAC"/>
    <w:rsid w:val="006A5333"/>
    <w:rsid w:val="006A69AF"/>
    <w:rsid w:val="006A7383"/>
    <w:rsid w:val="006A7A03"/>
    <w:rsid w:val="006A7DED"/>
    <w:rsid w:val="006B5957"/>
    <w:rsid w:val="006B5FC9"/>
    <w:rsid w:val="006B7A48"/>
    <w:rsid w:val="006C072E"/>
    <w:rsid w:val="006C4403"/>
    <w:rsid w:val="006C5804"/>
    <w:rsid w:val="006C58A6"/>
    <w:rsid w:val="006C5921"/>
    <w:rsid w:val="006C5F6E"/>
    <w:rsid w:val="006C635F"/>
    <w:rsid w:val="006C6B3B"/>
    <w:rsid w:val="006C6C97"/>
    <w:rsid w:val="006D26C7"/>
    <w:rsid w:val="006D374D"/>
    <w:rsid w:val="006D37F6"/>
    <w:rsid w:val="006D5DC2"/>
    <w:rsid w:val="006D642D"/>
    <w:rsid w:val="006D689F"/>
    <w:rsid w:val="006E065D"/>
    <w:rsid w:val="006E14CA"/>
    <w:rsid w:val="006E2107"/>
    <w:rsid w:val="006E2470"/>
    <w:rsid w:val="006E7F9F"/>
    <w:rsid w:val="006F0A9B"/>
    <w:rsid w:val="006F21E3"/>
    <w:rsid w:val="006F2CD8"/>
    <w:rsid w:val="006F3073"/>
    <w:rsid w:val="007017E5"/>
    <w:rsid w:val="0070292C"/>
    <w:rsid w:val="0070341D"/>
    <w:rsid w:val="007036A8"/>
    <w:rsid w:val="007058B0"/>
    <w:rsid w:val="0071039A"/>
    <w:rsid w:val="00710513"/>
    <w:rsid w:val="00711C28"/>
    <w:rsid w:val="007121DC"/>
    <w:rsid w:val="0071364C"/>
    <w:rsid w:val="007151CF"/>
    <w:rsid w:val="00716A4E"/>
    <w:rsid w:val="00717671"/>
    <w:rsid w:val="00721E45"/>
    <w:rsid w:val="007221DF"/>
    <w:rsid w:val="00722853"/>
    <w:rsid w:val="00725813"/>
    <w:rsid w:val="007264DE"/>
    <w:rsid w:val="00726502"/>
    <w:rsid w:val="0072659E"/>
    <w:rsid w:val="00727184"/>
    <w:rsid w:val="00727F8B"/>
    <w:rsid w:val="007306D4"/>
    <w:rsid w:val="0073156A"/>
    <w:rsid w:val="00732731"/>
    <w:rsid w:val="00736DFE"/>
    <w:rsid w:val="00737CC7"/>
    <w:rsid w:val="0074044D"/>
    <w:rsid w:val="00740635"/>
    <w:rsid w:val="00741874"/>
    <w:rsid w:val="0074265D"/>
    <w:rsid w:val="007433FD"/>
    <w:rsid w:val="00743873"/>
    <w:rsid w:val="00744094"/>
    <w:rsid w:val="00745FF7"/>
    <w:rsid w:val="00746F03"/>
    <w:rsid w:val="0075631E"/>
    <w:rsid w:val="00757B90"/>
    <w:rsid w:val="00757F4D"/>
    <w:rsid w:val="00760DDE"/>
    <w:rsid w:val="00762538"/>
    <w:rsid w:val="00762BDE"/>
    <w:rsid w:val="00763698"/>
    <w:rsid w:val="00763F6C"/>
    <w:rsid w:val="0076406B"/>
    <w:rsid w:val="007662C7"/>
    <w:rsid w:val="00767B0D"/>
    <w:rsid w:val="00770DF6"/>
    <w:rsid w:val="00771AAA"/>
    <w:rsid w:val="00772E81"/>
    <w:rsid w:val="00773E5C"/>
    <w:rsid w:val="00774788"/>
    <w:rsid w:val="007758B9"/>
    <w:rsid w:val="00776355"/>
    <w:rsid w:val="00776972"/>
    <w:rsid w:val="00776BA2"/>
    <w:rsid w:val="00776FAC"/>
    <w:rsid w:val="007772C2"/>
    <w:rsid w:val="00777317"/>
    <w:rsid w:val="00777CA3"/>
    <w:rsid w:val="007800A4"/>
    <w:rsid w:val="00780EC4"/>
    <w:rsid w:val="0078288E"/>
    <w:rsid w:val="00783C01"/>
    <w:rsid w:val="00785C9F"/>
    <w:rsid w:val="0078693F"/>
    <w:rsid w:val="00786A2D"/>
    <w:rsid w:val="0079020E"/>
    <w:rsid w:val="00790B44"/>
    <w:rsid w:val="00791BCF"/>
    <w:rsid w:val="00792D5C"/>
    <w:rsid w:val="007957EC"/>
    <w:rsid w:val="007972DD"/>
    <w:rsid w:val="00797472"/>
    <w:rsid w:val="0079764E"/>
    <w:rsid w:val="00797E16"/>
    <w:rsid w:val="007A05B3"/>
    <w:rsid w:val="007A060B"/>
    <w:rsid w:val="007A14AC"/>
    <w:rsid w:val="007A1A82"/>
    <w:rsid w:val="007A2107"/>
    <w:rsid w:val="007A2161"/>
    <w:rsid w:val="007A27C5"/>
    <w:rsid w:val="007A4CB2"/>
    <w:rsid w:val="007A4FAD"/>
    <w:rsid w:val="007A7EF4"/>
    <w:rsid w:val="007B0758"/>
    <w:rsid w:val="007B2EC5"/>
    <w:rsid w:val="007B3F19"/>
    <w:rsid w:val="007B4BE1"/>
    <w:rsid w:val="007B7C29"/>
    <w:rsid w:val="007C4375"/>
    <w:rsid w:val="007C60AF"/>
    <w:rsid w:val="007C6DF3"/>
    <w:rsid w:val="007D0870"/>
    <w:rsid w:val="007D0C2D"/>
    <w:rsid w:val="007D1413"/>
    <w:rsid w:val="007D1AD2"/>
    <w:rsid w:val="007D292A"/>
    <w:rsid w:val="007D4A10"/>
    <w:rsid w:val="007D6862"/>
    <w:rsid w:val="007D76B0"/>
    <w:rsid w:val="007E0487"/>
    <w:rsid w:val="007E1799"/>
    <w:rsid w:val="007E1B3F"/>
    <w:rsid w:val="007E2568"/>
    <w:rsid w:val="007E2B58"/>
    <w:rsid w:val="007E38A5"/>
    <w:rsid w:val="007E4756"/>
    <w:rsid w:val="007E4B62"/>
    <w:rsid w:val="007E6481"/>
    <w:rsid w:val="007E6701"/>
    <w:rsid w:val="007E7C77"/>
    <w:rsid w:val="007F0108"/>
    <w:rsid w:val="007F1BC2"/>
    <w:rsid w:val="007F2118"/>
    <w:rsid w:val="007F2FC6"/>
    <w:rsid w:val="007F3356"/>
    <w:rsid w:val="007F3449"/>
    <w:rsid w:val="007F3B17"/>
    <w:rsid w:val="007F40D2"/>
    <w:rsid w:val="007F6547"/>
    <w:rsid w:val="008016AF"/>
    <w:rsid w:val="008016B7"/>
    <w:rsid w:val="0080261B"/>
    <w:rsid w:val="008026E2"/>
    <w:rsid w:val="008046AC"/>
    <w:rsid w:val="00804B4A"/>
    <w:rsid w:val="008070A4"/>
    <w:rsid w:val="0080721A"/>
    <w:rsid w:val="0081004F"/>
    <w:rsid w:val="00811602"/>
    <w:rsid w:val="0081164D"/>
    <w:rsid w:val="008159FA"/>
    <w:rsid w:val="008161A0"/>
    <w:rsid w:val="00820537"/>
    <w:rsid w:val="00821862"/>
    <w:rsid w:val="00821E18"/>
    <w:rsid w:val="00822B68"/>
    <w:rsid w:val="0082351B"/>
    <w:rsid w:val="008252FB"/>
    <w:rsid w:val="00827289"/>
    <w:rsid w:val="00827946"/>
    <w:rsid w:val="008309F9"/>
    <w:rsid w:val="00830A8B"/>
    <w:rsid w:val="00831394"/>
    <w:rsid w:val="00831B63"/>
    <w:rsid w:val="00832744"/>
    <w:rsid w:val="0083351D"/>
    <w:rsid w:val="00833D9E"/>
    <w:rsid w:val="00834A7A"/>
    <w:rsid w:val="00834F8D"/>
    <w:rsid w:val="008368B3"/>
    <w:rsid w:val="00837BFE"/>
    <w:rsid w:val="00841C14"/>
    <w:rsid w:val="00843239"/>
    <w:rsid w:val="00847C78"/>
    <w:rsid w:val="00853E1F"/>
    <w:rsid w:val="00856317"/>
    <w:rsid w:val="0085667E"/>
    <w:rsid w:val="00861C4C"/>
    <w:rsid w:val="00863596"/>
    <w:rsid w:val="008636B9"/>
    <w:rsid w:val="00865889"/>
    <w:rsid w:val="00865AC9"/>
    <w:rsid w:val="00866C7B"/>
    <w:rsid w:val="00867AC7"/>
    <w:rsid w:val="00870D7F"/>
    <w:rsid w:val="008716E2"/>
    <w:rsid w:val="00871ED9"/>
    <w:rsid w:val="00875204"/>
    <w:rsid w:val="00875F5C"/>
    <w:rsid w:val="00876E2C"/>
    <w:rsid w:val="0088231D"/>
    <w:rsid w:val="00882EBB"/>
    <w:rsid w:val="008837EA"/>
    <w:rsid w:val="00885CE1"/>
    <w:rsid w:val="00885F25"/>
    <w:rsid w:val="00886150"/>
    <w:rsid w:val="00887C82"/>
    <w:rsid w:val="00891713"/>
    <w:rsid w:val="008933A0"/>
    <w:rsid w:val="008947CE"/>
    <w:rsid w:val="0089566D"/>
    <w:rsid w:val="00896921"/>
    <w:rsid w:val="00896AF2"/>
    <w:rsid w:val="008A178E"/>
    <w:rsid w:val="008A1D09"/>
    <w:rsid w:val="008A21F5"/>
    <w:rsid w:val="008A302F"/>
    <w:rsid w:val="008A3958"/>
    <w:rsid w:val="008A4AC6"/>
    <w:rsid w:val="008A6715"/>
    <w:rsid w:val="008B011B"/>
    <w:rsid w:val="008B1495"/>
    <w:rsid w:val="008B3192"/>
    <w:rsid w:val="008B4885"/>
    <w:rsid w:val="008B4A99"/>
    <w:rsid w:val="008B57A0"/>
    <w:rsid w:val="008B6658"/>
    <w:rsid w:val="008B6A04"/>
    <w:rsid w:val="008C0676"/>
    <w:rsid w:val="008C1A78"/>
    <w:rsid w:val="008C1D7A"/>
    <w:rsid w:val="008C1ECB"/>
    <w:rsid w:val="008C3C43"/>
    <w:rsid w:val="008C3D7E"/>
    <w:rsid w:val="008C6017"/>
    <w:rsid w:val="008C7538"/>
    <w:rsid w:val="008C79A2"/>
    <w:rsid w:val="008D2C2B"/>
    <w:rsid w:val="008D3014"/>
    <w:rsid w:val="008D3B70"/>
    <w:rsid w:val="008E0764"/>
    <w:rsid w:val="008E1079"/>
    <w:rsid w:val="008E3709"/>
    <w:rsid w:val="008E3F68"/>
    <w:rsid w:val="008E74BF"/>
    <w:rsid w:val="008E7E95"/>
    <w:rsid w:val="008F2B13"/>
    <w:rsid w:val="008F3A75"/>
    <w:rsid w:val="008F3FEA"/>
    <w:rsid w:val="008F5928"/>
    <w:rsid w:val="008F6815"/>
    <w:rsid w:val="008F6998"/>
    <w:rsid w:val="008F6C79"/>
    <w:rsid w:val="00901E08"/>
    <w:rsid w:val="00901F26"/>
    <w:rsid w:val="0090274E"/>
    <w:rsid w:val="0090360E"/>
    <w:rsid w:val="00903733"/>
    <w:rsid w:val="00912233"/>
    <w:rsid w:val="00913AE0"/>
    <w:rsid w:val="00913F77"/>
    <w:rsid w:val="00914C74"/>
    <w:rsid w:val="009155BA"/>
    <w:rsid w:val="00917939"/>
    <w:rsid w:val="00921A8F"/>
    <w:rsid w:val="009243B6"/>
    <w:rsid w:val="0092486F"/>
    <w:rsid w:val="00924900"/>
    <w:rsid w:val="0092552C"/>
    <w:rsid w:val="009256C9"/>
    <w:rsid w:val="00925B68"/>
    <w:rsid w:val="00925F98"/>
    <w:rsid w:val="00927484"/>
    <w:rsid w:val="00927EA8"/>
    <w:rsid w:val="00927FFA"/>
    <w:rsid w:val="00933E08"/>
    <w:rsid w:val="00933FD7"/>
    <w:rsid w:val="00934359"/>
    <w:rsid w:val="00934E42"/>
    <w:rsid w:val="00935EC2"/>
    <w:rsid w:val="00936525"/>
    <w:rsid w:val="0093654C"/>
    <w:rsid w:val="009409A3"/>
    <w:rsid w:val="00940F9C"/>
    <w:rsid w:val="00942850"/>
    <w:rsid w:val="00942880"/>
    <w:rsid w:val="0094697B"/>
    <w:rsid w:val="00950837"/>
    <w:rsid w:val="009515A5"/>
    <w:rsid w:val="00952EA1"/>
    <w:rsid w:val="00953A3F"/>
    <w:rsid w:val="00954894"/>
    <w:rsid w:val="00954EBE"/>
    <w:rsid w:val="00955F77"/>
    <w:rsid w:val="00956139"/>
    <w:rsid w:val="009564DA"/>
    <w:rsid w:val="00956C0A"/>
    <w:rsid w:val="00956EEB"/>
    <w:rsid w:val="00960367"/>
    <w:rsid w:val="009609D8"/>
    <w:rsid w:val="00961179"/>
    <w:rsid w:val="00961AFE"/>
    <w:rsid w:val="00962530"/>
    <w:rsid w:val="00963442"/>
    <w:rsid w:val="009642A3"/>
    <w:rsid w:val="00964B9C"/>
    <w:rsid w:val="00964EB0"/>
    <w:rsid w:val="00965AA3"/>
    <w:rsid w:val="00966565"/>
    <w:rsid w:val="00967217"/>
    <w:rsid w:val="00970078"/>
    <w:rsid w:val="00970D87"/>
    <w:rsid w:val="00971F31"/>
    <w:rsid w:val="0097200A"/>
    <w:rsid w:val="0097237A"/>
    <w:rsid w:val="009725A8"/>
    <w:rsid w:val="00973494"/>
    <w:rsid w:val="009740DB"/>
    <w:rsid w:val="0097443D"/>
    <w:rsid w:val="00974B3A"/>
    <w:rsid w:val="00975244"/>
    <w:rsid w:val="00975905"/>
    <w:rsid w:val="00975EAC"/>
    <w:rsid w:val="009767EA"/>
    <w:rsid w:val="0097752D"/>
    <w:rsid w:val="00980D89"/>
    <w:rsid w:val="009842CD"/>
    <w:rsid w:val="009864C3"/>
    <w:rsid w:val="00987F27"/>
    <w:rsid w:val="00990E4D"/>
    <w:rsid w:val="00991D22"/>
    <w:rsid w:val="00991D45"/>
    <w:rsid w:val="00991DB3"/>
    <w:rsid w:val="00995A28"/>
    <w:rsid w:val="00995AA9"/>
    <w:rsid w:val="00995E40"/>
    <w:rsid w:val="0099607E"/>
    <w:rsid w:val="00996875"/>
    <w:rsid w:val="00997840"/>
    <w:rsid w:val="009A0561"/>
    <w:rsid w:val="009A08D8"/>
    <w:rsid w:val="009A25E5"/>
    <w:rsid w:val="009A4364"/>
    <w:rsid w:val="009A4C60"/>
    <w:rsid w:val="009A5312"/>
    <w:rsid w:val="009A5A7F"/>
    <w:rsid w:val="009A5B9F"/>
    <w:rsid w:val="009A5D09"/>
    <w:rsid w:val="009A6010"/>
    <w:rsid w:val="009A6EDF"/>
    <w:rsid w:val="009A7932"/>
    <w:rsid w:val="009B181C"/>
    <w:rsid w:val="009B1B35"/>
    <w:rsid w:val="009B21E7"/>
    <w:rsid w:val="009B2860"/>
    <w:rsid w:val="009B28A9"/>
    <w:rsid w:val="009B2AD6"/>
    <w:rsid w:val="009B2F9A"/>
    <w:rsid w:val="009B32A7"/>
    <w:rsid w:val="009B32C9"/>
    <w:rsid w:val="009B4BFC"/>
    <w:rsid w:val="009B4EA2"/>
    <w:rsid w:val="009B5ACF"/>
    <w:rsid w:val="009B7AC6"/>
    <w:rsid w:val="009C1F4C"/>
    <w:rsid w:val="009C2DFF"/>
    <w:rsid w:val="009C37B2"/>
    <w:rsid w:val="009C41DE"/>
    <w:rsid w:val="009C4F6D"/>
    <w:rsid w:val="009C507F"/>
    <w:rsid w:val="009C7C11"/>
    <w:rsid w:val="009D1283"/>
    <w:rsid w:val="009D1F7C"/>
    <w:rsid w:val="009D413E"/>
    <w:rsid w:val="009D424D"/>
    <w:rsid w:val="009D4767"/>
    <w:rsid w:val="009D4C22"/>
    <w:rsid w:val="009D6768"/>
    <w:rsid w:val="009D6D20"/>
    <w:rsid w:val="009D7225"/>
    <w:rsid w:val="009E2F7E"/>
    <w:rsid w:val="009E403D"/>
    <w:rsid w:val="009E445B"/>
    <w:rsid w:val="009E5720"/>
    <w:rsid w:val="009E61C3"/>
    <w:rsid w:val="009F112E"/>
    <w:rsid w:val="009F1B0F"/>
    <w:rsid w:val="009F2927"/>
    <w:rsid w:val="009F5D94"/>
    <w:rsid w:val="009F7FF4"/>
    <w:rsid w:val="00A00A74"/>
    <w:rsid w:val="00A01521"/>
    <w:rsid w:val="00A01599"/>
    <w:rsid w:val="00A01A6D"/>
    <w:rsid w:val="00A02CCB"/>
    <w:rsid w:val="00A03259"/>
    <w:rsid w:val="00A034B1"/>
    <w:rsid w:val="00A03C3F"/>
    <w:rsid w:val="00A04799"/>
    <w:rsid w:val="00A0480E"/>
    <w:rsid w:val="00A04915"/>
    <w:rsid w:val="00A105F2"/>
    <w:rsid w:val="00A10C1A"/>
    <w:rsid w:val="00A1114D"/>
    <w:rsid w:val="00A11F6D"/>
    <w:rsid w:val="00A150EF"/>
    <w:rsid w:val="00A1782C"/>
    <w:rsid w:val="00A17836"/>
    <w:rsid w:val="00A20032"/>
    <w:rsid w:val="00A2191F"/>
    <w:rsid w:val="00A21B57"/>
    <w:rsid w:val="00A21FE4"/>
    <w:rsid w:val="00A230DD"/>
    <w:rsid w:val="00A23D31"/>
    <w:rsid w:val="00A247DF"/>
    <w:rsid w:val="00A25769"/>
    <w:rsid w:val="00A25816"/>
    <w:rsid w:val="00A2775D"/>
    <w:rsid w:val="00A30C06"/>
    <w:rsid w:val="00A320AD"/>
    <w:rsid w:val="00A33796"/>
    <w:rsid w:val="00A347CB"/>
    <w:rsid w:val="00A35480"/>
    <w:rsid w:val="00A36D70"/>
    <w:rsid w:val="00A40913"/>
    <w:rsid w:val="00A4135E"/>
    <w:rsid w:val="00A42049"/>
    <w:rsid w:val="00A43E7E"/>
    <w:rsid w:val="00A44358"/>
    <w:rsid w:val="00A44BED"/>
    <w:rsid w:val="00A46542"/>
    <w:rsid w:val="00A466E5"/>
    <w:rsid w:val="00A46E7B"/>
    <w:rsid w:val="00A47085"/>
    <w:rsid w:val="00A51E47"/>
    <w:rsid w:val="00A5342D"/>
    <w:rsid w:val="00A539FB"/>
    <w:rsid w:val="00A53A5F"/>
    <w:rsid w:val="00A54C71"/>
    <w:rsid w:val="00A550D0"/>
    <w:rsid w:val="00A5522A"/>
    <w:rsid w:val="00A56433"/>
    <w:rsid w:val="00A57039"/>
    <w:rsid w:val="00A60089"/>
    <w:rsid w:val="00A60969"/>
    <w:rsid w:val="00A636B6"/>
    <w:rsid w:val="00A64A7B"/>
    <w:rsid w:val="00A64CE4"/>
    <w:rsid w:val="00A6636B"/>
    <w:rsid w:val="00A66C49"/>
    <w:rsid w:val="00A66DBC"/>
    <w:rsid w:val="00A67CD1"/>
    <w:rsid w:val="00A71633"/>
    <w:rsid w:val="00A72EB1"/>
    <w:rsid w:val="00A73A30"/>
    <w:rsid w:val="00A73DC4"/>
    <w:rsid w:val="00A7546B"/>
    <w:rsid w:val="00A7557D"/>
    <w:rsid w:val="00A75F62"/>
    <w:rsid w:val="00A773B7"/>
    <w:rsid w:val="00A81888"/>
    <w:rsid w:val="00A81C4D"/>
    <w:rsid w:val="00A81E2E"/>
    <w:rsid w:val="00A86871"/>
    <w:rsid w:val="00A86A51"/>
    <w:rsid w:val="00A908E3"/>
    <w:rsid w:val="00A96B75"/>
    <w:rsid w:val="00AA24E1"/>
    <w:rsid w:val="00AA2C2E"/>
    <w:rsid w:val="00AA4FC8"/>
    <w:rsid w:val="00AA50B2"/>
    <w:rsid w:val="00AA60F4"/>
    <w:rsid w:val="00AA716E"/>
    <w:rsid w:val="00AA78F5"/>
    <w:rsid w:val="00AA7CFE"/>
    <w:rsid w:val="00AB06A3"/>
    <w:rsid w:val="00AB39E4"/>
    <w:rsid w:val="00AB76BA"/>
    <w:rsid w:val="00AC096C"/>
    <w:rsid w:val="00AC0AEE"/>
    <w:rsid w:val="00AC1D09"/>
    <w:rsid w:val="00AC3723"/>
    <w:rsid w:val="00AC6C2C"/>
    <w:rsid w:val="00AD0398"/>
    <w:rsid w:val="00AD03FD"/>
    <w:rsid w:val="00AD4D3E"/>
    <w:rsid w:val="00AD5F0B"/>
    <w:rsid w:val="00AD6768"/>
    <w:rsid w:val="00AD6C4E"/>
    <w:rsid w:val="00AE2C0D"/>
    <w:rsid w:val="00AE6896"/>
    <w:rsid w:val="00AE74C3"/>
    <w:rsid w:val="00AE7D78"/>
    <w:rsid w:val="00AF03E5"/>
    <w:rsid w:val="00AF0C4F"/>
    <w:rsid w:val="00AF1638"/>
    <w:rsid w:val="00AF1DF1"/>
    <w:rsid w:val="00AF3797"/>
    <w:rsid w:val="00AF3E98"/>
    <w:rsid w:val="00AF4C19"/>
    <w:rsid w:val="00AF7A33"/>
    <w:rsid w:val="00B0357D"/>
    <w:rsid w:val="00B03E74"/>
    <w:rsid w:val="00B043C3"/>
    <w:rsid w:val="00B045BA"/>
    <w:rsid w:val="00B04831"/>
    <w:rsid w:val="00B0593D"/>
    <w:rsid w:val="00B0679F"/>
    <w:rsid w:val="00B102F2"/>
    <w:rsid w:val="00B129DA"/>
    <w:rsid w:val="00B12D93"/>
    <w:rsid w:val="00B12E58"/>
    <w:rsid w:val="00B13466"/>
    <w:rsid w:val="00B14099"/>
    <w:rsid w:val="00B14FFE"/>
    <w:rsid w:val="00B154DF"/>
    <w:rsid w:val="00B1670B"/>
    <w:rsid w:val="00B16A0D"/>
    <w:rsid w:val="00B223DC"/>
    <w:rsid w:val="00B223E0"/>
    <w:rsid w:val="00B23D8D"/>
    <w:rsid w:val="00B23E46"/>
    <w:rsid w:val="00B24FF4"/>
    <w:rsid w:val="00B25BBD"/>
    <w:rsid w:val="00B31C55"/>
    <w:rsid w:val="00B34CA6"/>
    <w:rsid w:val="00B35830"/>
    <w:rsid w:val="00B40725"/>
    <w:rsid w:val="00B408E5"/>
    <w:rsid w:val="00B4128E"/>
    <w:rsid w:val="00B412CE"/>
    <w:rsid w:val="00B424CB"/>
    <w:rsid w:val="00B443A0"/>
    <w:rsid w:val="00B443AB"/>
    <w:rsid w:val="00B44487"/>
    <w:rsid w:val="00B44F0A"/>
    <w:rsid w:val="00B45AF3"/>
    <w:rsid w:val="00B50B25"/>
    <w:rsid w:val="00B50D9D"/>
    <w:rsid w:val="00B53BA2"/>
    <w:rsid w:val="00B53DF5"/>
    <w:rsid w:val="00B53F5E"/>
    <w:rsid w:val="00B552D0"/>
    <w:rsid w:val="00B56778"/>
    <w:rsid w:val="00B57930"/>
    <w:rsid w:val="00B60AB1"/>
    <w:rsid w:val="00B60B48"/>
    <w:rsid w:val="00B6153E"/>
    <w:rsid w:val="00B62F68"/>
    <w:rsid w:val="00B6335C"/>
    <w:rsid w:val="00B6397A"/>
    <w:rsid w:val="00B66CC3"/>
    <w:rsid w:val="00B70190"/>
    <w:rsid w:val="00B701D1"/>
    <w:rsid w:val="00B70DE9"/>
    <w:rsid w:val="00B70F3B"/>
    <w:rsid w:val="00B712C6"/>
    <w:rsid w:val="00B719AF"/>
    <w:rsid w:val="00B71C36"/>
    <w:rsid w:val="00B7228B"/>
    <w:rsid w:val="00B7261B"/>
    <w:rsid w:val="00B72F75"/>
    <w:rsid w:val="00B7527C"/>
    <w:rsid w:val="00B804FF"/>
    <w:rsid w:val="00B813D9"/>
    <w:rsid w:val="00B8191B"/>
    <w:rsid w:val="00B829A5"/>
    <w:rsid w:val="00B82C7C"/>
    <w:rsid w:val="00B833D0"/>
    <w:rsid w:val="00B85F56"/>
    <w:rsid w:val="00B874DB"/>
    <w:rsid w:val="00B87783"/>
    <w:rsid w:val="00B910B3"/>
    <w:rsid w:val="00B918A7"/>
    <w:rsid w:val="00B93E5F"/>
    <w:rsid w:val="00B94A62"/>
    <w:rsid w:val="00B94E73"/>
    <w:rsid w:val="00B96260"/>
    <w:rsid w:val="00B96AD0"/>
    <w:rsid w:val="00B9702B"/>
    <w:rsid w:val="00B9778B"/>
    <w:rsid w:val="00BA12CE"/>
    <w:rsid w:val="00BA23E8"/>
    <w:rsid w:val="00BA49B3"/>
    <w:rsid w:val="00BA6FB6"/>
    <w:rsid w:val="00BA7734"/>
    <w:rsid w:val="00BA77F9"/>
    <w:rsid w:val="00BA7812"/>
    <w:rsid w:val="00BB240B"/>
    <w:rsid w:val="00BB463E"/>
    <w:rsid w:val="00BB5A70"/>
    <w:rsid w:val="00BB6A0A"/>
    <w:rsid w:val="00BC28CC"/>
    <w:rsid w:val="00BC402A"/>
    <w:rsid w:val="00BC43B5"/>
    <w:rsid w:val="00BC5D32"/>
    <w:rsid w:val="00BD17AA"/>
    <w:rsid w:val="00BD23D6"/>
    <w:rsid w:val="00BD4D01"/>
    <w:rsid w:val="00BD52B7"/>
    <w:rsid w:val="00BD630D"/>
    <w:rsid w:val="00BD72DA"/>
    <w:rsid w:val="00BD72FB"/>
    <w:rsid w:val="00BE0398"/>
    <w:rsid w:val="00BE1FB1"/>
    <w:rsid w:val="00BE28CD"/>
    <w:rsid w:val="00BE3861"/>
    <w:rsid w:val="00BE3BDF"/>
    <w:rsid w:val="00BF09DD"/>
    <w:rsid w:val="00BF0C64"/>
    <w:rsid w:val="00BF3B92"/>
    <w:rsid w:val="00BF3F12"/>
    <w:rsid w:val="00BF54C1"/>
    <w:rsid w:val="00BF7F30"/>
    <w:rsid w:val="00C0016E"/>
    <w:rsid w:val="00C00754"/>
    <w:rsid w:val="00C030A3"/>
    <w:rsid w:val="00C047DF"/>
    <w:rsid w:val="00C04A31"/>
    <w:rsid w:val="00C05235"/>
    <w:rsid w:val="00C0544A"/>
    <w:rsid w:val="00C06173"/>
    <w:rsid w:val="00C06445"/>
    <w:rsid w:val="00C074E8"/>
    <w:rsid w:val="00C10C68"/>
    <w:rsid w:val="00C13067"/>
    <w:rsid w:val="00C13516"/>
    <w:rsid w:val="00C146FE"/>
    <w:rsid w:val="00C153FE"/>
    <w:rsid w:val="00C161EE"/>
    <w:rsid w:val="00C1625D"/>
    <w:rsid w:val="00C1643D"/>
    <w:rsid w:val="00C16C0F"/>
    <w:rsid w:val="00C20FB2"/>
    <w:rsid w:val="00C21D41"/>
    <w:rsid w:val="00C21DA7"/>
    <w:rsid w:val="00C22167"/>
    <w:rsid w:val="00C25317"/>
    <w:rsid w:val="00C2638E"/>
    <w:rsid w:val="00C26653"/>
    <w:rsid w:val="00C27CE0"/>
    <w:rsid w:val="00C27EA4"/>
    <w:rsid w:val="00C30FBF"/>
    <w:rsid w:val="00C3293D"/>
    <w:rsid w:val="00C35AE8"/>
    <w:rsid w:val="00C37AD3"/>
    <w:rsid w:val="00C4035A"/>
    <w:rsid w:val="00C4137B"/>
    <w:rsid w:val="00C442F6"/>
    <w:rsid w:val="00C45DBA"/>
    <w:rsid w:val="00C50C6D"/>
    <w:rsid w:val="00C52465"/>
    <w:rsid w:val="00C52560"/>
    <w:rsid w:val="00C52CF6"/>
    <w:rsid w:val="00C53B2B"/>
    <w:rsid w:val="00C558F8"/>
    <w:rsid w:val="00C56B9A"/>
    <w:rsid w:val="00C57294"/>
    <w:rsid w:val="00C63296"/>
    <w:rsid w:val="00C644AD"/>
    <w:rsid w:val="00C64C66"/>
    <w:rsid w:val="00C65F85"/>
    <w:rsid w:val="00C662C8"/>
    <w:rsid w:val="00C67C28"/>
    <w:rsid w:val="00C71B21"/>
    <w:rsid w:val="00C748E9"/>
    <w:rsid w:val="00C7689C"/>
    <w:rsid w:val="00C77249"/>
    <w:rsid w:val="00C816FF"/>
    <w:rsid w:val="00C865EC"/>
    <w:rsid w:val="00C87976"/>
    <w:rsid w:val="00C9015A"/>
    <w:rsid w:val="00C91187"/>
    <w:rsid w:val="00C93516"/>
    <w:rsid w:val="00C95A3C"/>
    <w:rsid w:val="00C95CB8"/>
    <w:rsid w:val="00CA0F46"/>
    <w:rsid w:val="00CA1AB7"/>
    <w:rsid w:val="00CA2642"/>
    <w:rsid w:val="00CA273C"/>
    <w:rsid w:val="00CA29DA"/>
    <w:rsid w:val="00CA4950"/>
    <w:rsid w:val="00CA6F7B"/>
    <w:rsid w:val="00CB09CE"/>
    <w:rsid w:val="00CB3BCF"/>
    <w:rsid w:val="00CB3CD1"/>
    <w:rsid w:val="00CB453A"/>
    <w:rsid w:val="00CC2922"/>
    <w:rsid w:val="00CC5E87"/>
    <w:rsid w:val="00CD1271"/>
    <w:rsid w:val="00CD1607"/>
    <w:rsid w:val="00CD18C6"/>
    <w:rsid w:val="00CD1D71"/>
    <w:rsid w:val="00CD1DA3"/>
    <w:rsid w:val="00CD5E73"/>
    <w:rsid w:val="00CD6A0C"/>
    <w:rsid w:val="00CE03FA"/>
    <w:rsid w:val="00CE1685"/>
    <w:rsid w:val="00CE1980"/>
    <w:rsid w:val="00CE230E"/>
    <w:rsid w:val="00CE2A3E"/>
    <w:rsid w:val="00CE2C3A"/>
    <w:rsid w:val="00CE33BE"/>
    <w:rsid w:val="00CE771B"/>
    <w:rsid w:val="00CF1A58"/>
    <w:rsid w:val="00CF3A62"/>
    <w:rsid w:val="00CF3B07"/>
    <w:rsid w:val="00CF52DC"/>
    <w:rsid w:val="00CF5A93"/>
    <w:rsid w:val="00CF5ABF"/>
    <w:rsid w:val="00CF6D8C"/>
    <w:rsid w:val="00CF7DD0"/>
    <w:rsid w:val="00D00D2E"/>
    <w:rsid w:val="00D02B00"/>
    <w:rsid w:val="00D02CC3"/>
    <w:rsid w:val="00D02E3F"/>
    <w:rsid w:val="00D02EB9"/>
    <w:rsid w:val="00D03ACB"/>
    <w:rsid w:val="00D06135"/>
    <w:rsid w:val="00D1009D"/>
    <w:rsid w:val="00D10E19"/>
    <w:rsid w:val="00D11673"/>
    <w:rsid w:val="00D120DD"/>
    <w:rsid w:val="00D130EA"/>
    <w:rsid w:val="00D1430A"/>
    <w:rsid w:val="00D165F5"/>
    <w:rsid w:val="00D16704"/>
    <w:rsid w:val="00D169D1"/>
    <w:rsid w:val="00D16D61"/>
    <w:rsid w:val="00D21C0A"/>
    <w:rsid w:val="00D21F01"/>
    <w:rsid w:val="00D2245A"/>
    <w:rsid w:val="00D241FC"/>
    <w:rsid w:val="00D26918"/>
    <w:rsid w:val="00D274B1"/>
    <w:rsid w:val="00D30AAF"/>
    <w:rsid w:val="00D33298"/>
    <w:rsid w:val="00D34697"/>
    <w:rsid w:val="00D34FEA"/>
    <w:rsid w:val="00D35635"/>
    <w:rsid w:val="00D366E5"/>
    <w:rsid w:val="00D36887"/>
    <w:rsid w:val="00D36A57"/>
    <w:rsid w:val="00D42550"/>
    <w:rsid w:val="00D42D38"/>
    <w:rsid w:val="00D434B8"/>
    <w:rsid w:val="00D4463F"/>
    <w:rsid w:val="00D46BFC"/>
    <w:rsid w:val="00D500E0"/>
    <w:rsid w:val="00D507DE"/>
    <w:rsid w:val="00D50814"/>
    <w:rsid w:val="00D51A79"/>
    <w:rsid w:val="00D51E5D"/>
    <w:rsid w:val="00D520FE"/>
    <w:rsid w:val="00D52B12"/>
    <w:rsid w:val="00D53792"/>
    <w:rsid w:val="00D60A86"/>
    <w:rsid w:val="00D6291B"/>
    <w:rsid w:val="00D63F50"/>
    <w:rsid w:val="00D64B6F"/>
    <w:rsid w:val="00D64BF2"/>
    <w:rsid w:val="00D65866"/>
    <w:rsid w:val="00D700E1"/>
    <w:rsid w:val="00D718EF"/>
    <w:rsid w:val="00D7336B"/>
    <w:rsid w:val="00D74950"/>
    <w:rsid w:val="00D76D45"/>
    <w:rsid w:val="00D76F74"/>
    <w:rsid w:val="00D801A0"/>
    <w:rsid w:val="00D80553"/>
    <w:rsid w:val="00D8081D"/>
    <w:rsid w:val="00D81245"/>
    <w:rsid w:val="00D813C0"/>
    <w:rsid w:val="00D82347"/>
    <w:rsid w:val="00D840AD"/>
    <w:rsid w:val="00D84E0E"/>
    <w:rsid w:val="00D86B4C"/>
    <w:rsid w:val="00D905BC"/>
    <w:rsid w:val="00D90E82"/>
    <w:rsid w:val="00D90F9A"/>
    <w:rsid w:val="00D9276C"/>
    <w:rsid w:val="00D92C24"/>
    <w:rsid w:val="00D92F19"/>
    <w:rsid w:val="00D96190"/>
    <w:rsid w:val="00D96BE3"/>
    <w:rsid w:val="00DA295A"/>
    <w:rsid w:val="00DA36C9"/>
    <w:rsid w:val="00DA4464"/>
    <w:rsid w:val="00DA4DE5"/>
    <w:rsid w:val="00DA5E2E"/>
    <w:rsid w:val="00DA77C7"/>
    <w:rsid w:val="00DB0BE8"/>
    <w:rsid w:val="00DB250F"/>
    <w:rsid w:val="00DB3C71"/>
    <w:rsid w:val="00DB518E"/>
    <w:rsid w:val="00DB62E9"/>
    <w:rsid w:val="00DB6BD7"/>
    <w:rsid w:val="00DB7919"/>
    <w:rsid w:val="00DB792E"/>
    <w:rsid w:val="00DC0592"/>
    <w:rsid w:val="00DC0DE5"/>
    <w:rsid w:val="00DC445E"/>
    <w:rsid w:val="00DC4B5E"/>
    <w:rsid w:val="00DC4D5E"/>
    <w:rsid w:val="00DC51EE"/>
    <w:rsid w:val="00DC587A"/>
    <w:rsid w:val="00DC683C"/>
    <w:rsid w:val="00DC75E7"/>
    <w:rsid w:val="00DD25B6"/>
    <w:rsid w:val="00DD2C53"/>
    <w:rsid w:val="00DD4DF4"/>
    <w:rsid w:val="00DD59B8"/>
    <w:rsid w:val="00DD5B48"/>
    <w:rsid w:val="00DD6F9C"/>
    <w:rsid w:val="00DD7AA5"/>
    <w:rsid w:val="00DD7F98"/>
    <w:rsid w:val="00DE0259"/>
    <w:rsid w:val="00DE1D1F"/>
    <w:rsid w:val="00DE1D20"/>
    <w:rsid w:val="00DE58F5"/>
    <w:rsid w:val="00DE7D0E"/>
    <w:rsid w:val="00DE7D1C"/>
    <w:rsid w:val="00DF0338"/>
    <w:rsid w:val="00DF0B78"/>
    <w:rsid w:val="00DF28E2"/>
    <w:rsid w:val="00DF2BCE"/>
    <w:rsid w:val="00DF2C98"/>
    <w:rsid w:val="00DF3B83"/>
    <w:rsid w:val="00DF71E2"/>
    <w:rsid w:val="00DF7AB2"/>
    <w:rsid w:val="00E02295"/>
    <w:rsid w:val="00E03074"/>
    <w:rsid w:val="00E03C6A"/>
    <w:rsid w:val="00E04A0F"/>
    <w:rsid w:val="00E072A4"/>
    <w:rsid w:val="00E10251"/>
    <w:rsid w:val="00E1044F"/>
    <w:rsid w:val="00E1093E"/>
    <w:rsid w:val="00E13987"/>
    <w:rsid w:val="00E17B8F"/>
    <w:rsid w:val="00E20AEB"/>
    <w:rsid w:val="00E20EF8"/>
    <w:rsid w:val="00E21F20"/>
    <w:rsid w:val="00E22709"/>
    <w:rsid w:val="00E228D9"/>
    <w:rsid w:val="00E23403"/>
    <w:rsid w:val="00E2386C"/>
    <w:rsid w:val="00E23CAD"/>
    <w:rsid w:val="00E255E0"/>
    <w:rsid w:val="00E30D5B"/>
    <w:rsid w:val="00E31F6B"/>
    <w:rsid w:val="00E328FF"/>
    <w:rsid w:val="00E3391C"/>
    <w:rsid w:val="00E37454"/>
    <w:rsid w:val="00E438F2"/>
    <w:rsid w:val="00E43938"/>
    <w:rsid w:val="00E447FE"/>
    <w:rsid w:val="00E45E78"/>
    <w:rsid w:val="00E47D1D"/>
    <w:rsid w:val="00E506E5"/>
    <w:rsid w:val="00E50FB0"/>
    <w:rsid w:val="00E51C7E"/>
    <w:rsid w:val="00E52EC5"/>
    <w:rsid w:val="00E53C97"/>
    <w:rsid w:val="00E540F0"/>
    <w:rsid w:val="00E55A70"/>
    <w:rsid w:val="00E56F0B"/>
    <w:rsid w:val="00E57A0C"/>
    <w:rsid w:val="00E6081A"/>
    <w:rsid w:val="00E6121A"/>
    <w:rsid w:val="00E61A05"/>
    <w:rsid w:val="00E62181"/>
    <w:rsid w:val="00E62E0A"/>
    <w:rsid w:val="00E6341C"/>
    <w:rsid w:val="00E645EA"/>
    <w:rsid w:val="00E64D67"/>
    <w:rsid w:val="00E67D40"/>
    <w:rsid w:val="00E71AAC"/>
    <w:rsid w:val="00E724C3"/>
    <w:rsid w:val="00E74E70"/>
    <w:rsid w:val="00E75BAB"/>
    <w:rsid w:val="00E77F42"/>
    <w:rsid w:val="00E8163D"/>
    <w:rsid w:val="00E819F0"/>
    <w:rsid w:val="00E836B0"/>
    <w:rsid w:val="00E843BB"/>
    <w:rsid w:val="00E877B0"/>
    <w:rsid w:val="00E90C5B"/>
    <w:rsid w:val="00E91E8C"/>
    <w:rsid w:val="00E93164"/>
    <w:rsid w:val="00E93366"/>
    <w:rsid w:val="00E93B5A"/>
    <w:rsid w:val="00E94377"/>
    <w:rsid w:val="00E948F8"/>
    <w:rsid w:val="00E94AEB"/>
    <w:rsid w:val="00E95F7F"/>
    <w:rsid w:val="00E961C8"/>
    <w:rsid w:val="00E963EB"/>
    <w:rsid w:val="00EA0A7C"/>
    <w:rsid w:val="00EA1D0F"/>
    <w:rsid w:val="00EA56F3"/>
    <w:rsid w:val="00EA5AF6"/>
    <w:rsid w:val="00EA5C64"/>
    <w:rsid w:val="00EA5C90"/>
    <w:rsid w:val="00EA7A38"/>
    <w:rsid w:val="00EB0278"/>
    <w:rsid w:val="00EB0BC5"/>
    <w:rsid w:val="00EB0FAC"/>
    <w:rsid w:val="00EB1109"/>
    <w:rsid w:val="00EB2043"/>
    <w:rsid w:val="00EB2668"/>
    <w:rsid w:val="00EB2A80"/>
    <w:rsid w:val="00EB2CF8"/>
    <w:rsid w:val="00EB3519"/>
    <w:rsid w:val="00EB3A6A"/>
    <w:rsid w:val="00EB40BD"/>
    <w:rsid w:val="00EB5A50"/>
    <w:rsid w:val="00EB645B"/>
    <w:rsid w:val="00EB6704"/>
    <w:rsid w:val="00EC2008"/>
    <w:rsid w:val="00EC2A3C"/>
    <w:rsid w:val="00EC2E0D"/>
    <w:rsid w:val="00EC2F2C"/>
    <w:rsid w:val="00EC453A"/>
    <w:rsid w:val="00EC5668"/>
    <w:rsid w:val="00EC6EA5"/>
    <w:rsid w:val="00ED0788"/>
    <w:rsid w:val="00ED1256"/>
    <w:rsid w:val="00ED3BD4"/>
    <w:rsid w:val="00ED3EC8"/>
    <w:rsid w:val="00ED6092"/>
    <w:rsid w:val="00ED6C05"/>
    <w:rsid w:val="00ED7A24"/>
    <w:rsid w:val="00EE0370"/>
    <w:rsid w:val="00EE0390"/>
    <w:rsid w:val="00EE1843"/>
    <w:rsid w:val="00EE223B"/>
    <w:rsid w:val="00EE4B4F"/>
    <w:rsid w:val="00EE634E"/>
    <w:rsid w:val="00EE6A64"/>
    <w:rsid w:val="00EE6ED7"/>
    <w:rsid w:val="00EE77B4"/>
    <w:rsid w:val="00EE7B59"/>
    <w:rsid w:val="00EF06D1"/>
    <w:rsid w:val="00EF0CB1"/>
    <w:rsid w:val="00EF3301"/>
    <w:rsid w:val="00EF6488"/>
    <w:rsid w:val="00EF6DBC"/>
    <w:rsid w:val="00EF72B0"/>
    <w:rsid w:val="00EF774F"/>
    <w:rsid w:val="00F020AF"/>
    <w:rsid w:val="00F020D9"/>
    <w:rsid w:val="00F0279C"/>
    <w:rsid w:val="00F0735E"/>
    <w:rsid w:val="00F07D62"/>
    <w:rsid w:val="00F11FAF"/>
    <w:rsid w:val="00F12CBB"/>
    <w:rsid w:val="00F13980"/>
    <w:rsid w:val="00F13C59"/>
    <w:rsid w:val="00F154C1"/>
    <w:rsid w:val="00F15F04"/>
    <w:rsid w:val="00F1710D"/>
    <w:rsid w:val="00F17984"/>
    <w:rsid w:val="00F17B74"/>
    <w:rsid w:val="00F2113B"/>
    <w:rsid w:val="00F237E9"/>
    <w:rsid w:val="00F268EC"/>
    <w:rsid w:val="00F271B3"/>
    <w:rsid w:val="00F27463"/>
    <w:rsid w:val="00F274D0"/>
    <w:rsid w:val="00F32184"/>
    <w:rsid w:val="00F3335B"/>
    <w:rsid w:val="00F3435D"/>
    <w:rsid w:val="00F34D16"/>
    <w:rsid w:val="00F35316"/>
    <w:rsid w:val="00F353A2"/>
    <w:rsid w:val="00F3559E"/>
    <w:rsid w:val="00F35897"/>
    <w:rsid w:val="00F36F41"/>
    <w:rsid w:val="00F413EF"/>
    <w:rsid w:val="00F4249D"/>
    <w:rsid w:val="00F42748"/>
    <w:rsid w:val="00F42ACD"/>
    <w:rsid w:val="00F42BD0"/>
    <w:rsid w:val="00F442E4"/>
    <w:rsid w:val="00F4540A"/>
    <w:rsid w:val="00F465C3"/>
    <w:rsid w:val="00F517F3"/>
    <w:rsid w:val="00F52947"/>
    <w:rsid w:val="00F54D35"/>
    <w:rsid w:val="00F55A01"/>
    <w:rsid w:val="00F56F10"/>
    <w:rsid w:val="00F578CA"/>
    <w:rsid w:val="00F57956"/>
    <w:rsid w:val="00F60369"/>
    <w:rsid w:val="00F6277C"/>
    <w:rsid w:val="00F62E15"/>
    <w:rsid w:val="00F64A9A"/>
    <w:rsid w:val="00F674F8"/>
    <w:rsid w:val="00F7193B"/>
    <w:rsid w:val="00F722E4"/>
    <w:rsid w:val="00F72D30"/>
    <w:rsid w:val="00F7309B"/>
    <w:rsid w:val="00F73BD8"/>
    <w:rsid w:val="00F749D3"/>
    <w:rsid w:val="00F758A0"/>
    <w:rsid w:val="00F75989"/>
    <w:rsid w:val="00F76057"/>
    <w:rsid w:val="00F768EB"/>
    <w:rsid w:val="00F777CF"/>
    <w:rsid w:val="00F80511"/>
    <w:rsid w:val="00F80BC1"/>
    <w:rsid w:val="00F80D07"/>
    <w:rsid w:val="00F8196C"/>
    <w:rsid w:val="00F81FC4"/>
    <w:rsid w:val="00F8267A"/>
    <w:rsid w:val="00F84169"/>
    <w:rsid w:val="00F85CB0"/>
    <w:rsid w:val="00F868F5"/>
    <w:rsid w:val="00F8727F"/>
    <w:rsid w:val="00F87387"/>
    <w:rsid w:val="00F87D33"/>
    <w:rsid w:val="00F90123"/>
    <w:rsid w:val="00F91229"/>
    <w:rsid w:val="00F914DE"/>
    <w:rsid w:val="00F934E0"/>
    <w:rsid w:val="00F93CCF"/>
    <w:rsid w:val="00F963B5"/>
    <w:rsid w:val="00F97137"/>
    <w:rsid w:val="00F97E20"/>
    <w:rsid w:val="00FA1F76"/>
    <w:rsid w:val="00FA4F83"/>
    <w:rsid w:val="00FA6A0E"/>
    <w:rsid w:val="00FA75A5"/>
    <w:rsid w:val="00FB3D38"/>
    <w:rsid w:val="00FB473A"/>
    <w:rsid w:val="00FB50BC"/>
    <w:rsid w:val="00FB540D"/>
    <w:rsid w:val="00FB73CF"/>
    <w:rsid w:val="00FB76A8"/>
    <w:rsid w:val="00FC0165"/>
    <w:rsid w:val="00FC091B"/>
    <w:rsid w:val="00FC09D7"/>
    <w:rsid w:val="00FC0A93"/>
    <w:rsid w:val="00FC15B3"/>
    <w:rsid w:val="00FC1749"/>
    <w:rsid w:val="00FC24E2"/>
    <w:rsid w:val="00FC291D"/>
    <w:rsid w:val="00FC6FCB"/>
    <w:rsid w:val="00FD0FCE"/>
    <w:rsid w:val="00FD1424"/>
    <w:rsid w:val="00FD14CD"/>
    <w:rsid w:val="00FD1AFE"/>
    <w:rsid w:val="00FD1B7A"/>
    <w:rsid w:val="00FD237E"/>
    <w:rsid w:val="00FD30C7"/>
    <w:rsid w:val="00FD591B"/>
    <w:rsid w:val="00FD64C4"/>
    <w:rsid w:val="00FE4AC0"/>
    <w:rsid w:val="00FE6DF4"/>
    <w:rsid w:val="00FF0F9F"/>
    <w:rsid w:val="00FF2346"/>
    <w:rsid w:val="00FF24C6"/>
    <w:rsid w:val="00FF40FB"/>
    <w:rsid w:val="00FF42E6"/>
    <w:rsid w:val="00FF46B4"/>
    <w:rsid w:val="00FF69A4"/>
    <w:rsid w:val="00FF7C3D"/>
    <w:rsid w:val="230ADCD9"/>
    <w:rsid w:val="2408F422"/>
    <w:rsid w:val="41C73DBA"/>
    <w:rsid w:val="561AC0B5"/>
    <w:rsid w:val="60F8B850"/>
    <w:rsid w:val="7D766F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00BB0"/>
  <w15:chartTrackingRefBased/>
  <w15:docId w15:val="{530BFABF-536D-461E-A4D0-5C4C9AB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Noto Sans"/>
        <w:kern w:val="2"/>
        <w:sz w:val="22"/>
        <w:szCs w:val="22"/>
        <w:lang w:val="es-E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93"/>
    <w:rPr>
      <w:rFonts w:ascii="Arial" w:hAnsi="Arial" w:cs="Noto Sans Display"/>
    </w:rPr>
  </w:style>
  <w:style w:type="paragraph" w:styleId="Heading1">
    <w:name w:val="heading 1"/>
    <w:basedOn w:val="Normal"/>
    <w:next w:val="Normal"/>
    <w:link w:val="Heading1Char"/>
    <w:uiPriority w:val="9"/>
    <w:qFormat/>
    <w:rsid w:val="004314FA"/>
    <w:pPr>
      <w:autoSpaceDE w:val="0"/>
      <w:autoSpaceDN w:val="0"/>
      <w:adjustRightInd w:val="0"/>
      <w:spacing w:before="0" w:after="340"/>
      <w:ind w:left="1843" w:right="1843"/>
      <w:jc w:val="center"/>
      <w:outlineLvl w:val="0"/>
    </w:pPr>
    <w:rPr>
      <w:rFonts w:eastAsia="SimSun" w:cs="Arial"/>
      <w:caps/>
      <w:color w:val="000000"/>
      <w:kern w:val="0"/>
      <w:sz w:val="17"/>
      <w:szCs w:val="17"/>
      <w:lang w:eastAsia="zh-CN"/>
      <w14:ligatures w14:val="none"/>
    </w:rPr>
  </w:style>
  <w:style w:type="paragraph" w:styleId="Heading2">
    <w:name w:val="heading 2"/>
    <w:basedOn w:val="Normal"/>
    <w:next w:val="Normal"/>
    <w:link w:val="Heading2Char"/>
    <w:uiPriority w:val="9"/>
    <w:unhideWhenUsed/>
    <w:qFormat/>
    <w:rsid w:val="004314FA"/>
    <w:pPr>
      <w:widowControl w:val="0"/>
      <w:kinsoku w:val="0"/>
      <w:spacing w:before="240" w:after="170" w:line="211" w:lineRule="auto"/>
      <w:outlineLvl w:val="1"/>
    </w:pPr>
    <w:rPr>
      <w:rFonts w:eastAsia="SimSun" w:cs="Arial"/>
      <w:caps/>
      <w:kern w:val="0"/>
      <w:sz w:val="17"/>
      <w:szCs w:val="17"/>
      <w:lang w:eastAsia="zh-CN"/>
      <w14:ligatures w14:val="none"/>
    </w:rPr>
  </w:style>
  <w:style w:type="paragraph" w:styleId="Heading3">
    <w:name w:val="heading 3"/>
    <w:basedOn w:val="Normal"/>
    <w:next w:val="Normal"/>
    <w:link w:val="Heading3Char"/>
    <w:uiPriority w:val="9"/>
    <w:unhideWhenUsed/>
    <w:qFormat/>
    <w:rsid w:val="005F2AB5"/>
    <w:pPr>
      <w:keepNext/>
      <w:widowControl w:val="0"/>
      <w:kinsoku w:val="0"/>
      <w:spacing w:before="0" w:after="170"/>
      <w:outlineLvl w:val="2"/>
    </w:pPr>
    <w:rPr>
      <w:rFonts w:eastAsia="SimSun" w:cs="Arial"/>
      <w:bCs/>
      <w:kern w:val="0"/>
      <w:sz w:val="17"/>
      <w:szCs w:val="17"/>
      <w:u w:val="single"/>
      <w14:ligatures w14:val="none"/>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64C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CE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CE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FA"/>
    <w:rPr>
      <w:rFonts w:ascii="Arial" w:eastAsia="SimSun" w:hAnsi="Arial" w:cs="Arial"/>
      <w:caps/>
      <w:color w:val="000000"/>
      <w:kern w:val="0"/>
      <w:sz w:val="17"/>
      <w:szCs w:val="17"/>
      <w:lang w:eastAsia="zh-CN"/>
      <w14:ligatures w14:val="none"/>
    </w:rPr>
  </w:style>
  <w:style w:type="character" w:customStyle="1" w:styleId="Heading2Char">
    <w:name w:val="Heading 2 Char"/>
    <w:basedOn w:val="DefaultParagraphFont"/>
    <w:link w:val="Heading2"/>
    <w:uiPriority w:val="9"/>
    <w:rsid w:val="004314FA"/>
    <w:rPr>
      <w:rFonts w:ascii="Arial" w:eastAsia="SimSun" w:hAnsi="Arial" w:cs="Arial"/>
      <w:caps/>
      <w:kern w:val="0"/>
      <w:sz w:val="17"/>
      <w:szCs w:val="17"/>
      <w:lang w:eastAsia="zh-CN"/>
      <w14:ligatures w14:val="none"/>
    </w:rPr>
  </w:style>
  <w:style w:type="character" w:customStyle="1" w:styleId="Heading3Char">
    <w:name w:val="Heading 3 Char"/>
    <w:basedOn w:val="DefaultParagraphFont"/>
    <w:link w:val="Heading3"/>
    <w:uiPriority w:val="9"/>
    <w:rsid w:val="005F2AB5"/>
    <w:rPr>
      <w:rFonts w:ascii="Arial" w:eastAsia="SimSun" w:hAnsi="Arial" w:cs="Arial"/>
      <w:bCs/>
      <w:kern w:val="0"/>
      <w:sz w:val="17"/>
      <w:szCs w:val="17"/>
      <w:u w:val="single"/>
      <w14:ligatures w14:val="none"/>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rPr>
  </w:style>
  <w:style w:type="character" w:customStyle="1" w:styleId="Heading7Char">
    <w:name w:val="Heading 7 Char"/>
    <w:basedOn w:val="DefaultParagraphFont"/>
    <w:link w:val="Heading7"/>
    <w:uiPriority w:val="9"/>
    <w:semiHidden/>
    <w:rsid w:val="00A64C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C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CE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64C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64CE4"/>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64CE4"/>
    <w:pPr>
      <w:ind w:left="720"/>
      <w:contextualSpacing/>
    </w:pPr>
  </w:style>
  <w:style w:type="character" w:styleId="IntenseEmphasis">
    <w:name w:val="Intense Emphasis"/>
    <w:basedOn w:val="DefaultParagraphFont"/>
    <w:uiPriority w:val="21"/>
    <w:qFormat/>
    <w:rsid w:val="00A64CE4"/>
    <w:rPr>
      <w:i/>
      <w:iCs/>
      <w:color w:val="0F4761" w:themeColor="accent1" w:themeShade="BF"/>
    </w:rPr>
  </w:style>
  <w:style w:type="paragraph" w:styleId="IntenseQuote">
    <w:name w:val="Intense Quote"/>
    <w:basedOn w:val="Normal"/>
    <w:next w:val="Normal"/>
    <w:link w:val="IntenseQuoteChar"/>
    <w:uiPriority w:val="30"/>
    <w:qFormat/>
    <w:rsid w:val="00A6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CE4"/>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64CE4"/>
    <w:rPr>
      <w:b/>
      <w:bCs/>
      <w:smallCaps/>
      <w:color w:val="0F4761" w:themeColor="accent1" w:themeShade="BF"/>
      <w:spacing w:val="5"/>
    </w:rPr>
  </w:style>
  <w:style w:type="paragraph" w:styleId="Revision">
    <w:name w:val="Revision"/>
    <w:hidden/>
    <w:uiPriority w:val="99"/>
    <w:semiHidden/>
    <w:rsid w:val="00AC0AEE"/>
    <w:pPr>
      <w:spacing w:before="0" w:after="0"/>
    </w:pPr>
    <w:rPr>
      <w:rFonts w:ascii="Arial" w:hAnsi="Arial" w:cs="Noto Sans Display"/>
    </w:rPr>
  </w:style>
  <w:style w:type="character" w:styleId="CommentReference">
    <w:name w:val="annotation reference"/>
    <w:basedOn w:val="DefaultParagraphFont"/>
    <w:uiPriority w:val="99"/>
    <w:unhideWhenUsed/>
    <w:rsid w:val="00C27CE0"/>
    <w:rPr>
      <w:sz w:val="16"/>
      <w:szCs w:val="16"/>
    </w:rPr>
  </w:style>
  <w:style w:type="paragraph" w:styleId="CommentText">
    <w:name w:val="annotation text"/>
    <w:basedOn w:val="Normal"/>
    <w:link w:val="CommentTextChar"/>
    <w:uiPriority w:val="99"/>
    <w:unhideWhenUsed/>
    <w:rsid w:val="00C27CE0"/>
    <w:rPr>
      <w:sz w:val="20"/>
      <w:szCs w:val="20"/>
    </w:rPr>
  </w:style>
  <w:style w:type="character" w:customStyle="1" w:styleId="CommentTextChar">
    <w:name w:val="Comment Text Char"/>
    <w:basedOn w:val="DefaultParagraphFont"/>
    <w:link w:val="CommentText"/>
    <w:uiPriority w:val="99"/>
    <w:rsid w:val="00C27CE0"/>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C27CE0"/>
    <w:rPr>
      <w:b/>
      <w:bCs/>
    </w:rPr>
  </w:style>
  <w:style w:type="character" w:customStyle="1" w:styleId="CommentSubjectChar">
    <w:name w:val="Comment Subject Char"/>
    <w:basedOn w:val="CommentTextChar"/>
    <w:link w:val="CommentSubject"/>
    <w:uiPriority w:val="99"/>
    <w:semiHidden/>
    <w:rsid w:val="00C27CE0"/>
    <w:rPr>
      <w:rFonts w:ascii="Arial" w:hAnsi="Arial" w:cs="Noto Sans Display"/>
      <w:b/>
      <w:bCs/>
      <w:sz w:val="20"/>
      <w:szCs w:val="20"/>
    </w:rPr>
  </w:style>
  <w:style w:type="paragraph" w:styleId="TOCHeading">
    <w:name w:val="TOC Heading"/>
    <w:basedOn w:val="Heading1"/>
    <w:next w:val="Normal"/>
    <w:uiPriority w:val="39"/>
    <w:unhideWhenUsed/>
    <w:qFormat/>
    <w:rsid w:val="00535AD3"/>
    <w:pPr>
      <w:spacing w:before="240" w:after="0" w:line="259" w:lineRule="auto"/>
      <w:outlineLvl w:val="9"/>
    </w:pPr>
    <w:rPr>
      <w:rFonts w:asciiTheme="majorHAnsi" w:hAnsiTheme="majorHAnsi" w:cstheme="majorBidi"/>
      <w:color w:val="0F4761" w:themeColor="accent1" w:themeShade="BF"/>
      <w:sz w:val="32"/>
      <w:szCs w:val="32"/>
    </w:rPr>
  </w:style>
  <w:style w:type="paragraph" w:styleId="TOC1">
    <w:name w:val="toc 1"/>
    <w:basedOn w:val="Normal"/>
    <w:next w:val="Normal"/>
    <w:autoRedefine/>
    <w:uiPriority w:val="39"/>
    <w:unhideWhenUsed/>
    <w:rsid w:val="00535AD3"/>
    <w:pPr>
      <w:spacing w:after="100"/>
    </w:pPr>
  </w:style>
  <w:style w:type="character" w:styleId="Hyperlink">
    <w:name w:val="Hyperlink"/>
    <w:basedOn w:val="DefaultParagraphFont"/>
    <w:uiPriority w:val="99"/>
    <w:unhideWhenUsed/>
    <w:rsid w:val="00535AD3"/>
    <w:rPr>
      <w:color w:val="467886" w:themeColor="hyperlink"/>
      <w:u w:val="single"/>
    </w:rPr>
  </w:style>
  <w:style w:type="character" w:styleId="FootnoteReference">
    <w:name w:val="footnote reference"/>
    <w:basedOn w:val="DefaultParagraphFont"/>
    <w:uiPriority w:val="99"/>
    <w:unhideWhenUsed/>
    <w:rsid w:val="00535AD3"/>
    <w:rPr>
      <w:vertAlign w:val="superscript"/>
    </w:rPr>
  </w:style>
  <w:style w:type="table" w:styleId="TableGrid">
    <w:name w:val="Table Grid"/>
    <w:basedOn w:val="TableNormal"/>
    <w:rsid w:val="00F76057"/>
    <w:pPr>
      <w:suppressAutoHyphens/>
      <w:spacing w:before="0" w:after="0"/>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6C05"/>
    <w:rPr>
      <w:color w:val="605E5C"/>
      <w:shd w:val="clear" w:color="auto" w:fill="E1DFDD"/>
    </w:rPr>
  </w:style>
  <w:style w:type="character" w:styleId="FollowedHyperlink">
    <w:name w:val="FollowedHyperlink"/>
    <w:basedOn w:val="DefaultParagraphFont"/>
    <w:uiPriority w:val="99"/>
    <w:semiHidden/>
    <w:unhideWhenUsed/>
    <w:rsid w:val="004C1557"/>
    <w:rPr>
      <w:color w:val="96607D" w:themeColor="followedHyperlink"/>
      <w:u w:val="single"/>
    </w:rPr>
  </w:style>
  <w:style w:type="paragraph" w:styleId="TOC2">
    <w:name w:val="toc 2"/>
    <w:basedOn w:val="Normal"/>
    <w:next w:val="Normal"/>
    <w:autoRedefine/>
    <w:uiPriority w:val="39"/>
    <w:unhideWhenUsed/>
    <w:rsid w:val="00E1093E"/>
    <w:pPr>
      <w:spacing w:after="100"/>
      <w:ind w:left="220"/>
    </w:pPr>
  </w:style>
  <w:style w:type="paragraph" w:styleId="TOC3">
    <w:name w:val="toc 3"/>
    <w:basedOn w:val="Normal"/>
    <w:next w:val="Normal"/>
    <w:autoRedefine/>
    <w:uiPriority w:val="39"/>
    <w:unhideWhenUsed/>
    <w:rsid w:val="00E1093E"/>
    <w:pPr>
      <w:spacing w:after="100"/>
      <w:ind w:left="440"/>
    </w:pPr>
  </w:style>
  <w:style w:type="paragraph" w:customStyle="1" w:styleId="EPODocNormal">
    <w:name w:val="EPODocNormal"/>
    <w:basedOn w:val="Normal"/>
    <w:uiPriority w:val="99"/>
    <w:rsid w:val="00D96BE3"/>
    <w:pPr>
      <w:suppressAutoHyphens/>
      <w:spacing w:before="0" w:after="0"/>
      <w:ind w:left="1134"/>
    </w:pPr>
    <w:rPr>
      <w:rFonts w:eastAsia="MS Mincho"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0755">
      <w:bodyDiv w:val="1"/>
      <w:marLeft w:val="0"/>
      <w:marRight w:val="0"/>
      <w:marTop w:val="0"/>
      <w:marBottom w:val="0"/>
      <w:divBdr>
        <w:top w:val="none" w:sz="0" w:space="0" w:color="auto"/>
        <w:left w:val="none" w:sz="0" w:space="0" w:color="auto"/>
        <w:bottom w:val="none" w:sz="0" w:space="0" w:color="auto"/>
        <w:right w:val="none" w:sz="0" w:space="0" w:color="auto"/>
      </w:divBdr>
      <w:divsChild>
        <w:div w:id="120343635">
          <w:marLeft w:val="0"/>
          <w:marRight w:val="0"/>
          <w:marTop w:val="0"/>
          <w:marBottom w:val="0"/>
          <w:divBdr>
            <w:top w:val="none" w:sz="0" w:space="0" w:color="auto"/>
            <w:left w:val="none" w:sz="0" w:space="0" w:color="auto"/>
            <w:bottom w:val="none" w:sz="0" w:space="0" w:color="auto"/>
            <w:right w:val="none" w:sz="0" w:space="0" w:color="auto"/>
          </w:divBdr>
        </w:div>
        <w:div w:id="719784338">
          <w:marLeft w:val="0"/>
          <w:marRight w:val="0"/>
          <w:marTop w:val="0"/>
          <w:marBottom w:val="0"/>
          <w:divBdr>
            <w:top w:val="none" w:sz="0" w:space="0" w:color="auto"/>
            <w:left w:val="none" w:sz="0" w:space="0" w:color="auto"/>
            <w:bottom w:val="none" w:sz="0" w:space="0" w:color="auto"/>
            <w:right w:val="none" w:sz="0" w:space="0" w:color="auto"/>
          </w:divBdr>
        </w:div>
      </w:divsChild>
    </w:div>
    <w:div w:id="733354280">
      <w:bodyDiv w:val="1"/>
      <w:marLeft w:val="0"/>
      <w:marRight w:val="0"/>
      <w:marTop w:val="0"/>
      <w:marBottom w:val="0"/>
      <w:divBdr>
        <w:top w:val="none" w:sz="0" w:space="0" w:color="auto"/>
        <w:left w:val="none" w:sz="0" w:space="0" w:color="auto"/>
        <w:bottom w:val="none" w:sz="0" w:space="0" w:color="auto"/>
        <w:right w:val="none" w:sz="0" w:space="0" w:color="auto"/>
      </w:divBdr>
    </w:div>
    <w:div w:id="1543440918">
      <w:bodyDiv w:val="1"/>
      <w:marLeft w:val="0"/>
      <w:marRight w:val="0"/>
      <w:marTop w:val="0"/>
      <w:marBottom w:val="0"/>
      <w:divBdr>
        <w:top w:val="none" w:sz="0" w:space="0" w:color="auto"/>
        <w:left w:val="none" w:sz="0" w:space="0" w:color="auto"/>
        <w:bottom w:val="none" w:sz="0" w:space="0" w:color="auto"/>
        <w:right w:val="none" w:sz="0" w:space="0" w:color="auto"/>
      </w:divBdr>
    </w:div>
    <w:div w:id="1594824082">
      <w:bodyDiv w:val="1"/>
      <w:marLeft w:val="0"/>
      <w:marRight w:val="0"/>
      <w:marTop w:val="0"/>
      <w:marBottom w:val="0"/>
      <w:divBdr>
        <w:top w:val="none" w:sz="0" w:space="0" w:color="auto"/>
        <w:left w:val="none" w:sz="0" w:space="0" w:color="auto"/>
        <w:bottom w:val="none" w:sz="0" w:space="0" w:color="auto"/>
        <w:right w:val="none" w:sz="0" w:space="0" w:color="auto"/>
      </w:divBdr>
      <w:divsChild>
        <w:div w:id="923340407">
          <w:marLeft w:val="0"/>
          <w:marRight w:val="0"/>
          <w:marTop w:val="0"/>
          <w:marBottom w:val="0"/>
          <w:divBdr>
            <w:top w:val="none" w:sz="0" w:space="0" w:color="auto"/>
            <w:left w:val="none" w:sz="0" w:space="0" w:color="auto"/>
            <w:bottom w:val="none" w:sz="0" w:space="0" w:color="auto"/>
            <w:right w:val="none" w:sz="0" w:space="0" w:color="auto"/>
          </w:divBdr>
        </w:div>
        <w:div w:id="178862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s-03-03-01.pdf" TargetMode="External"/><Relationship Id="rId18" Type="http://schemas.openxmlformats.org/officeDocument/2006/relationships/hyperlink" Target="https://www.wipo.int/documents/d/standards/docs-es-03-36-01.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po.int/documents/d/standards/docs-es-03-66-01.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s-03-27-01.pdf" TargetMode="External"/><Relationship Id="rId25" Type="http://schemas.openxmlformats.org/officeDocument/2006/relationships/hyperlink" Target="https://www.wipo.int/documents/d/standards/docs-es-03-96-01.pdf" TargetMode="External"/><Relationship Id="rId2" Type="http://schemas.openxmlformats.org/officeDocument/2006/relationships/customXml" Target="../customXml/item2.xml"/><Relationship Id="rId16" Type="http://schemas.openxmlformats.org/officeDocument/2006/relationships/hyperlink" Target="https://www.wipo.int/export/sites/www/standards/es/pdf/03-26-01.pdf" TargetMode="External"/><Relationship Id="rId20" Type="http://schemas.openxmlformats.org/officeDocument/2006/relationships/hyperlink" Target="https://www.wipo.int/documents/d/standards/docs-es-03-61-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documents/d/standards/docs-es-03-87-01.pdf" TargetMode="External"/><Relationship Id="rId5" Type="http://schemas.openxmlformats.org/officeDocument/2006/relationships/customXml" Target="../customXml/item5.xml"/><Relationship Id="rId15" Type="http://schemas.openxmlformats.org/officeDocument/2006/relationships/hyperlink" Target="https://www.wipo.int/documents/d/standards/docs-es-03-16-01.pdf" TargetMode="External"/><Relationship Id="rId23" Type="http://schemas.openxmlformats.org/officeDocument/2006/relationships/hyperlink" Target="https://www.wipo.int/documents/d/standards/docs-es-03-86-01.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wipo.int/documents/d/standards/docs-es-03-60-01.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s-03-09-01.pdf" TargetMode="External"/><Relationship Id="rId22" Type="http://schemas.openxmlformats.org/officeDocument/2006/relationships/hyperlink" Target="https://www.wipo.int/documents/d/standards/docs-es-03-80-01.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1</Value>
      <Value>105</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Publications</TermName>
          <TermId xmlns="http://schemas.microsoft.com/office/infopath/2007/PartnerControls">351d4749-6841-4db0-8571-0d9e2b311a64</TermId>
        </TermInfo>
      </Terms>
    </oec7080f59824b85bfab9bab42c36e68>
    <_dlc_DocId xmlns="ec94eb93-2160-433d-bc9d-10bdc50beb83">ICSDBFP-360348501-19626</_dlc_DocId>
    <_dlc_DocIdUrl xmlns="ec94eb93-2160-433d-bc9d-10bdc50beb83">
      <Url>https://wipoprod.sharepoint.com/sites/SPS-INT-BFP-ICSD-CWS/_layouts/15/DocIdRedir.aspx?ID=ICSDBFP-360348501-19626</Url>
      <Description>ICSDBFP-360348501-19626</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597C4415-60D8-4560-ACAB-332F2504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C839EEF6-6526-4DF2-BF39-A453091CF133}">
  <ds:schemaRefs>
    <ds:schemaRef ds:uri="http://schemas.microsoft.com/sharepoint/events"/>
  </ds:schemaRefs>
</ds:datastoreItem>
</file>

<file path=customXml/itemProps4.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5.xml><?xml version="1.0" encoding="utf-8"?>
<ds:datastoreItem xmlns:ds="http://schemas.openxmlformats.org/officeDocument/2006/customXml" ds:itemID="{8141A37C-D6B9-49D7-8A5C-9B67DF765E6D}">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0D368847-D38A-4047-A7C0-D37050DE2B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2276</Words>
  <Characters>12975</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CWS/13/27 Annex (Spanish)</vt:lpstr>
      <vt:lpstr>CWS/13/27 Annex I (English)</vt:lpstr>
    </vt:vector>
  </TitlesOfParts>
  <Company>WIPO</Company>
  <LinksUpToDate>false</LinksUpToDate>
  <CharactersWithSpaces>15221</CharactersWithSpaces>
  <SharedDoc>false</SharedDoc>
  <HLinks>
    <vt:vector size="156" baseType="variant">
      <vt:variant>
        <vt:i4>2228257</vt:i4>
      </vt:variant>
      <vt:variant>
        <vt:i4>159</vt:i4>
      </vt:variant>
      <vt:variant>
        <vt:i4>0</vt:i4>
      </vt:variant>
      <vt:variant>
        <vt:i4>5</vt:i4>
      </vt:variant>
      <vt:variant>
        <vt:lpwstr>https://www.wipo.int/documents/d/standards/docs-en-03-96-01.pdf</vt:lpwstr>
      </vt:variant>
      <vt:variant>
        <vt:lpwstr/>
      </vt:variant>
      <vt:variant>
        <vt:i4>2293792</vt:i4>
      </vt:variant>
      <vt:variant>
        <vt:i4>156</vt:i4>
      </vt:variant>
      <vt:variant>
        <vt:i4>0</vt:i4>
      </vt:variant>
      <vt:variant>
        <vt:i4>5</vt:i4>
      </vt:variant>
      <vt:variant>
        <vt:lpwstr>https://www.wipo.int/documents/d/standards/docs-en-03-87-01.pdf</vt:lpwstr>
      </vt:variant>
      <vt:variant>
        <vt:lpwstr/>
      </vt:variant>
      <vt:variant>
        <vt:i4>2228256</vt:i4>
      </vt:variant>
      <vt:variant>
        <vt:i4>153</vt:i4>
      </vt:variant>
      <vt:variant>
        <vt:i4>0</vt:i4>
      </vt:variant>
      <vt:variant>
        <vt:i4>5</vt:i4>
      </vt:variant>
      <vt:variant>
        <vt:lpwstr>https://www.wipo.int/documents/d/standards/docs-en-03-86-01.pdf</vt:lpwstr>
      </vt:variant>
      <vt:variant>
        <vt:lpwstr/>
      </vt:variant>
      <vt:variant>
        <vt:i4>2359328</vt:i4>
      </vt:variant>
      <vt:variant>
        <vt:i4>150</vt:i4>
      </vt:variant>
      <vt:variant>
        <vt:i4>0</vt:i4>
      </vt:variant>
      <vt:variant>
        <vt:i4>5</vt:i4>
      </vt:variant>
      <vt:variant>
        <vt:lpwstr>https://www.wipo.int/documents/d/standards/docs-en-03-80-01.pdf</vt:lpwstr>
      </vt:variant>
      <vt:variant>
        <vt:lpwstr/>
      </vt:variant>
      <vt:variant>
        <vt:i4>2228270</vt:i4>
      </vt:variant>
      <vt:variant>
        <vt:i4>147</vt:i4>
      </vt:variant>
      <vt:variant>
        <vt:i4>0</vt:i4>
      </vt:variant>
      <vt:variant>
        <vt:i4>5</vt:i4>
      </vt:variant>
      <vt:variant>
        <vt:lpwstr>https://www.wipo.int/documents/d/standards/docs-en-03-66-01.pdf</vt:lpwstr>
      </vt:variant>
      <vt:variant>
        <vt:lpwstr/>
      </vt:variant>
      <vt:variant>
        <vt:i4>2424878</vt:i4>
      </vt:variant>
      <vt:variant>
        <vt:i4>144</vt:i4>
      </vt:variant>
      <vt:variant>
        <vt:i4>0</vt:i4>
      </vt:variant>
      <vt:variant>
        <vt:i4>5</vt:i4>
      </vt:variant>
      <vt:variant>
        <vt:lpwstr>https://www.wipo.int/documents/d/standards/docs-en-03-61-01.pdf</vt:lpwstr>
      </vt:variant>
      <vt:variant>
        <vt:lpwstr/>
      </vt:variant>
      <vt:variant>
        <vt:i4>2359342</vt:i4>
      </vt:variant>
      <vt:variant>
        <vt:i4>141</vt:i4>
      </vt:variant>
      <vt:variant>
        <vt:i4>0</vt:i4>
      </vt:variant>
      <vt:variant>
        <vt:i4>5</vt:i4>
      </vt:variant>
      <vt:variant>
        <vt:lpwstr>https://www.wipo.int/documents/d/standards/docs-en-03-60-01.pdf</vt:lpwstr>
      </vt:variant>
      <vt:variant>
        <vt:lpwstr/>
      </vt:variant>
      <vt:variant>
        <vt:i4>2228267</vt:i4>
      </vt:variant>
      <vt:variant>
        <vt:i4>138</vt:i4>
      </vt:variant>
      <vt:variant>
        <vt:i4>0</vt:i4>
      </vt:variant>
      <vt:variant>
        <vt:i4>5</vt:i4>
      </vt:variant>
      <vt:variant>
        <vt:lpwstr>https://www.wipo.int/documents/d/standards/docs-en-03-36-01.pdf</vt:lpwstr>
      </vt:variant>
      <vt:variant>
        <vt:lpwstr/>
      </vt:variant>
      <vt:variant>
        <vt:i4>2293802</vt:i4>
      </vt:variant>
      <vt:variant>
        <vt:i4>135</vt:i4>
      </vt:variant>
      <vt:variant>
        <vt:i4>0</vt:i4>
      </vt:variant>
      <vt:variant>
        <vt:i4>5</vt:i4>
      </vt:variant>
      <vt:variant>
        <vt:lpwstr>https://www.wipo.int/documents/d/standards/docs-en-03-27-01.pdf</vt:lpwstr>
      </vt:variant>
      <vt:variant>
        <vt:lpwstr/>
      </vt:variant>
      <vt:variant>
        <vt:i4>7929892</vt:i4>
      </vt:variant>
      <vt:variant>
        <vt:i4>132</vt:i4>
      </vt:variant>
      <vt:variant>
        <vt:i4>0</vt:i4>
      </vt:variant>
      <vt:variant>
        <vt:i4>5</vt:i4>
      </vt:variant>
      <vt:variant>
        <vt:lpwstr>https://www.wipo.int/export/sites/www/standards/en/pdf/03-26-01.pdf</vt:lpwstr>
      </vt:variant>
      <vt:variant>
        <vt:lpwstr/>
      </vt:variant>
      <vt:variant>
        <vt:i4>2228265</vt:i4>
      </vt:variant>
      <vt:variant>
        <vt:i4>129</vt:i4>
      </vt:variant>
      <vt:variant>
        <vt:i4>0</vt:i4>
      </vt:variant>
      <vt:variant>
        <vt:i4>5</vt:i4>
      </vt:variant>
      <vt:variant>
        <vt:lpwstr>https://www.wipo.int/documents/d/standards/docs-en-03-16-01.pdf</vt:lpwstr>
      </vt:variant>
      <vt:variant>
        <vt:lpwstr/>
      </vt:variant>
      <vt:variant>
        <vt:i4>2949160</vt:i4>
      </vt:variant>
      <vt:variant>
        <vt:i4>126</vt:i4>
      </vt:variant>
      <vt:variant>
        <vt:i4>0</vt:i4>
      </vt:variant>
      <vt:variant>
        <vt:i4>5</vt:i4>
      </vt:variant>
      <vt:variant>
        <vt:lpwstr>https://www.wipo.int/documents/d/standards/docs-en-03-09-01.pdf</vt:lpwstr>
      </vt:variant>
      <vt:variant>
        <vt:lpwstr/>
      </vt:variant>
      <vt:variant>
        <vt:i4>2555944</vt:i4>
      </vt:variant>
      <vt:variant>
        <vt:i4>123</vt:i4>
      </vt:variant>
      <vt:variant>
        <vt:i4>0</vt:i4>
      </vt:variant>
      <vt:variant>
        <vt:i4>5</vt:i4>
      </vt:variant>
      <vt:variant>
        <vt:lpwstr>https://www.wipo.int/documents/d/standards/docs-en-03-03-01.pdf</vt:lpwstr>
      </vt:variant>
      <vt:variant>
        <vt:lpwstr/>
      </vt:variant>
      <vt:variant>
        <vt:i4>1179709</vt:i4>
      </vt:variant>
      <vt:variant>
        <vt:i4>74</vt:i4>
      </vt:variant>
      <vt:variant>
        <vt:i4>0</vt:i4>
      </vt:variant>
      <vt:variant>
        <vt:i4>5</vt:i4>
      </vt:variant>
      <vt:variant>
        <vt:lpwstr/>
      </vt:variant>
      <vt:variant>
        <vt:lpwstr>_Toc209011746</vt:lpwstr>
      </vt:variant>
      <vt:variant>
        <vt:i4>1179709</vt:i4>
      </vt:variant>
      <vt:variant>
        <vt:i4>68</vt:i4>
      </vt:variant>
      <vt:variant>
        <vt:i4>0</vt:i4>
      </vt:variant>
      <vt:variant>
        <vt:i4>5</vt:i4>
      </vt:variant>
      <vt:variant>
        <vt:lpwstr/>
      </vt:variant>
      <vt:variant>
        <vt:lpwstr>_Toc209011745</vt:lpwstr>
      </vt:variant>
      <vt:variant>
        <vt:i4>1179709</vt:i4>
      </vt:variant>
      <vt:variant>
        <vt:i4>62</vt:i4>
      </vt:variant>
      <vt:variant>
        <vt:i4>0</vt:i4>
      </vt:variant>
      <vt:variant>
        <vt:i4>5</vt:i4>
      </vt:variant>
      <vt:variant>
        <vt:lpwstr/>
      </vt:variant>
      <vt:variant>
        <vt:lpwstr>_Toc209011744</vt:lpwstr>
      </vt:variant>
      <vt:variant>
        <vt:i4>1179709</vt:i4>
      </vt:variant>
      <vt:variant>
        <vt:i4>56</vt:i4>
      </vt:variant>
      <vt:variant>
        <vt:i4>0</vt:i4>
      </vt:variant>
      <vt:variant>
        <vt:i4>5</vt:i4>
      </vt:variant>
      <vt:variant>
        <vt:lpwstr/>
      </vt:variant>
      <vt:variant>
        <vt:lpwstr>_Toc209011743</vt:lpwstr>
      </vt:variant>
      <vt:variant>
        <vt:i4>1179709</vt:i4>
      </vt:variant>
      <vt:variant>
        <vt:i4>50</vt:i4>
      </vt:variant>
      <vt:variant>
        <vt:i4>0</vt:i4>
      </vt:variant>
      <vt:variant>
        <vt:i4>5</vt:i4>
      </vt:variant>
      <vt:variant>
        <vt:lpwstr/>
      </vt:variant>
      <vt:variant>
        <vt:lpwstr>_Toc209011742</vt:lpwstr>
      </vt:variant>
      <vt:variant>
        <vt:i4>1179709</vt:i4>
      </vt:variant>
      <vt:variant>
        <vt:i4>44</vt:i4>
      </vt:variant>
      <vt:variant>
        <vt:i4>0</vt:i4>
      </vt:variant>
      <vt:variant>
        <vt:i4>5</vt:i4>
      </vt:variant>
      <vt:variant>
        <vt:lpwstr/>
      </vt:variant>
      <vt:variant>
        <vt:lpwstr>_Toc209011741</vt:lpwstr>
      </vt:variant>
      <vt:variant>
        <vt:i4>1179709</vt:i4>
      </vt:variant>
      <vt:variant>
        <vt:i4>38</vt:i4>
      </vt:variant>
      <vt:variant>
        <vt:i4>0</vt:i4>
      </vt:variant>
      <vt:variant>
        <vt:i4>5</vt:i4>
      </vt:variant>
      <vt:variant>
        <vt:lpwstr/>
      </vt:variant>
      <vt:variant>
        <vt:lpwstr>_Toc209011740</vt:lpwstr>
      </vt:variant>
      <vt:variant>
        <vt:i4>1376317</vt:i4>
      </vt:variant>
      <vt:variant>
        <vt:i4>32</vt:i4>
      </vt:variant>
      <vt:variant>
        <vt:i4>0</vt:i4>
      </vt:variant>
      <vt:variant>
        <vt:i4>5</vt:i4>
      </vt:variant>
      <vt:variant>
        <vt:lpwstr/>
      </vt:variant>
      <vt:variant>
        <vt:lpwstr>_Toc209011739</vt:lpwstr>
      </vt:variant>
      <vt:variant>
        <vt:i4>1376317</vt:i4>
      </vt:variant>
      <vt:variant>
        <vt:i4>26</vt:i4>
      </vt:variant>
      <vt:variant>
        <vt:i4>0</vt:i4>
      </vt:variant>
      <vt:variant>
        <vt:i4>5</vt:i4>
      </vt:variant>
      <vt:variant>
        <vt:lpwstr/>
      </vt:variant>
      <vt:variant>
        <vt:lpwstr>_Toc209011738</vt:lpwstr>
      </vt:variant>
      <vt:variant>
        <vt:i4>1376317</vt:i4>
      </vt:variant>
      <vt:variant>
        <vt:i4>20</vt:i4>
      </vt:variant>
      <vt:variant>
        <vt:i4>0</vt:i4>
      </vt:variant>
      <vt:variant>
        <vt:i4>5</vt:i4>
      </vt:variant>
      <vt:variant>
        <vt:lpwstr/>
      </vt:variant>
      <vt:variant>
        <vt:lpwstr>_Toc209011737</vt:lpwstr>
      </vt:variant>
      <vt:variant>
        <vt:i4>1376317</vt:i4>
      </vt:variant>
      <vt:variant>
        <vt:i4>14</vt:i4>
      </vt:variant>
      <vt:variant>
        <vt:i4>0</vt:i4>
      </vt:variant>
      <vt:variant>
        <vt:i4>5</vt:i4>
      </vt:variant>
      <vt:variant>
        <vt:lpwstr/>
      </vt:variant>
      <vt:variant>
        <vt:lpwstr>_Toc209011736</vt:lpwstr>
      </vt:variant>
      <vt:variant>
        <vt:i4>1376317</vt:i4>
      </vt:variant>
      <vt:variant>
        <vt:i4>8</vt:i4>
      </vt:variant>
      <vt:variant>
        <vt:i4>0</vt:i4>
      </vt:variant>
      <vt:variant>
        <vt:i4>5</vt:i4>
      </vt:variant>
      <vt:variant>
        <vt:lpwstr/>
      </vt:variant>
      <vt:variant>
        <vt:lpwstr>_Toc209011735</vt:lpwstr>
      </vt:variant>
      <vt:variant>
        <vt:i4>1376317</vt:i4>
      </vt:variant>
      <vt:variant>
        <vt:i4>2</vt:i4>
      </vt:variant>
      <vt:variant>
        <vt:i4>0</vt:i4>
      </vt:variant>
      <vt:variant>
        <vt:i4>5</vt:i4>
      </vt:variant>
      <vt:variant>
        <vt:lpwstr/>
      </vt:variant>
      <vt:variant>
        <vt:lpwstr>_Toc209011734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CWS/13/27 Annex (Spanish)</dc:title>
  <dc:subject>Marco y plataforma para el intercambio de datos sobre propiedad intelectual Anexo</dc:subject>
  <dc:creator>WIPO</dc:creator>
  <cp:keywords>WIPO CWS decimotercera sesión, Marco y plataforma para el intercambio de datos sobre propiedad intelectual </cp:keywords>
  <dc:description/>
  <cp:lastModifiedBy>EMMETT Claudia</cp:lastModifiedBy>
  <cp:revision>4</cp:revision>
  <cp:lastPrinted>2025-10-29T16:25:00Z</cp:lastPrinted>
  <dcterms:created xsi:type="dcterms:W3CDTF">2025-10-24T07:18:00Z</dcterms:created>
  <dcterms:modified xsi:type="dcterms:W3CDTF">2025-10-29T16:25:00Z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BusinessUnit">
    <vt:lpwstr>4;#International Classifications and Standards Division|1bda9d19-f2c0-4f24-b9f1-c91ec6b8f041</vt:lpwstr>
  </property>
  <property fmtid="{D5CDD505-2E9C-101B-9397-08002B2CF9AE}" pid="4" name="RMClassification">
    <vt:lpwstr>105;#10 Publications|351d4749-6841-4db0-8571-0d9e2b311a64</vt:lpwstr>
  </property>
  <property fmtid="{D5CDD505-2E9C-101B-9397-08002B2CF9AE}" pid="5" name="Body1">
    <vt:lpwstr>3;#Committee on WIPO Standards|505ec630-c8e5-4e30-8a4a-e8d9be6ccbb1</vt:lpwstr>
  </property>
  <property fmtid="{D5CDD505-2E9C-101B-9397-08002B2CF9AE}" pid="6" name="Languages">
    <vt:lpwstr>1;#English|950e6fa2-2df0-4983-a604-54e57c7a6d93</vt:lpwstr>
  </property>
  <property fmtid="{D5CDD505-2E9C-101B-9397-08002B2CF9AE}" pid="7" name="gbd88f87496145e58da10973a57b07b8">
    <vt:lpwstr>Committee on WIPO Standards|505ec630-c8e5-4e30-8a4a-e8d9be6ccbb1</vt:lpwstr>
  </property>
  <property fmtid="{D5CDD505-2E9C-101B-9397-08002B2CF9AE}" pid="8" name="_dlc_DocIdItemGuid">
    <vt:lpwstr>a3114a78-1628-491c-9390-88e3ef189658</vt:lpwstr>
  </property>
  <property fmtid="{D5CDD505-2E9C-101B-9397-08002B2CF9AE}" pid="9" name="MediaServiceImageTags">
    <vt:lpwstr/>
  </property>
  <property fmtid="{D5CDD505-2E9C-101B-9397-08002B2CF9AE}" pid="10" name="m4535404f5974080b635c68c1acaf1ab">
    <vt:lpwstr/>
  </property>
  <property fmtid="{D5CDD505-2E9C-101B-9397-08002B2CF9AE}" pid="11" name="lcf76f155ced4ddcb4097134ff3c332f">
    <vt:lpwstr/>
  </property>
  <property fmtid="{D5CDD505-2E9C-101B-9397-08002B2CF9AE}" pid="12" name="ECCM_Year">
    <vt:lpwstr/>
  </property>
  <property fmtid="{D5CDD505-2E9C-101B-9397-08002B2CF9AE}" pid="13" name="k5f91d7f67f54ee29b509143279df90f">
    <vt:lpwstr/>
  </property>
  <property fmtid="{D5CDD505-2E9C-101B-9397-08002B2CF9AE}" pid="14" name="IPTopics">
    <vt:lpwstr/>
  </property>
  <property fmtid="{D5CDD505-2E9C-101B-9397-08002B2CF9AE}" pid="15" name="docLang">
    <vt:lpwstr>en</vt:lpwstr>
  </property>
  <property fmtid="{D5CDD505-2E9C-101B-9397-08002B2CF9AE}" pid="16" name="MSIP_Label_20773ee6-353b-4fb9-a59d-0b94c8c67bea_Enabled">
    <vt:lpwstr>true</vt:lpwstr>
  </property>
  <property fmtid="{D5CDD505-2E9C-101B-9397-08002B2CF9AE}" pid="17" name="MSIP_Label_20773ee6-353b-4fb9-a59d-0b94c8c67bea_SetDate">
    <vt:lpwstr>2025-10-21T12:06:51Z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ad2369c4-a71b-416f-8fd2-a30da7fd5c82</vt:lpwstr>
  </property>
  <property fmtid="{D5CDD505-2E9C-101B-9397-08002B2CF9AE}" pid="22" name="MSIP_Label_20773ee6-353b-4fb9-a59d-0b94c8c67bea_ContentBits">
    <vt:lpwstr>0</vt:lpwstr>
  </property>
  <property fmtid="{D5CDD505-2E9C-101B-9397-08002B2CF9AE}" pid="23" name="MSIP_Label_20773ee6-353b-4fb9-a59d-0b94c8c67bea_Tag">
    <vt:lpwstr>10, 0, 1, 1</vt:lpwstr>
  </property>
</Properties>
</file>