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DC6F" w14:textId="71440B7F" w:rsidR="00A10BF7" w:rsidRPr="002A4BDC" w:rsidRDefault="00E82010" w:rsidP="002A4BDC">
      <w:pPr>
        <w:pStyle w:val="headingheader"/>
        <w:spacing w:after="480"/>
        <w:rPr>
          <w:rFonts w:asciiTheme="minorBidi" w:hAnsiTheme="minorBidi" w:cstheme="minorBidi"/>
          <w:b w:val="0"/>
          <w:bCs w:val="0"/>
          <w:sz w:val="24"/>
          <w:szCs w:val="24"/>
          <w:lang w:val="es-ES_tradnl"/>
        </w:rPr>
      </w:pPr>
      <w:bookmarkStart w:id="0" w:name="_Toc1"/>
      <w:r w:rsidRPr="002A4BDC">
        <w:rPr>
          <w:rFonts w:asciiTheme="minorBidi" w:hAnsiTheme="minorBidi"/>
          <w:b w:val="0"/>
          <w:sz w:val="24"/>
          <w:lang w:val="es-ES_tradnl"/>
        </w:rPr>
        <w:t>RESUMEN DE LAS RESPUESTAS A LA ENCUESTA SOBRE 10 RECOMENDACIONES EN MATERIA DE TIC PARA LAS OFICINAS DE P</w:t>
      </w:r>
      <w:bookmarkEnd w:id="0"/>
      <w:r w:rsidR="003F2CB0" w:rsidRPr="002A4BDC">
        <w:rPr>
          <w:rFonts w:asciiTheme="minorBidi" w:hAnsiTheme="minorBidi"/>
          <w:b w:val="0"/>
          <w:sz w:val="24"/>
          <w:lang w:val="es-ES_tradnl"/>
        </w:rPr>
        <w:t>I</w:t>
      </w:r>
    </w:p>
    <w:p w14:paraId="067C45BB" w14:textId="162DED3E" w:rsidR="00E82010" w:rsidRPr="002A4BDC" w:rsidRDefault="00E82010" w:rsidP="002A4BDC">
      <w:pPr>
        <w:spacing w:after="240"/>
        <w:rPr>
          <w:b/>
          <w:bCs/>
          <w:i/>
          <w:iCs/>
          <w:sz w:val="22"/>
          <w:szCs w:val="22"/>
          <w:lang w:val="es-ES_tradnl"/>
        </w:rPr>
      </w:pPr>
      <w:r w:rsidRPr="002A4BDC">
        <w:rPr>
          <w:i/>
          <w:sz w:val="22"/>
          <w:lang w:val="es-ES_tradnl"/>
        </w:rPr>
        <w:t>preparado por la Secretaría</w:t>
      </w:r>
    </w:p>
    <w:bookmarkStart w:id="1" w:name="_Toc3"/>
    <w:p w14:paraId="6BCCE5B6" w14:textId="3FA43E79" w:rsidR="00A10BF7" w:rsidRPr="002A4BDC" w:rsidRDefault="00F01C34" w:rsidP="000739BA">
      <w:pPr>
        <w:pStyle w:val="headingsubHeader"/>
        <w:rPr>
          <w:lang w:val="es-ES_tradnl"/>
        </w:rPr>
      </w:pPr>
      <w:r w:rsidRPr="002A4BDC">
        <w:rPr>
          <w:lang w:val="es-ES_tradnl"/>
        </w:rPr>
        <w:fldChar w:fldCharType="begin"/>
      </w:r>
      <w:r w:rsidRPr="002A4BDC">
        <w:rPr>
          <w:lang w:val="es-ES_tradnl"/>
        </w:rPr>
        <w:instrText xml:space="preserve"> AUTONUM  </w:instrText>
      </w:r>
      <w:r w:rsidRPr="002A4BDC">
        <w:rPr>
          <w:lang w:val="es-ES_tradnl"/>
        </w:rPr>
        <w:fldChar w:fldCharType="end"/>
      </w:r>
      <w:r w:rsidRPr="002A4BDC">
        <w:rPr>
          <w:lang w:val="es-ES_tradnl"/>
        </w:rPr>
        <w:t xml:space="preserve"> Introduzca el código de dos letras del Estado miembro u organización intergubernamental que representa, según se define en la Norma ST.3 de la OMPI.</w:t>
      </w:r>
      <w:bookmarkEnd w:id="1"/>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533"/>
      </w:tblGrid>
      <w:tr w:rsidR="00C135EB" w:rsidRPr="002A4BDC" w14:paraId="497BA545" w14:textId="77777777" w:rsidTr="00FD22C9">
        <w:trPr>
          <w:trHeight w:val="288"/>
        </w:trPr>
        <w:tc>
          <w:tcPr>
            <w:tcW w:w="1418" w:type="dxa"/>
            <w:shd w:val="clear" w:color="auto" w:fill="1F497D" w:themeFill="text2"/>
          </w:tcPr>
          <w:p w14:paraId="3971EB6B" w14:textId="77777777" w:rsidR="00C135EB" w:rsidRPr="002A4BDC" w:rsidRDefault="00C135EB" w:rsidP="00ED09A9">
            <w:pPr>
              <w:spacing w:after="0"/>
              <w:rPr>
                <w:rStyle w:val="text"/>
                <w:b/>
                <w:bCs/>
                <w:color w:val="FFFFFF" w:themeColor="background1"/>
                <w:sz w:val="17"/>
                <w:szCs w:val="17"/>
                <w:lang w:val="es-ES_tradnl"/>
              </w:rPr>
            </w:pPr>
            <w:r w:rsidRPr="002A4BDC">
              <w:rPr>
                <w:rStyle w:val="text"/>
                <w:b/>
                <w:color w:val="FFFFFF" w:themeColor="background1"/>
                <w:sz w:val="17"/>
                <w:lang w:val="es-ES_tradnl"/>
              </w:rPr>
              <w:t>Código de la Norma ST.3</w:t>
            </w:r>
          </w:p>
        </w:tc>
        <w:tc>
          <w:tcPr>
            <w:tcW w:w="7687" w:type="dxa"/>
            <w:shd w:val="clear" w:color="auto" w:fill="1F497D" w:themeFill="text2"/>
          </w:tcPr>
          <w:p w14:paraId="62614AB3" w14:textId="2FFC91DE" w:rsidR="00C135EB" w:rsidRPr="002A4BDC" w:rsidRDefault="00C135EB" w:rsidP="00ED09A9">
            <w:pPr>
              <w:spacing w:after="0"/>
              <w:rPr>
                <w:rStyle w:val="text"/>
                <w:b/>
                <w:bCs/>
                <w:color w:val="FFFFFF" w:themeColor="background1"/>
                <w:sz w:val="17"/>
                <w:szCs w:val="17"/>
                <w:lang w:val="es-ES_tradnl"/>
              </w:rPr>
            </w:pPr>
            <w:r w:rsidRPr="002A4BDC">
              <w:rPr>
                <w:rStyle w:val="text"/>
                <w:b/>
                <w:color w:val="FFFFFF" w:themeColor="background1"/>
                <w:sz w:val="17"/>
                <w:lang w:val="es-ES_tradnl"/>
              </w:rPr>
              <w:t xml:space="preserve">País u Oficina </w:t>
            </w:r>
          </w:p>
        </w:tc>
      </w:tr>
      <w:tr w:rsidR="00C135EB" w:rsidRPr="002A4BDC" w14:paraId="50502290" w14:textId="77777777" w:rsidTr="00FD22C9">
        <w:trPr>
          <w:trHeight w:val="288"/>
        </w:trPr>
        <w:tc>
          <w:tcPr>
            <w:tcW w:w="1418" w:type="dxa"/>
          </w:tcPr>
          <w:p w14:paraId="278025A7" w14:textId="0774C4BF" w:rsidR="00C135EB" w:rsidRPr="002A4BDC" w:rsidRDefault="00C135EB" w:rsidP="00ED09A9">
            <w:pPr>
              <w:spacing w:after="0"/>
              <w:rPr>
                <w:rStyle w:val="text"/>
                <w:sz w:val="17"/>
                <w:szCs w:val="17"/>
                <w:lang w:val="es-ES_tradnl"/>
              </w:rPr>
            </w:pPr>
            <w:r w:rsidRPr="002A4BDC">
              <w:rPr>
                <w:rStyle w:val="text"/>
                <w:sz w:val="17"/>
                <w:lang w:val="es-ES_tradnl"/>
              </w:rPr>
              <w:t>AU</w:t>
            </w:r>
          </w:p>
        </w:tc>
        <w:tc>
          <w:tcPr>
            <w:tcW w:w="7687" w:type="dxa"/>
          </w:tcPr>
          <w:p w14:paraId="7A314C7C" w14:textId="03571E6E" w:rsidR="00C135EB" w:rsidRPr="002A4BDC" w:rsidRDefault="00D1103E" w:rsidP="00ED09A9">
            <w:pPr>
              <w:spacing w:after="0"/>
              <w:rPr>
                <w:rStyle w:val="text"/>
                <w:sz w:val="17"/>
                <w:szCs w:val="17"/>
                <w:lang w:val="es-ES_tradnl"/>
              </w:rPr>
            </w:pPr>
            <w:r w:rsidRPr="002A4BDC">
              <w:rPr>
                <w:rStyle w:val="text"/>
                <w:sz w:val="17"/>
                <w:lang w:val="es-ES_tradnl"/>
              </w:rPr>
              <w:t>Australia, IP Australia</w:t>
            </w:r>
          </w:p>
        </w:tc>
      </w:tr>
      <w:tr w:rsidR="00C135EB" w:rsidRPr="002A4BDC" w14:paraId="0DD13401" w14:textId="77777777" w:rsidTr="00FD22C9">
        <w:trPr>
          <w:trHeight w:val="288"/>
        </w:trPr>
        <w:tc>
          <w:tcPr>
            <w:tcW w:w="1418" w:type="dxa"/>
          </w:tcPr>
          <w:p w14:paraId="2D4ACF59" w14:textId="77777777" w:rsidR="00C135EB" w:rsidRPr="002A4BDC" w:rsidRDefault="00C135EB" w:rsidP="00ED09A9">
            <w:pPr>
              <w:spacing w:after="0"/>
              <w:rPr>
                <w:rStyle w:val="text"/>
                <w:sz w:val="17"/>
                <w:szCs w:val="17"/>
                <w:lang w:val="es-ES_tradnl"/>
              </w:rPr>
            </w:pPr>
            <w:r w:rsidRPr="002A4BDC">
              <w:rPr>
                <w:rStyle w:val="text"/>
                <w:sz w:val="17"/>
                <w:lang w:val="es-ES_tradnl"/>
              </w:rPr>
              <w:t>BR</w:t>
            </w:r>
          </w:p>
        </w:tc>
        <w:tc>
          <w:tcPr>
            <w:tcW w:w="7687" w:type="dxa"/>
          </w:tcPr>
          <w:p w14:paraId="2A01456D" w14:textId="5A35E98D" w:rsidR="00C135EB" w:rsidRPr="002A4BDC" w:rsidRDefault="00C135EB" w:rsidP="00ED09A9">
            <w:pPr>
              <w:spacing w:after="0"/>
              <w:rPr>
                <w:rStyle w:val="text"/>
                <w:sz w:val="17"/>
                <w:szCs w:val="17"/>
                <w:lang w:val="es-ES_tradnl"/>
              </w:rPr>
            </w:pPr>
            <w:r w:rsidRPr="002A4BDC">
              <w:rPr>
                <w:rStyle w:val="text"/>
                <w:sz w:val="17"/>
                <w:lang w:val="es-ES_tradnl"/>
              </w:rPr>
              <w:t xml:space="preserve">Brasil, Instituto Nacional de la Propiedad Industrial (INPI) </w:t>
            </w:r>
          </w:p>
        </w:tc>
      </w:tr>
      <w:tr w:rsidR="00C135EB" w:rsidRPr="002A4BDC" w14:paraId="4E6EFC21" w14:textId="77777777" w:rsidTr="00FD22C9">
        <w:trPr>
          <w:trHeight w:val="288"/>
        </w:trPr>
        <w:tc>
          <w:tcPr>
            <w:tcW w:w="1418" w:type="dxa"/>
          </w:tcPr>
          <w:p w14:paraId="2DC4AFD4" w14:textId="77777777" w:rsidR="00C135EB" w:rsidRPr="002A4BDC" w:rsidRDefault="00C135EB" w:rsidP="00ED09A9">
            <w:pPr>
              <w:spacing w:after="0"/>
              <w:rPr>
                <w:rStyle w:val="text"/>
                <w:sz w:val="17"/>
                <w:szCs w:val="17"/>
                <w:lang w:val="es-ES_tradnl"/>
              </w:rPr>
            </w:pPr>
            <w:r w:rsidRPr="002A4BDC">
              <w:rPr>
                <w:rStyle w:val="text"/>
                <w:sz w:val="17"/>
                <w:lang w:val="es-ES_tradnl"/>
              </w:rPr>
              <w:t>CA</w:t>
            </w:r>
          </w:p>
        </w:tc>
        <w:tc>
          <w:tcPr>
            <w:tcW w:w="7687" w:type="dxa"/>
          </w:tcPr>
          <w:p w14:paraId="6D9A2AF5" w14:textId="6FB55F0D" w:rsidR="00C135EB" w:rsidRPr="002A4BDC" w:rsidRDefault="00C135EB" w:rsidP="00ED09A9">
            <w:pPr>
              <w:spacing w:after="0"/>
              <w:rPr>
                <w:rStyle w:val="text"/>
                <w:sz w:val="17"/>
                <w:szCs w:val="17"/>
                <w:lang w:val="es-ES_tradnl"/>
              </w:rPr>
            </w:pPr>
            <w:r w:rsidRPr="002A4BDC">
              <w:rPr>
                <w:rStyle w:val="text"/>
                <w:sz w:val="17"/>
                <w:lang w:val="es-ES_tradnl"/>
              </w:rPr>
              <w:t>Canadá, Oficina Canadiense de Propiedad Intelectual (CIPO)</w:t>
            </w:r>
          </w:p>
        </w:tc>
      </w:tr>
      <w:tr w:rsidR="00C135EB" w:rsidRPr="002A4BDC" w14:paraId="50E58D53" w14:textId="77777777" w:rsidTr="00FD22C9">
        <w:trPr>
          <w:trHeight w:val="288"/>
        </w:trPr>
        <w:tc>
          <w:tcPr>
            <w:tcW w:w="1418" w:type="dxa"/>
          </w:tcPr>
          <w:p w14:paraId="12CB5309" w14:textId="77777777" w:rsidR="00C135EB" w:rsidRPr="002A4BDC" w:rsidRDefault="00C135EB" w:rsidP="00ED09A9">
            <w:pPr>
              <w:spacing w:after="0"/>
              <w:rPr>
                <w:rStyle w:val="text"/>
                <w:sz w:val="17"/>
                <w:szCs w:val="17"/>
                <w:lang w:val="es-ES_tradnl"/>
              </w:rPr>
            </w:pPr>
            <w:r w:rsidRPr="002A4BDC">
              <w:rPr>
                <w:rStyle w:val="text"/>
                <w:sz w:val="17"/>
                <w:lang w:val="es-ES_tradnl"/>
              </w:rPr>
              <w:t>CN</w:t>
            </w:r>
          </w:p>
        </w:tc>
        <w:tc>
          <w:tcPr>
            <w:tcW w:w="7687" w:type="dxa"/>
          </w:tcPr>
          <w:p w14:paraId="1D3D39F7" w14:textId="32AB4651" w:rsidR="00C135EB" w:rsidRPr="002A4BDC" w:rsidRDefault="00C135EB" w:rsidP="00ED09A9">
            <w:pPr>
              <w:spacing w:after="0"/>
              <w:rPr>
                <w:rStyle w:val="text"/>
                <w:sz w:val="17"/>
                <w:szCs w:val="17"/>
                <w:lang w:val="es-ES_tradnl"/>
              </w:rPr>
            </w:pPr>
            <w:r w:rsidRPr="002A4BDC">
              <w:rPr>
                <w:rStyle w:val="text"/>
                <w:sz w:val="17"/>
                <w:lang w:val="es-ES_tradnl"/>
              </w:rPr>
              <w:t>China, Administración Nacional de Propiedad Intelectual de China (CNIPA)</w:t>
            </w:r>
          </w:p>
        </w:tc>
      </w:tr>
      <w:tr w:rsidR="00C135EB" w:rsidRPr="002A4BDC" w14:paraId="04A33A43" w14:textId="77777777" w:rsidTr="00FD22C9">
        <w:trPr>
          <w:trHeight w:val="288"/>
        </w:trPr>
        <w:tc>
          <w:tcPr>
            <w:tcW w:w="1418" w:type="dxa"/>
          </w:tcPr>
          <w:p w14:paraId="116B85C4" w14:textId="77777777" w:rsidR="00C135EB" w:rsidRPr="002A4BDC" w:rsidRDefault="00C135EB" w:rsidP="00ED09A9">
            <w:pPr>
              <w:spacing w:after="0"/>
              <w:rPr>
                <w:rStyle w:val="text"/>
                <w:sz w:val="17"/>
                <w:szCs w:val="17"/>
                <w:lang w:val="es-ES_tradnl"/>
              </w:rPr>
            </w:pPr>
            <w:r w:rsidRPr="002A4BDC">
              <w:rPr>
                <w:rStyle w:val="text"/>
                <w:sz w:val="17"/>
                <w:lang w:val="es-ES_tradnl"/>
              </w:rPr>
              <w:t>DE</w:t>
            </w:r>
          </w:p>
        </w:tc>
        <w:tc>
          <w:tcPr>
            <w:tcW w:w="7687" w:type="dxa"/>
          </w:tcPr>
          <w:p w14:paraId="64F77729" w14:textId="58A45059" w:rsidR="00C135EB" w:rsidRPr="002A4BDC" w:rsidRDefault="00C135EB" w:rsidP="00ED09A9">
            <w:pPr>
              <w:spacing w:after="0"/>
              <w:rPr>
                <w:rStyle w:val="text"/>
                <w:sz w:val="17"/>
                <w:szCs w:val="17"/>
                <w:lang w:val="es-ES_tradnl"/>
              </w:rPr>
            </w:pPr>
            <w:r w:rsidRPr="002A4BDC">
              <w:rPr>
                <w:rStyle w:val="text"/>
                <w:sz w:val="17"/>
                <w:lang w:val="es-ES_tradnl"/>
              </w:rPr>
              <w:t>Alemania, Oficina Alemana de Patentes y Marcas (DPMA)</w:t>
            </w:r>
          </w:p>
        </w:tc>
      </w:tr>
      <w:tr w:rsidR="00C135EB" w:rsidRPr="002A4BDC" w14:paraId="6F826DB0" w14:textId="77777777" w:rsidTr="00FD22C9">
        <w:trPr>
          <w:trHeight w:val="288"/>
        </w:trPr>
        <w:tc>
          <w:tcPr>
            <w:tcW w:w="1418" w:type="dxa"/>
          </w:tcPr>
          <w:p w14:paraId="04FED211" w14:textId="77777777" w:rsidR="00C135EB" w:rsidRPr="002A4BDC" w:rsidRDefault="00C135EB" w:rsidP="00ED09A9">
            <w:pPr>
              <w:spacing w:after="0"/>
              <w:rPr>
                <w:rStyle w:val="text"/>
                <w:sz w:val="17"/>
                <w:szCs w:val="17"/>
                <w:lang w:val="es-ES_tradnl"/>
              </w:rPr>
            </w:pPr>
            <w:r w:rsidRPr="002A4BDC">
              <w:rPr>
                <w:rStyle w:val="text"/>
                <w:sz w:val="17"/>
                <w:lang w:val="es-ES_tradnl"/>
              </w:rPr>
              <w:t>EM</w:t>
            </w:r>
          </w:p>
        </w:tc>
        <w:tc>
          <w:tcPr>
            <w:tcW w:w="7687" w:type="dxa"/>
          </w:tcPr>
          <w:p w14:paraId="3ECD92B8" w14:textId="2EA2CAFA" w:rsidR="00C135EB" w:rsidRPr="002A4BDC" w:rsidRDefault="00C135EB" w:rsidP="00ED09A9">
            <w:pPr>
              <w:spacing w:after="0"/>
              <w:rPr>
                <w:rStyle w:val="text"/>
                <w:sz w:val="17"/>
                <w:szCs w:val="17"/>
                <w:lang w:val="es-ES_tradnl"/>
              </w:rPr>
            </w:pPr>
            <w:r w:rsidRPr="002A4BDC">
              <w:rPr>
                <w:rStyle w:val="text"/>
                <w:sz w:val="17"/>
                <w:lang w:val="es-ES_tradnl"/>
              </w:rPr>
              <w:t xml:space="preserve">Oficina de Propiedad Intelectual de la Unión Europea (EUIPO) </w:t>
            </w:r>
          </w:p>
        </w:tc>
      </w:tr>
      <w:tr w:rsidR="00C135EB" w:rsidRPr="002A4BDC" w14:paraId="6AEF6C80" w14:textId="77777777" w:rsidTr="00FD22C9">
        <w:trPr>
          <w:trHeight w:val="288"/>
        </w:trPr>
        <w:tc>
          <w:tcPr>
            <w:tcW w:w="1418" w:type="dxa"/>
          </w:tcPr>
          <w:p w14:paraId="79B6F8C3" w14:textId="77777777" w:rsidR="00C135EB" w:rsidRPr="002A4BDC" w:rsidRDefault="00C135EB" w:rsidP="00ED09A9">
            <w:pPr>
              <w:spacing w:after="0"/>
              <w:rPr>
                <w:rStyle w:val="text"/>
                <w:sz w:val="17"/>
                <w:szCs w:val="17"/>
                <w:lang w:val="es-ES_tradnl"/>
              </w:rPr>
            </w:pPr>
            <w:r w:rsidRPr="002A4BDC">
              <w:rPr>
                <w:rStyle w:val="text"/>
                <w:sz w:val="17"/>
                <w:lang w:val="es-ES_tradnl"/>
              </w:rPr>
              <w:t>EP</w:t>
            </w:r>
          </w:p>
        </w:tc>
        <w:tc>
          <w:tcPr>
            <w:tcW w:w="7687" w:type="dxa"/>
          </w:tcPr>
          <w:p w14:paraId="7B724C8B" w14:textId="36519849" w:rsidR="00C135EB" w:rsidRPr="002A4BDC" w:rsidRDefault="00C135EB" w:rsidP="00ED09A9">
            <w:pPr>
              <w:spacing w:after="0"/>
              <w:rPr>
                <w:rStyle w:val="text"/>
                <w:sz w:val="17"/>
                <w:szCs w:val="17"/>
                <w:lang w:val="es-ES_tradnl"/>
              </w:rPr>
            </w:pPr>
            <w:r w:rsidRPr="002A4BDC">
              <w:rPr>
                <w:rStyle w:val="text"/>
                <w:sz w:val="17"/>
                <w:lang w:val="es-ES_tradnl"/>
              </w:rPr>
              <w:t xml:space="preserve">Oficina Europea de Patentes (OEP) </w:t>
            </w:r>
          </w:p>
        </w:tc>
      </w:tr>
      <w:tr w:rsidR="00C135EB" w:rsidRPr="002A4BDC" w14:paraId="7A070593" w14:textId="77777777" w:rsidTr="00FD22C9">
        <w:trPr>
          <w:trHeight w:val="288"/>
        </w:trPr>
        <w:tc>
          <w:tcPr>
            <w:tcW w:w="1418" w:type="dxa"/>
          </w:tcPr>
          <w:p w14:paraId="7E225C03" w14:textId="77777777" w:rsidR="00C135EB" w:rsidRPr="002A4BDC" w:rsidRDefault="00C135EB" w:rsidP="00ED09A9">
            <w:pPr>
              <w:spacing w:after="0"/>
              <w:rPr>
                <w:rStyle w:val="text"/>
                <w:sz w:val="17"/>
                <w:szCs w:val="17"/>
                <w:lang w:val="es-ES_tradnl"/>
              </w:rPr>
            </w:pPr>
            <w:r w:rsidRPr="002A4BDC">
              <w:rPr>
                <w:rStyle w:val="text"/>
                <w:sz w:val="17"/>
                <w:lang w:val="es-ES_tradnl"/>
              </w:rPr>
              <w:t>ES</w:t>
            </w:r>
          </w:p>
        </w:tc>
        <w:tc>
          <w:tcPr>
            <w:tcW w:w="7687" w:type="dxa"/>
          </w:tcPr>
          <w:p w14:paraId="0730E67D" w14:textId="6F598731" w:rsidR="00C135EB" w:rsidRPr="002A4BDC" w:rsidRDefault="00C135EB" w:rsidP="00ED09A9">
            <w:pPr>
              <w:spacing w:after="0"/>
              <w:rPr>
                <w:rStyle w:val="text"/>
                <w:sz w:val="17"/>
                <w:szCs w:val="17"/>
                <w:lang w:val="es-ES_tradnl"/>
              </w:rPr>
            </w:pPr>
            <w:r w:rsidRPr="002A4BDC">
              <w:rPr>
                <w:rStyle w:val="text"/>
                <w:sz w:val="17"/>
                <w:lang w:val="es-ES_tradnl"/>
              </w:rPr>
              <w:t>España, Oficina Española de Patentes y Marcas (OEPM)</w:t>
            </w:r>
          </w:p>
        </w:tc>
      </w:tr>
      <w:tr w:rsidR="00C135EB" w:rsidRPr="002A4BDC" w14:paraId="3F949B5F" w14:textId="77777777" w:rsidTr="00FD22C9">
        <w:trPr>
          <w:trHeight w:val="288"/>
        </w:trPr>
        <w:tc>
          <w:tcPr>
            <w:tcW w:w="1418" w:type="dxa"/>
          </w:tcPr>
          <w:p w14:paraId="7A6DD322" w14:textId="77777777" w:rsidR="00C135EB" w:rsidRPr="002A4BDC" w:rsidRDefault="00C135EB" w:rsidP="00ED09A9">
            <w:pPr>
              <w:spacing w:after="0"/>
              <w:rPr>
                <w:rStyle w:val="text"/>
                <w:sz w:val="17"/>
                <w:szCs w:val="17"/>
                <w:lang w:val="es-ES_tradnl"/>
              </w:rPr>
            </w:pPr>
            <w:r w:rsidRPr="002A4BDC">
              <w:rPr>
                <w:rStyle w:val="text"/>
                <w:sz w:val="17"/>
                <w:lang w:val="es-ES_tradnl"/>
              </w:rPr>
              <w:t>FI</w:t>
            </w:r>
          </w:p>
        </w:tc>
        <w:tc>
          <w:tcPr>
            <w:tcW w:w="7687" w:type="dxa"/>
          </w:tcPr>
          <w:p w14:paraId="6249AD92" w14:textId="0214B467" w:rsidR="00C135EB" w:rsidRPr="002A4BDC" w:rsidRDefault="00C135EB" w:rsidP="00ED09A9">
            <w:pPr>
              <w:spacing w:after="0"/>
              <w:rPr>
                <w:rStyle w:val="text"/>
                <w:sz w:val="17"/>
                <w:szCs w:val="17"/>
                <w:lang w:val="es-ES_tradnl"/>
              </w:rPr>
            </w:pPr>
            <w:r w:rsidRPr="002A4BDC">
              <w:rPr>
                <w:rStyle w:val="text"/>
                <w:sz w:val="17"/>
                <w:lang w:val="es-ES_tradnl"/>
              </w:rPr>
              <w:t>Finlandia, Oficina de Patentes y Registro de Finlandia (PRH)</w:t>
            </w:r>
          </w:p>
        </w:tc>
      </w:tr>
      <w:tr w:rsidR="00C135EB" w:rsidRPr="002A4BDC" w14:paraId="5FDE3B45" w14:textId="77777777" w:rsidTr="00FD22C9">
        <w:trPr>
          <w:trHeight w:val="288"/>
        </w:trPr>
        <w:tc>
          <w:tcPr>
            <w:tcW w:w="1418" w:type="dxa"/>
          </w:tcPr>
          <w:p w14:paraId="4319637A" w14:textId="77777777" w:rsidR="00C135EB" w:rsidRPr="002A4BDC" w:rsidRDefault="00C135EB" w:rsidP="00ED09A9">
            <w:pPr>
              <w:spacing w:after="0"/>
              <w:rPr>
                <w:rStyle w:val="text"/>
                <w:sz w:val="17"/>
                <w:szCs w:val="17"/>
                <w:lang w:val="es-ES_tradnl"/>
              </w:rPr>
            </w:pPr>
            <w:r w:rsidRPr="002A4BDC">
              <w:rPr>
                <w:rStyle w:val="text"/>
                <w:sz w:val="17"/>
                <w:lang w:val="es-ES_tradnl"/>
              </w:rPr>
              <w:t>GM</w:t>
            </w:r>
          </w:p>
        </w:tc>
        <w:tc>
          <w:tcPr>
            <w:tcW w:w="7687" w:type="dxa"/>
          </w:tcPr>
          <w:p w14:paraId="400A229A" w14:textId="5C63F757" w:rsidR="00C135EB" w:rsidRPr="002A4BDC" w:rsidRDefault="00C135EB" w:rsidP="00ED09A9">
            <w:pPr>
              <w:spacing w:after="0"/>
              <w:rPr>
                <w:rStyle w:val="text"/>
                <w:sz w:val="17"/>
                <w:szCs w:val="17"/>
                <w:lang w:val="es-ES_tradnl"/>
              </w:rPr>
            </w:pPr>
            <w:r w:rsidRPr="002A4BDC">
              <w:rPr>
                <w:rStyle w:val="text"/>
                <w:sz w:val="17"/>
                <w:lang w:val="es-ES_tradnl"/>
              </w:rPr>
              <w:t>Gambia, Oficina de Propiedad Industrial de Gambia</w:t>
            </w:r>
          </w:p>
        </w:tc>
      </w:tr>
      <w:tr w:rsidR="00C135EB" w:rsidRPr="002A4BDC" w14:paraId="4D7C58D0" w14:textId="77777777" w:rsidTr="00FD22C9">
        <w:trPr>
          <w:trHeight w:val="288"/>
        </w:trPr>
        <w:tc>
          <w:tcPr>
            <w:tcW w:w="1418" w:type="dxa"/>
          </w:tcPr>
          <w:p w14:paraId="6B94B149" w14:textId="77777777" w:rsidR="00C135EB" w:rsidRPr="002A4BDC" w:rsidRDefault="00C135EB" w:rsidP="00ED09A9">
            <w:pPr>
              <w:spacing w:after="0"/>
              <w:rPr>
                <w:rStyle w:val="text"/>
                <w:sz w:val="17"/>
                <w:szCs w:val="17"/>
                <w:lang w:val="es-ES_tradnl"/>
              </w:rPr>
            </w:pPr>
            <w:r w:rsidRPr="002A4BDC">
              <w:rPr>
                <w:rStyle w:val="text"/>
                <w:sz w:val="17"/>
                <w:lang w:val="es-ES_tradnl"/>
              </w:rPr>
              <w:t>HR</w:t>
            </w:r>
          </w:p>
        </w:tc>
        <w:tc>
          <w:tcPr>
            <w:tcW w:w="7687" w:type="dxa"/>
          </w:tcPr>
          <w:p w14:paraId="42623AF3" w14:textId="623312C5" w:rsidR="00C135EB" w:rsidRPr="002A4BDC" w:rsidRDefault="00C135EB" w:rsidP="00ED09A9">
            <w:pPr>
              <w:spacing w:after="0"/>
              <w:rPr>
                <w:rStyle w:val="text"/>
                <w:sz w:val="17"/>
                <w:szCs w:val="17"/>
                <w:lang w:val="es-ES_tradnl"/>
              </w:rPr>
            </w:pPr>
            <w:r w:rsidRPr="002A4BDC">
              <w:rPr>
                <w:rStyle w:val="text"/>
                <w:sz w:val="17"/>
                <w:lang w:val="es-ES_tradnl"/>
              </w:rPr>
              <w:t>Croacia, Oficina Estatal de Propiedad Intelectual de la República de Croacia (SIPO)</w:t>
            </w:r>
          </w:p>
        </w:tc>
      </w:tr>
      <w:tr w:rsidR="00C135EB" w:rsidRPr="002A4BDC" w14:paraId="5657A17C" w14:textId="77777777" w:rsidTr="00FD22C9">
        <w:trPr>
          <w:trHeight w:val="288"/>
        </w:trPr>
        <w:tc>
          <w:tcPr>
            <w:tcW w:w="1418" w:type="dxa"/>
          </w:tcPr>
          <w:p w14:paraId="366809EA" w14:textId="77777777" w:rsidR="00C135EB" w:rsidRPr="002A4BDC" w:rsidRDefault="00C135EB" w:rsidP="00ED09A9">
            <w:pPr>
              <w:spacing w:after="0"/>
              <w:rPr>
                <w:rStyle w:val="text"/>
                <w:sz w:val="17"/>
                <w:szCs w:val="17"/>
                <w:lang w:val="es-ES_tradnl"/>
              </w:rPr>
            </w:pPr>
            <w:r w:rsidRPr="002A4BDC">
              <w:rPr>
                <w:rStyle w:val="text"/>
                <w:sz w:val="17"/>
                <w:lang w:val="es-ES_tradnl"/>
              </w:rPr>
              <w:t>IE</w:t>
            </w:r>
          </w:p>
        </w:tc>
        <w:tc>
          <w:tcPr>
            <w:tcW w:w="7687" w:type="dxa"/>
          </w:tcPr>
          <w:p w14:paraId="5051347E" w14:textId="4B2B9655" w:rsidR="00C135EB" w:rsidRPr="002A4BDC" w:rsidRDefault="00C135EB" w:rsidP="00ED09A9">
            <w:pPr>
              <w:spacing w:after="0"/>
              <w:rPr>
                <w:rStyle w:val="text"/>
                <w:sz w:val="17"/>
                <w:szCs w:val="17"/>
                <w:lang w:val="es-ES_tradnl"/>
              </w:rPr>
            </w:pPr>
            <w:r w:rsidRPr="002A4BDC">
              <w:rPr>
                <w:rStyle w:val="text"/>
                <w:sz w:val="17"/>
                <w:lang w:val="es-ES_tradnl"/>
              </w:rPr>
              <w:t>Irlanda, Oficina de Propiedad Intelectual de Irlanda (IPOI)</w:t>
            </w:r>
          </w:p>
        </w:tc>
      </w:tr>
      <w:tr w:rsidR="00C135EB" w:rsidRPr="002A4BDC" w14:paraId="3770D6E3" w14:textId="77777777" w:rsidTr="00FD22C9">
        <w:trPr>
          <w:trHeight w:val="288"/>
        </w:trPr>
        <w:tc>
          <w:tcPr>
            <w:tcW w:w="1418" w:type="dxa"/>
          </w:tcPr>
          <w:p w14:paraId="7ADAF878" w14:textId="77777777" w:rsidR="00C135EB" w:rsidRPr="002A4BDC" w:rsidRDefault="00C135EB" w:rsidP="00ED09A9">
            <w:pPr>
              <w:spacing w:after="0"/>
              <w:rPr>
                <w:rStyle w:val="text"/>
                <w:sz w:val="17"/>
                <w:szCs w:val="17"/>
                <w:lang w:val="es-ES_tradnl"/>
              </w:rPr>
            </w:pPr>
            <w:r w:rsidRPr="002A4BDC">
              <w:rPr>
                <w:rStyle w:val="text"/>
                <w:sz w:val="17"/>
                <w:lang w:val="es-ES_tradnl"/>
              </w:rPr>
              <w:t>IL</w:t>
            </w:r>
          </w:p>
        </w:tc>
        <w:tc>
          <w:tcPr>
            <w:tcW w:w="7687" w:type="dxa"/>
          </w:tcPr>
          <w:p w14:paraId="3D7B1F69" w14:textId="017A4812" w:rsidR="00C135EB" w:rsidRPr="002A4BDC" w:rsidRDefault="00C135EB" w:rsidP="00ED09A9">
            <w:pPr>
              <w:spacing w:after="0"/>
              <w:rPr>
                <w:rStyle w:val="text"/>
                <w:sz w:val="17"/>
                <w:szCs w:val="17"/>
                <w:lang w:val="es-ES_tradnl"/>
              </w:rPr>
            </w:pPr>
            <w:r w:rsidRPr="002A4BDC">
              <w:rPr>
                <w:rStyle w:val="text"/>
                <w:sz w:val="17"/>
                <w:lang w:val="es-ES_tradnl"/>
              </w:rPr>
              <w:t>Israel, Oficina de Patentes de Israel (ILPO)</w:t>
            </w:r>
          </w:p>
        </w:tc>
      </w:tr>
      <w:tr w:rsidR="00C135EB" w:rsidRPr="002A4BDC" w14:paraId="604192EB" w14:textId="77777777" w:rsidTr="00FD22C9">
        <w:trPr>
          <w:trHeight w:val="288"/>
        </w:trPr>
        <w:tc>
          <w:tcPr>
            <w:tcW w:w="1418" w:type="dxa"/>
          </w:tcPr>
          <w:p w14:paraId="7EF090D6" w14:textId="77777777" w:rsidR="00C135EB" w:rsidRPr="002A4BDC" w:rsidRDefault="00C135EB" w:rsidP="00ED09A9">
            <w:pPr>
              <w:spacing w:after="0"/>
              <w:rPr>
                <w:rStyle w:val="text"/>
                <w:sz w:val="17"/>
                <w:szCs w:val="17"/>
                <w:lang w:val="es-ES_tradnl"/>
              </w:rPr>
            </w:pPr>
            <w:r w:rsidRPr="002A4BDC">
              <w:rPr>
                <w:rStyle w:val="text"/>
                <w:sz w:val="17"/>
                <w:lang w:val="es-ES_tradnl"/>
              </w:rPr>
              <w:t>JP</w:t>
            </w:r>
          </w:p>
        </w:tc>
        <w:tc>
          <w:tcPr>
            <w:tcW w:w="7687" w:type="dxa"/>
          </w:tcPr>
          <w:p w14:paraId="6DF161CB" w14:textId="65E79CE1" w:rsidR="00C135EB" w:rsidRPr="002A4BDC" w:rsidRDefault="00C135EB" w:rsidP="00ED09A9">
            <w:pPr>
              <w:spacing w:after="0"/>
              <w:rPr>
                <w:rStyle w:val="text"/>
                <w:sz w:val="17"/>
                <w:szCs w:val="17"/>
                <w:lang w:val="es-ES_tradnl"/>
              </w:rPr>
            </w:pPr>
            <w:r w:rsidRPr="002A4BDC">
              <w:rPr>
                <w:rStyle w:val="text"/>
                <w:sz w:val="17"/>
                <w:lang w:val="es-ES_tradnl"/>
              </w:rPr>
              <w:t>Japón, Oficina Japonesa de Patentes (JPO)</w:t>
            </w:r>
          </w:p>
        </w:tc>
      </w:tr>
      <w:tr w:rsidR="00C135EB" w:rsidRPr="002A4BDC" w14:paraId="4C5EAEA0" w14:textId="77777777" w:rsidTr="00FD22C9">
        <w:trPr>
          <w:trHeight w:val="288"/>
        </w:trPr>
        <w:tc>
          <w:tcPr>
            <w:tcW w:w="1418" w:type="dxa"/>
          </w:tcPr>
          <w:p w14:paraId="4EAE2A0C" w14:textId="77777777" w:rsidR="00C135EB" w:rsidRPr="002A4BDC" w:rsidRDefault="00C135EB" w:rsidP="00ED09A9">
            <w:pPr>
              <w:spacing w:after="0"/>
              <w:rPr>
                <w:rStyle w:val="text"/>
                <w:sz w:val="17"/>
                <w:szCs w:val="17"/>
                <w:lang w:val="es-ES_tradnl"/>
              </w:rPr>
            </w:pPr>
            <w:r w:rsidRPr="002A4BDC">
              <w:rPr>
                <w:rStyle w:val="text"/>
                <w:sz w:val="17"/>
                <w:lang w:val="es-ES_tradnl"/>
              </w:rPr>
              <w:t>KG</w:t>
            </w:r>
          </w:p>
        </w:tc>
        <w:tc>
          <w:tcPr>
            <w:tcW w:w="7687" w:type="dxa"/>
          </w:tcPr>
          <w:p w14:paraId="0A8FDEB0" w14:textId="5B51A303" w:rsidR="00C135EB" w:rsidRPr="002A4BDC" w:rsidRDefault="00C135EB" w:rsidP="00ED09A9">
            <w:pPr>
              <w:spacing w:after="0"/>
              <w:rPr>
                <w:rStyle w:val="text"/>
                <w:sz w:val="17"/>
                <w:szCs w:val="17"/>
                <w:lang w:val="es-ES_tradnl"/>
              </w:rPr>
            </w:pPr>
            <w:r w:rsidRPr="002A4BDC">
              <w:rPr>
                <w:rStyle w:val="text"/>
                <w:sz w:val="17"/>
                <w:lang w:val="es-ES_tradnl"/>
              </w:rPr>
              <w:t>Kirguistán, Agencia Estatal de Propiedad Intelectual e Innovación (Kyrgyzpatent)</w:t>
            </w:r>
          </w:p>
        </w:tc>
      </w:tr>
      <w:tr w:rsidR="00C135EB" w:rsidRPr="002A4BDC" w14:paraId="44528D79" w14:textId="77777777" w:rsidTr="00FD22C9">
        <w:trPr>
          <w:trHeight w:val="288"/>
        </w:trPr>
        <w:tc>
          <w:tcPr>
            <w:tcW w:w="1418" w:type="dxa"/>
          </w:tcPr>
          <w:p w14:paraId="675DFBCD" w14:textId="77777777" w:rsidR="00C135EB" w:rsidRPr="002A4BDC" w:rsidRDefault="00C135EB" w:rsidP="00ED09A9">
            <w:pPr>
              <w:spacing w:after="0"/>
              <w:rPr>
                <w:rStyle w:val="text"/>
                <w:sz w:val="17"/>
                <w:szCs w:val="17"/>
                <w:lang w:val="es-ES_tradnl"/>
              </w:rPr>
            </w:pPr>
            <w:r w:rsidRPr="002A4BDC">
              <w:rPr>
                <w:rStyle w:val="text"/>
                <w:sz w:val="17"/>
                <w:lang w:val="es-ES_tradnl"/>
              </w:rPr>
              <w:t>NO</w:t>
            </w:r>
          </w:p>
        </w:tc>
        <w:tc>
          <w:tcPr>
            <w:tcW w:w="7687" w:type="dxa"/>
          </w:tcPr>
          <w:p w14:paraId="1B91D2D9" w14:textId="2D957FB9" w:rsidR="00C135EB" w:rsidRPr="002A4BDC" w:rsidRDefault="00C135EB" w:rsidP="00ED09A9">
            <w:pPr>
              <w:spacing w:after="0"/>
              <w:rPr>
                <w:rStyle w:val="text"/>
                <w:sz w:val="17"/>
                <w:szCs w:val="17"/>
                <w:lang w:val="es-ES_tradnl"/>
              </w:rPr>
            </w:pPr>
            <w:r w:rsidRPr="002A4BDC">
              <w:rPr>
                <w:rStyle w:val="text"/>
                <w:sz w:val="17"/>
                <w:lang w:val="es-ES_tradnl"/>
              </w:rPr>
              <w:t>Noruega, Oficina de la Propiedad Industrial de Noruega (NIPO)</w:t>
            </w:r>
          </w:p>
        </w:tc>
      </w:tr>
      <w:tr w:rsidR="00C135EB" w:rsidRPr="002A4BDC" w14:paraId="281F2D5B" w14:textId="77777777" w:rsidTr="00FD22C9">
        <w:trPr>
          <w:trHeight w:val="288"/>
        </w:trPr>
        <w:tc>
          <w:tcPr>
            <w:tcW w:w="1418" w:type="dxa"/>
          </w:tcPr>
          <w:p w14:paraId="2E0A2F1A" w14:textId="77777777" w:rsidR="00C135EB" w:rsidRPr="002A4BDC" w:rsidRDefault="00C135EB" w:rsidP="00ED09A9">
            <w:pPr>
              <w:spacing w:after="0"/>
              <w:rPr>
                <w:rStyle w:val="text"/>
                <w:sz w:val="17"/>
                <w:szCs w:val="17"/>
                <w:lang w:val="es-ES_tradnl"/>
              </w:rPr>
            </w:pPr>
            <w:r w:rsidRPr="002A4BDC">
              <w:rPr>
                <w:rStyle w:val="text"/>
                <w:sz w:val="17"/>
                <w:lang w:val="es-ES_tradnl"/>
              </w:rPr>
              <w:t>PE</w:t>
            </w:r>
          </w:p>
        </w:tc>
        <w:tc>
          <w:tcPr>
            <w:tcW w:w="7687" w:type="dxa"/>
          </w:tcPr>
          <w:p w14:paraId="57BDD19C" w14:textId="5ADB63EE" w:rsidR="00C135EB" w:rsidRPr="002A4BDC" w:rsidRDefault="00C135EB" w:rsidP="00ED09A9">
            <w:pPr>
              <w:spacing w:after="0"/>
              <w:rPr>
                <w:rStyle w:val="text"/>
                <w:sz w:val="17"/>
                <w:szCs w:val="17"/>
                <w:lang w:val="es-ES_tradnl"/>
              </w:rPr>
            </w:pPr>
            <w:r w:rsidRPr="002A4BDC">
              <w:rPr>
                <w:rStyle w:val="text"/>
                <w:sz w:val="17"/>
                <w:lang w:val="es-ES_tradnl"/>
              </w:rPr>
              <w:t>Perú, Instituto Nacional de Defensa de la Competencia y de la Protección de la Propiedad Intelectual (Indecopi)</w:t>
            </w:r>
          </w:p>
        </w:tc>
      </w:tr>
      <w:tr w:rsidR="00C135EB" w:rsidRPr="002A4BDC" w14:paraId="2BE0C8FA" w14:textId="77777777" w:rsidTr="00FD22C9">
        <w:trPr>
          <w:trHeight w:val="288"/>
        </w:trPr>
        <w:tc>
          <w:tcPr>
            <w:tcW w:w="1418" w:type="dxa"/>
          </w:tcPr>
          <w:p w14:paraId="4F1BD42C" w14:textId="77777777" w:rsidR="00C135EB" w:rsidRPr="002A4BDC" w:rsidRDefault="00C135EB" w:rsidP="00ED09A9">
            <w:pPr>
              <w:spacing w:after="0"/>
              <w:rPr>
                <w:rStyle w:val="text"/>
                <w:sz w:val="17"/>
                <w:szCs w:val="17"/>
                <w:lang w:val="es-ES_tradnl"/>
              </w:rPr>
            </w:pPr>
            <w:r w:rsidRPr="002A4BDC">
              <w:rPr>
                <w:rStyle w:val="text"/>
                <w:sz w:val="17"/>
                <w:lang w:val="es-ES_tradnl"/>
              </w:rPr>
              <w:t>PL</w:t>
            </w:r>
          </w:p>
        </w:tc>
        <w:tc>
          <w:tcPr>
            <w:tcW w:w="7687" w:type="dxa"/>
          </w:tcPr>
          <w:p w14:paraId="79A78D33" w14:textId="449D1FD7" w:rsidR="00C135EB" w:rsidRPr="002A4BDC" w:rsidRDefault="00C135EB" w:rsidP="00ED09A9">
            <w:pPr>
              <w:spacing w:after="0"/>
              <w:rPr>
                <w:rStyle w:val="text"/>
                <w:sz w:val="17"/>
                <w:szCs w:val="17"/>
                <w:lang w:val="es-ES_tradnl"/>
              </w:rPr>
            </w:pPr>
            <w:r w:rsidRPr="002A4BDC">
              <w:rPr>
                <w:rStyle w:val="text"/>
                <w:sz w:val="17"/>
                <w:lang w:val="es-ES_tradnl"/>
              </w:rPr>
              <w:t>Polonia, Oficina Polaca de Patentes</w:t>
            </w:r>
          </w:p>
        </w:tc>
      </w:tr>
      <w:tr w:rsidR="00C135EB" w:rsidRPr="002A4BDC" w14:paraId="2EE6B3DE" w14:textId="77777777" w:rsidTr="00FD22C9">
        <w:trPr>
          <w:trHeight w:val="288"/>
        </w:trPr>
        <w:tc>
          <w:tcPr>
            <w:tcW w:w="1418" w:type="dxa"/>
          </w:tcPr>
          <w:p w14:paraId="698AE494" w14:textId="77777777" w:rsidR="00C135EB" w:rsidRPr="002A4BDC" w:rsidRDefault="00C135EB" w:rsidP="00ED09A9">
            <w:pPr>
              <w:spacing w:after="0"/>
              <w:rPr>
                <w:rStyle w:val="text"/>
                <w:sz w:val="17"/>
                <w:szCs w:val="17"/>
                <w:lang w:val="es-ES_tradnl"/>
              </w:rPr>
            </w:pPr>
            <w:r w:rsidRPr="002A4BDC">
              <w:rPr>
                <w:rStyle w:val="text"/>
                <w:sz w:val="17"/>
                <w:lang w:val="es-ES_tradnl"/>
              </w:rPr>
              <w:t>PY</w:t>
            </w:r>
          </w:p>
        </w:tc>
        <w:tc>
          <w:tcPr>
            <w:tcW w:w="7687" w:type="dxa"/>
          </w:tcPr>
          <w:p w14:paraId="106FDFBB" w14:textId="4B20CE74" w:rsidR="00C135EB" w:rsidRPr="002A4BDC" w:rsidRDefault="00C135EB" w:rsidP="00ED09A9">
            <w:pPr>
              <w:spacing w:after="0"/>
              <w:rPr>
                <w:rStyle w:val="text"/>
                <w:sz w:val="17"/>
                <w:szCs w:val="17"/>
                <w:lang w:val="es-ES_tradnl"/>
              </w:rPr>
            </w:pPr>
            <w:r w:rsidRPr="002A4BDC">
              <w:rPr>
                <w:rStyle w:val="text"/>
                <w:sz w:val="17"/>
                <w:lang w:val="es-ES_tradnl"/>
              </w:rPr>
              <w:t>Paraguay, Dirección Nacional de Propiedad Intelectual (DINAPI)</w:t>
            </w:r>
          </w:p>
        </w:tc>
      </w:tr>
      <w:tr w:rsidR="00C135EB" w:rsidRPr="002A4BDC" w14:paraId="42703A89" w14:textId="77777777" w:rsidTr="00FD22C9">
        <w:trPr>
          <w:trHeight w:val="288"/>
        </w:trPr>
        <w:tc>
          <w:tcPr>
            <w:tcW w:w="1418" w:type="dxa"/>
          </w:tcPr>
          <w:p w14:paraId="638F288F" w14:textId="77777777" w:rsidR="00C135EB" w:rsidRPr="002A4BDC" w:rsidRDefault="00C135EB" w:rsidP="00ED09A9">
            <w:pPr>
              <w:spacing w:after="0"/>
              <w:rPr>
                <w:rStyle w:val="text"/>
                <w:sz w:val="17"/>
                <w:szCs w:val="17"/>
                <w:lang w:val="es-ES_tradnl"/>
              </w:rPr>
            </w:pPr>
            <w:r w:rsidRPr="002A4BDC">
              <w:rPr>
                <w:rStyle w:val="text"/>
                <w:sz w:val="17"/>
                <w:lang w:val="es-ES_tradnl"/>
              </w:rPr>
              <w:t>RU</w:t>
            </w:r>
          </w:p>
        </w:tc>
        <w:tc>
          <w:tcPr>
            <w:tcW w:w="7687" w:type="dxa"/>
          </w:tcPr>
          <w:p w14:paraId="0613D8C9" w14:textId="0C5E552A" w:rsidR="00C135EB" w:rsidRPr="002A4BDC" w:rsidRDefault="00C135EB" w:rsidP="00ED09A9">
            <w:pPr>
              <w:spacing w:after="0"/>
              <w:rPr>
                <w:rStyle w:val="text"/>
                <w:sz w:val="17"/>
                <w:szCs w:val="17"/>
                <w:lang w:val="es-ES_tradnl"/>
              </w:rPr>
            </w:pPr>
            <w:r w:rsidRPr="002A4BDC">
              <w:rPr>
                <w:rStyle w:val="text"/>
                <w:sz w:val="17"/>
                <w:lang w:val="es-ES_tradnl"/>
              </w:rPr>
              <w:t>Federación Rusa, Instituto Federal de Propiedad Industrial (FIPS) del Servicio Federal de la Propiedad Intelectual (Rospatent)</w:t>
            </w:r>
          </w:p>
        </w:tc>
      </w:tr>
      <w:tr w:rsidR="00C135EB" w:rsidRPr="002A4BDC" w14:paraId="78C02CE3" w14:textId="77777777" w:rsidTr="00FD22C9">
        <w:trPr>
          <w:trHeight w:val="288"/>
        </w:trPr>
        <w:tc>
          <w:tcPr>
            <w:tcW w:w="1418" w:type="dxa"/>
          </w:tcPr>
          <w:p w14:paraId="6682775A" w14:textId="77777777" w:rsidR="00C135EB" w:rsidRPr="002A4BDC" w:rsidRDefault="00C135EB" w:rsidP="00ED09A9">
            <w:pPr>
              <w:spacing w:after="0"/>
              <w:rPr>
                <w:rStyle w:val="text"/>
                <w:sz w:val="17"/>
                <w:szCs w:val="17"/>
                <w:lang w:val="es-ES_tradnl"/>
              </w:rPr>
            </w:pPr>
            <w:r w:rsidRPr="002A4BDC">
              <w:rPr>
                <w:rStyle w:val="text"/>
                <w:sz w:val="17"/>
                <w:lang w:val="es-ES_tradnl"/>
              </w:rPr>
              <w:t>US</w:t>
            </w:r>
          </w:p>
        </w:tc>
        <w:tc>
          <w:tcPr>
            <w:tcW w:w="7687" w:type="dxa"/>
          </w:tcPr>
          <w:p w14:paraId="3629B2E1" w14:textId="19F5F1B8" w:rsidR="00C135EB" w:rsidRPr="002A4BDC" w:rsidRDefault="00C135EB" w:rsidP="00ED09A9">
            <w:pPr>
              <w:spacing w:after="0"/>
              <w:rPr>
                <w:rStyle w:val="text"/>
                <w:sz w:val="17"/>
                <w:szCs w:val="17"/>
                <w:lang w:val="es-ES_tradnl"/>
              </w:rPr>
            </w:pPr>
            <w:r w:rsidRPr="002A4BDC">
              <w:rPr>
                <w:rStyle w:val="text"/>
                <w:sz w:val="17"/>
                <w:lang w:val="es-ES_tradnl"/>
              </w:rPr>
              <w:t>Estados Unidos de América, Oficina de Patentes y Marcas de los Estados Unidos de América (USPTO)</w:t>
            </w:r>
          </w:p>
        </w:tc>
      </w:tr>
    </w:tbl>
    <w:p w14:paraId="36BCC865" w14:textId="77777777" w:rsidR="00A10BF7" w:rsidRPr="002A4BDC" w:rsidRDefault="00A10BF7">
      <w:pPr>
        <w:rPr>
          <w:rFonts w:asciiTheme="minorBidi" w:hAnsiTheme="minorBidi" w:cstheme="minorBidi"/>
          <w:lang w:val="es-ES_tradnl"/>
        </w:rPr>
        <w:sectPr w:rsidR="00A10BF7" w:rsidRPr="002A4BDC" w:rsidSect="00A067F0">
          <w:headerReference w:type="default" r:id="rId13"/>
          <w:headerReference w:type="first" r:id="rId14"/>
          <w:pgSz w:w="11905" w:h="16837"/>
          <w:pgMar w:top="1440" w:right="1440" w:bottom="1440" w:left="1440" w:header="720" w:footer="720" w:gutter="0"/>
          <w:cols w:space="720"/>
          <w:titlePg/>
          <w:docGrid w:linePitch="272"/>
        </w:sectPr>
      </w:pPr>
    </w:p>
    <w:bookmarkStart w:id="2" w:name="_Toc5"/>
    <w:p w14:paraId="26512593" w14:textId="29ED8910" w:rsidR="00A10BF7" w:rsidRPr="002A4BDC" w:rsidRDefault="00F01C34" w:rsidP="002A4BDC">
      <w:pPr>
        <w:pStyle w:val="headingsubHeader"/>
        <w:tabs>
          <w:tab w:val="left" w:pos="567"/>
        </w:tabs>
        <w:rPr>
          <w:lang w:val="es-ES_tradnl"/>
        </w:rPr>
      </w:pPr>
      <w:r w:rsidRPr="002A4BDC">
        <w:rPr>
          <w:lang w:val="es-ES_tradnl"/>
        </w:rPr>
        <w:lastRenderedPageBreak/>
        <w:fldChar w:fldCharType="begin"/>
      </w:r>
      <w:r w:rsidRPr="002A4BDC">
        <w:rPr>
          <w:lang w:val="es-ES_tradnl"/>
        </w:rPr>
        <w:instrText xml:space="preserve"> AUTONUM  </w:instrText>
      </w:r>
      <w:r w:rsidRPr="002A4BDC">
        <w:rPr>
          <w:lang w:val="es-ES_tradnl"/>
        </w:rPr>
        <w:fldChar w:fldCharType="end"/>
      </w:r>
      <w:r w:rsidRPr="002A4BDC">
        <w:rPr>
          <w:lang w:val="es-ES_tradnl"/>
        </w:rPr>
        <w:tab/>
        <w:t>Seleccione el nivel actual de aplicación de cada recomendación por parte de su Oficina.</w:t>
      </w:r>
      <w:r w:rsidR="003A2C82" w:rsidRPr="002A4BDC">
        <w:rPr>
          <w:lang w:val="es-ES_tradnl"/>
        </w:rPr>
        <w:t xml:space="preserve"> </w:t>
      </w:r>
      <w:r w:rsidRPr="002A4BDC">
        <w:rPr>
          <w:lang w:val="es-ES_tradnl"/>
        </w:rPr>
        <w:t>Tenga en cuenta que puede elegir la opción "Aplicada" cuando su Oficina haya aplicado todas las medidas que tenía previstas en relación con esa recomendación.</w:t>
      </w:r>
      <w:r w:rsidR="003A2C82" w:rsidRPr="002A4BDC">
        <w:rPr>
          <w:lang w:val="es-ES_tradnl"/>
        </w:rPr>
        <w:t xml:space="preserve"> </w:t>
      </w:r>
      <w:r w:rsidRPr="002A4BDC">
        <w:rPr>
          <w:lang w:val="es-ES_tradnl"/>
        </w:rPr>
        <w:t>No significa que su Oficina haya aplicado todas las "Medidas recomendadas" para esa recomendación.</w:t>
      </w:r>
      <w:bookmarkEnd w:id="2"/>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1170"/>
        <w:gridCol w:w="1800"/>
        <w:gridCol w:w="1620"/>
        <w:gridCol w:w="1530"/>
        <w:gridCol w:w="990"/>
        <w:gridCol w:w="1170"/>
      </w:tblGrid>
      <w:tr w:rsidR="001048D2" w:rsidRPr="002A4BDC" w14:paraId="1347F91F" w14:textId="77777777" w:rsidTr="0051640A">
        <w:trPr>
          <w:trHeight w:val="619"/>
        </w:trPr>
        <w:tc>
          <w:tcPr>
            <w:tcW w:w="715" w:type="dxa"/>
            <w:tcBorders>
              <w:bottom w:val="single" w:sz="6" w:space="0" w:color="EEECE1" w:themeColor="background2"/>
            </w:tcBorders>
            <w:vAlign w:val="center"/>
          </w:tcPr>
          <w:p w14:paraId="7CE8AEB7" w14:textId="77777777" w:rsidR="006E3D55" w:rsidRPr="002A4BDC" w:rsidRDefault="006E3D55" w:rsidP="005920AB">
            <w:pPr>
              <w:pStyle w:val="headingsubHeader"/>
              <w:rPr>
                <w:b w:val="0"/>
                <w:bCs w:val="0"/>
                <w:color w:val="595959" w:themeColor="text1" w:themeTint="A6"/>
                <w:sz w:val="14"/>
                <w:szCs w:val="14"/>
                <w:lang w:val="es-ES_tradnl"/>
              </w:rPr>
            </w:pPr>
          </w:p>
        </w:tc>
        <w:tc>
          <w:tcPr>
            <w:tcW w:w="1170" w:type="dxa"/>
            <w:tcBorders>
              <w:bottom w:val="single" w:sz="6" w:space="0" w:color="EEECE1" w:themeColor="background2"/>
            </w:tcBorders>
            <w:vAlign w:val="bottom"/>
          </w:tcPr>
          <w:p w14:paraId="0583AFB9" w14:textId="34B6BE5B" w:rsidR="006E3D55" w:rsidRPr="002A4BDC" w:rsidRDefault="006E3D55" w:rsidP="005920AB">
            <w:pPr>
              <w:pStyle w:val="headingsubHeader"/>
              <w:spacing w:after="120"/>
              <w:rPr>
                <w:rFonts w:ascii="Calibri Light" w:hAnsi="Calibri Light" w:cs="Calibri Light"/>
                <w:color w:val="000000" w:themeColor="text1"/>
                <w:sz w:val="16"/>
                <w:szCs w:val="16"/>
                <w:lang w:val="es-ES_tradnl"/>
              </w:rPr>
            </w:pPr>
            <w:r w:rsidRPr="002A4BDC">
              <w:rPr>
                <w:rFonts w:ascii="Calibri Light" w:hAnsi="Calibri Light" w:cs="Calibri Light"/>
                <w:color w:val="000000" w:themeColor="text1"/>
                <w:sz w:val="16"/>
                <w:szCs w:val="16"/>
                <w:lang w:val="es-ES_tradnl"/>
              </w:rPr>
              <w:t>Aplicada</w:t>
            </w:r>
          </w:p>
        </w:tc>
        <w:tc>
          <w:tcPr>
            <w:tcW w:w="1800" w:type="dxa"/>
            <w:tcBorders>
              <w:bottom w:val="single" w:sz="6" w:space="0" w:color="EEECE1" w:themeColor="background2"/>
            </w:tcBorders>
            <w:vAlign w:val="bottom"/>
          </w:tcPr>
          <w:p w14:paraId="27F90ED2" w14:textId="793FEA4C" w:rsidR="006E3D55" w:rsidRPr="002A4BDC" w:rsidRDefault="006E3D55" w:rsidP="005920AB">
            <w:pPr>
              <w:pStyle w:val="headingsubHeader"/>
              <w:spacing w:after="120"/>
              <w:rPr>
                <w:rFonts w:ascii="Calibri Light" w:hAnsi="Calibri Light" w:cs="Calibri Light"/>
                <w:color w:val="000000" w:themeColor="text1"/>
                <w:sz w:val="16"/>
                <w:szCs w:val="16"/>
                <w:lang w:val="es-ES_tradnl"/>
              </w:rPr>
            </w:pPr>
            <w:r w:rsidRPr="002A4BDC">
              <w:rPr>
                <w:rFonts w:ascii="Calibri Light" w:hAnsi="Calibri Light" w:cs="Calibri Light"/>
                <w:color w:val="000000" w:themeColor="text1"/>
                <w:sz w:val="16"/>
                <w:szCs w:val="16"/>
                <w:lang w:val="es-ES_tradnl"/>
              </w:rPr>
              <w:t xml:space="preserve">Aplicación </w:t>
            </w:r>
            <w:r w:rsidRPr="002A4BDC">
              <w:rPr>
                <w:rFonts w:ascii="Calibri Light" w:hAnsi="Calibri Light" w:cs="Calibri Light"/>
                <w:color w:val="000000" w:themeColor="text1"/>
                <w:sz w:val="16"/>
                <w:szCs w:val="16"/>
                <w:lang w:val="es-ES_tradnl"/>
              </w:rPr>
              <w:br/>
              <w:t>en curso</w:t>
            </w:r>
          </w:p>
        </w:tc>
        <w:tc>
          <w:tcPr>
            <w:tcW w:w="1620" w:type="dxa"/>
            <w:tcBorders>
              <w:bottom w:val="single" w:sz="6" w:space="0" w:color="EEECE1" w:themeColor="background2"/>
            </w:tcBorders>
            <w:vAlign w:val="bottom"/>
          </w:tcPr>
          <w:p w14:paraId="18BA5420" w14:textId="4A3E8AE1" w:rsidR="006E3D55" w:rsidRPr="002A4BDC" w:rsidRDefault="008624A9" w:rsidP="005920AB">
            <w:pPr>
              <w:pStyle w:val="headingsubHeader"/>
              <w:spacing w:after="120"/>
              <w:rPr>
                <w:rFonts w:ascii="Calibri Light" w:hAnsi="Calibri Light" w:cs="Calibri Light"/>
                <w:color w:val="000000" w:themeColor="text1"/>
                <w:sz w:val="16"/>
                <w:szCs w:val="16"/>
                <w:lang w:val="es-ES_tradnl"/>
              </w:rPr>
            </w:pPr>
            <w:r w:rsidRPr="002A4BDC">
              <w:rPr>
                <w:rFonts w:ascii="Calibri Light" w:hAnsi="Calibri Light" w:cs="Calibri Light"/>
                <w:color w:val="000000" w:themeColor="text1"/>
                <w:sz w:val="16"/>
                <w:szCs w:val="16"/>
                <w:lang w:val="es-ES_tradnl"/>
              </w:rPr>
              <w:t xml:space="preserve">Se tomó la decisión de aplicarla </w:t>
            </w:r>
          </w:p>
        </w:tc>
        <w:tc>
          <w:tcPr>
            <w:tcW w:w="1530" w:type="dxa"/>
            <w:tcBorders>
              <w:bottom w:val="single" w:sz="6" w:space="0" w:color="EEECE1" w:themeColor="background2"/>
            </w:tcBorders>
            <w:vAlign w:val="bottom"/>
          </w:tcPr>
          <w:p w14:paraId="3F3A0E31" w14:textId="6758B8F8" w:rsidR="006E3D55" w:rsidRPr="002A4BDC" w:rsidRDefault="008624A9" w:rsidP="005920AB">
            <w:pPr>
              <w:pStyle w:val="headingsubHeader"/>
              <w:spacing w:after="120"/>
              <w:rPr>
                <w:rFonts w:ascii="Calibri Light" w:hAnsi="Calibri Light" w:cs="Calibri Light"/>
                <w:color w:val="000000" w:themeColor="text1"/>
                <w:sz w:val="16"/>
                <w:szCs w:val="16"/>
                <w:lang w:val="es-ES_tradnl"/>
              </w:rPr>
            </w:pPr>
            <w:r w:rsidRPr="002A4BDC">
              <w:rPr>
                <w:rFonts w:ascii="Calibri Light" w:hAnsi="Calibri Light" w:cs="Calibri Light"/>
                <w:color w:val="000000" w:themeColor="text1"/>
                <w:sz w:val="16"/>
                <w:szCs w:val="16"/>
                <w:lang w:val="es-ES_tradnl"/>
              </w:rPr>
              <w:t>En examen</w:t>
            </w:r>
          </w:p>
        </w:tc>
        <w:tc>
          <w:tcPr>
            <w:tcW w:w="990" w:type="dxa"/>
            <w:tcBorders>
              <w:bottom w:val="single" w:sz="6" w:space="0" w:color="EEECE1" w:themeColor="background2"/>
            </w:tcBorders>
            <w:vAlign w:val="bottom"/>
          </w:tcPr>
          <w:p w14:paraId="313F3AFA" w14:textId="4EB54B1F" w:rsidR="006E3D55" w:rsidRPr="002A4BDC" w:rsidRDefault="006E3D55" w:rsidP="005920AB">
            <w:pPr>
              <w:pStyle w:val="headingsubHeader"/>
              <w:spacing w:after="120"/>
              <w:rPr>
                <w:rFonts w:ascii="Calibri Light" w:hAnsi="Calibri Light" w:cs="Calibri Light"/>
                <w:color w:val="000000" w:themeColor="text1"/>
                <w:sz w:val="16"/>
                <w:szCs w:val="16"/>
                <w:lang w:val="es-ES_tradnl"/>
              </w:rPr>
            </w:pPr>
            <w:r w:rsidRPr="002A4BDC">
              <w:rPr>
                <w:rFonts w:ascii="Calibri Light" w:hAnsi="Calibri Light" w:cs="Calibri Light"/>
                <w:color w:val="000000" w:themeColor="text1"/>
                <w:sz w:val="16"/>
                <w:szCs w:val="16"/>
                <w:lang w:val="es-ES_tradnl"/>
              </w:rPr>
              <w:t>No</w:t>
            </w:r>
            <w:r w:rsidRPr="002A4BDC">
              <w:rPr>
                <w:rFonts w:ascii="Calibri Light" w:hAnsi="Calibri Light" w:cs="Calibri Light"/>
                <w:color w:val="000000" w:themeColor="text1"/>
                <w:sz w:val="16"/>
                <w:szCs w:val="16"/>
                <w:lang w:val="es-ES_tradnl"/>
              </w:rPr>
              <w:br/>
            </w:r>
            <w:r w:rsidR="008624A9" w:rsidRPr="002A4BDC">
              <w:rPr>
                <w:rFonts w:ascii="Calibri Light" w:hAnsi="Calibri Light" w:cs="Calibri Light"/>
                <w:color w:val="000000" w:themeColor="text1"/>
                <w:sz w:val="16"/>
                <w:szCs w:val="16"/>
                <w:lang w:val="es-ES_tradnl"/>
              </w:rPr>
              <w:t>Prevista</w:t>
            </w:r>
          </w:p>
        </w:tc>
        <w:tc>
          <w:tcPr>
            <w:tcW w:w="1170" w:type="dxa"/>
            <w:tcBorders>
              <w:bottom w:val="single" w:sz="6" w:space="0" w:color="EEECE1" w:themeColor="background2"/>
            </w:tcBorders>
            <w:vAlign w:val="bottom"/>
          </w:tcPr>
          <w:p w14:paraId="61C6661B" w14:textId="394308B7" w:rsidR="006E3D55" w:rsidRPr="002A4BDC" w:rsidRDefault="006E3D55" w:rsidP="005920AB">
            <w:pPr>
              <w:pStyle w:val="headingsubHeader"/>
              <w:spacing w:after="120"/>
              <w:rPr>
                <w:rFonts w:ascii="Calibri Light" w:hAnsi="Calibri Light" w:cs="Calibri Light"/>
                <w:color w:val="000000" w:themeColor="text1"/>
                <w:sz w:val="16"/>
                <w:szCs w:val="16"/>
                <w:lang w:val="es-ES_tradnl"/>
              </w:rPr>
            </w:pPr>
            <w:r w:rsidRPr="002A4BDC">
              <w:rPr>
                <w:rFonts w:ascii="Calibri Light" w:hAnsi="Calibri Light" w:cs="Calibri Light"/>
                <w:color w:val="000000" w:themeColor="text1"/>
                <w:sz w:val="16"/>
                <w:szCs w:val="16"/>
                <w:lang w:val="es-ES_tradnl"/>
              </w:rPr>
              <w:t>Respuestas</w:t>
            </w:r>
          </w:p>
        </w:tc>
      </w:tr>
      <w:tr w:rsidR="001048D2" w:rsidRPr="002A4BDC" w14:paraId="788BD91E" w14:textId="77777777" w:rsidTr="0051640A">
        <w:trPr>
          <w:trHeight w:val="634"/>
        </w:trPr>
        <w:tc>
          <w:tcPr>
            <w:tcW w:w="715" w:type="dxa"/>
            <w:tcBorders>
              <w:top w:val="single" w:sz="6" w:space="0" w:color="EEECE1" w:themeColor="background2"/>
              <w:bottom w:val="single" w:sz="6" w:space="0" w:color="EEECE1" w:themeColor="background2"/>
            </w:tcBorders>
            <w:vAlign w:val="center"/>
          </w:tcPr>
          <w:p w14:paraId="7D48C6EF" w14:textId="58641243"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1</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restart"/>
            <w:tcBorders>
              <w:top w:val="single" w:sz="6" w:space="0" w:color="EEECE1" w:themeColor="background2"/>
            </w:tcBorders>
            <w:vAlign w:val="center"/>
          </w:tcPr>
          <w:p w14:paraId="765D68D6" w14:textId="4A561D99" w:rsidR="006E3D55" w:rsidRPr="002A4BDC" w:rsidRDefault="006E3D55" w:rsidP="005920AB">
            <w:pPr>
              <w:pStyle w:val="headingsubHeader"/>
              <w:ind w:left="-110"/>
              <w:rPr>
                <w:b w:val="0"/>
                <w:bCs w:val="0"/>
                <w:color w:val="595959" w:themeColor="text1" w:themeTint="A6"/>
                <w:sz w:val="14"/>
                <w:szCs w:val="14"/>
                <w:lang w:val="es-ES_tradnl"/>
              </w:rPr>
            </w:pPr>
            <w:r w:rsidRPr="002A4BDC">
              <w:rPr>
                <w:b w:val="0"/>
                <w:bCs w:val="0"/>
                <w:noProof/>
                <w:color w:val="595959" w:themeColor="text1" w:themeTint="A6"/>
                <w:sz w:val="14"/>
                <w:szCs w:val="14"/>
                <w:lang w:val="es-ES_tradnl"/>
              </w:rPr>
              <w:drawing>
                <wp:inline distT="0" distB="0" distL="0" distR="0" wp14:anchorId="64BA4029" wp14:editId="6247DBBB">
                  <wp:extent cx="5198693" cy="4134679"/>
                  <wp:effectExtent l="0" t="0" r="2540" b="0"/>
                  <wp:docPr id="828337922" name="Picture 1" descr="10 recomendaciones en materia de TIC para las oficinas de PI, nivel de apl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227283" name="Picture 1" descr="10 ICT Recommendations for IP Offices, level of implementation"/>
                          <pic:cNvPicPr/>
                        </pic:nvPicPr>
                        <pic:blipFill rotWithShape="1">
                          <a:blip r:embed="rId15">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rcRect l="7948" t="9423" r="1288" b="7159"/>
                          <a:stretch>
                            <a:fillRect/>
                          </a:stretch>
                        </pic:blipFill>
                        <pic:spPr bwMode="auto">
                          <a:xfrm>
                            <a:off x="0" y="0"/>
                            <a:ext cx="5198693" cy="4134679"/>
                          </a:xfrm>
                          <a:prstGeom prst="rect">
                            <a:avLst/>
                          </a:prstGeom>
                          <a:ln>
                            <a:noFill/>
                          </a:ln>
                          <a:extLst>
                            <a:ext uri="{53640926-AAD7-44D8-BBD7-CCE9431645EC}">
                              <a14:shadowObscured xmlns:a14="http://schemas.microsoft.com/office/drawing/2010/main"/>
                            </a:ext>
                          </a:extLst>
                        </pic:spPr>
                      </pic:pic>
                    </a:graphicData>
                  </a:graphic>
                </wp:inline>
              </w:drawing>
            </w:r>
          </w:p>
        </w:tc>
      </w:tr>
      <w:tr w:rsidR="001048D2" w:rsidRPr="002A4BDC" w14:paraId="55127262" w14:textId="77777777" w:rsidTr="001048D2">
        <w:trPr>
          <w:trHeight w:val="634"/>
        </w:trPr>
        <w:tc>
          <w:tcPr>
            <w:tcW w:w="715" w:type="dxa"/>
            <w:tcBorders>
              <w:top w:val="single" w:sz="6" w:space="0" w:color="EEECE1" w:themeColor="background2"/>
              <w:bottom w:val="single" w:sz="6" w:space="0" w:color="EEECE1" w:themeColor="background2"/>
            </w:tcBorders>
            <w:vAlign w:val="center"/>
          </w:tcPr>
          <w:p w14:paraId="401BE600" w14:textId="4F5B5BFB"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2</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ign w:val="center"/>
          </w:tcPr>
          <w:p w14:paraId="46B62767" w14:textId="77777777" w:rsidR="006E3D55" w:rsidRPr="002A4BDC" w:rsidRDefault="006E3D55" w:rsidP="005920AB">
            <w:pPr>
              <w:pStyle w:val="headingsubHeader"/>
              <w:rPr>
                <w:b w:val="0"/>
                <w:bCs w:val="0"/>
                <w:color w:val="595959" w:themeColor="text1" w:themeTint="A6"/>
                <w:sz w:val="14"/>
                <w:szCs w:val="14"/>
                <w:lang w:val="es-ES_tradnl"/>
              </w:rPr>
            </w:pPr>
          </w:p>
        </w:tc>
      </w:tr>
      <w:tr w:rsidR="001048D2" w:rsidRPr="002A4BDC" w14:paraId="051856E2" w14:textId="77777777" w:rsidTr="001048D2">
        <w:trPr>
          <w:trHeight w:val="619"/>
        </w:trPr>
        <w:tc>
          <w:tcPr>
            <w:tcW w:w="715" w:type="dxa"/>
            <w:tcBorders>
              <w:top w:val="single" w:sz="6" w:space="0" w:color="EEECE1" w:themeColor="background2"/>
              <w:bottom w:val="single" w:sz="6" w:space="0" w:color="EEECE1" w:themeColor="background2"/>
            </w:tcBorders>
            <w:vAlign w:val="center"/>
          </w:tcPr>
          <w:p w14:paraId="4B2CCF89" w14:textId="3BE6FD20"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3</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ign w:val="center"/>
          </w:tcPr>
          <w:p w14:paraId="737FB38E" w14:textId="77777777" w:rsidR="006E3D55" w:rsidRPr="002A4BDC" w:rsidRDefault="006E3D55" w:rsidP="005920AB">
            <w:pPr>
              <w:pStyle w:val="headingsubHeader"/>
              <w:rPr>
                <w:b w:val="0"/>
                <w:bCs w:val="0"/>
                <w:color w:val="595959" w:themeColor="text1" w:themeTint="A6"/>
                <w:sz w:val="14"/>
                <w:szCs w:val="14"/>
                <w:lang w:val="es-ES_tradnl"/>
              </w:rPr>
            </w:pPr>
          </w:p>
        </w:tc>
      </w:tr>
      <w:tr w:rsidR="001048D2" w:rsidRPr="002A4BDC" w14:paraId="1149608E" w14:textId="77777777" w:rsidTr="001048D2">
        <w:trPr>
          <w:trHeight w:val="634"/>
        </w:trPr>
        <w:tc>
          <w:tcPr>
            <w:tcW w:w="715" w:type="dxa"/>
            <w:tcBorders>
              <w:top w:val="single" w:sz="6" w:space="0" w:color="EEECE1" w:themeColor="background2"/>
              <w:bottom w:val="single" w:sz="6" w:space="0" w:color="EEECE1" w:themeColor="background2"/>
            </w:tcBorders>
            <w:vAlign w:val="center"/>
          </w:tcPr>
          <w:p w14:paraId="11C9DF2A" w14:textId="07448A3F"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4</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ign w:val="center"/>
          </w:tcPr>
          <w:p w14:paraId="29F0ADD4" w14:textId="77777777" w:rsidR="006E3D55" w:rsidRPr="002A4BDC" w:rsidRDefault="006E3D55" w:rsidP="005920AB">
            <w:pPr>
              <w:pStyle w:val="headingsubHeader"/>
              <w:rPr>
                <w:b w:val="0"/>
                <w:bCs w:val="0"/>
                <w:color w:val="595959" w:themeColor="text1" w:themeTint="A6"/>
                <w:sz w:val="14"/>
                <w:szCs w:val="14"/>
                <w:lang w:val="es-ES_tradnl"/>
              </w:rPr>
            </w:pPr>
          </w:p>
        </w:tc>
      </w:tr>
      <w:tr w:rsidR="001048D2" w:rsidRPr="002A4BDC" w14:paraId="61AD81C5" w14:textId="77777777" w:rsidTr="001048D2">
        <w:trPr>
          <w:trHeight w:val="619"/>
        </w:trPr>
        <w:tc>
          <w:tcPr>
            <w:tcW w:w="715" w:type="dxa"/>
            <w:tcBorders>
              <w:top w:val="single" w:sz="6" w:space="0" w:color="EEECE1" w:themeColor="background2"/>
              <w:bottom w:val="single" w:sz="6" w:space="0" w:color="EEECE1" w:themeColor="background2"/>
            </w:tcBorders>
            <w:vAlign w:val="center"/>
          </w:tcPr>
          <w:p w14:paraId="4709E673" w14:textId="2B8FEABA"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5</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ign w:val="center"/>
          </w:tcPr>
          <w:p w14:paraId="41688470" w14:textId="77777777" w:rsidR="006E3D55" w:rsidRPr="002A4BDC" w:rsidRDefault="006E3D55" w:rsidP="005920AB">
            <w:pPr>
              <w:pStyle w:val="headingsubHeader"/>
              <w:rPr>
                <w:b w:val="0"/>
                <w:bCs w:val="0"/>
                <w:color w:val="595959" w:themeColor="text1" w:themeTint="A6"/>
                <w:sz w:val="14"/>
                <w:szCs w:val="14"/>
                <w:lang w:val="es-ES_tradnl"/>
              </w:rPr>
            </w:pPr>
          </w:p>
        </w:tc>
      </w:tr>
      <w:tr w:rsidR="001048D2" w:rsidRPr="002A4BDC" w14:paraId="24A2B155" w14:textId="77777777" w:rsidTr="001048D2">
        <w:trPr>
          <w:trHeight w:val="634"/>
        </w:trPr>
        <w:tc>
          <w:tcPr>
            <w:tcW w:w="715" w:type="dxa"/>
            <w:tcBorders>
              <w:top w:val="single" w:sz="6" w:space="0" w:color="EEECE1" w:themeColor="background2"/>
              <w:bottom w:val="single" w:sz="6" w:space="0" w:color="EEECE1" w:themeColor="background2"/>
            </w:tcBorders>
            <w:vAlign w:val="center"/>
          </w:tcPr>
          <w:p w14:paraId="58584E89" w14:textId="02763B61"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6</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ign w:val="center"/>
          </w:tcPr>
          <w:p w14:paraId="192B13C8" w14:textId="77777777" w:rsidR="006E3D55" w:rsidRPr="002A4BDC" w:rsidRDefault="006E3D55" w:rsidP="005920AB">
            <w:pPr>
              <w:pStyle w:val="headingsubHeader"/>
              <w:rPr>
                <w:b w:val="0"/>
                <w:bCs w:val="0"/>
                <w:color w:val="595959" w:themeColor="text1" w:themeTint="A6"/>
                <w:sz w:val="14"/>
                <w:szCs w:val="14"/>
                <w:lang w:val="es-ES_tradnl"/>
              </w:rPr>
            </w:pPr>
          </w:p>
        </w:tc>
      </w:tr>
      <w:tr w:rsidR="001048D2" w:rsidRPr="002A4BDC" w14:paraId="437DBD55" w14:textId="77777777" w:rsidTr="001048D2">
        <w:trPr>
          <w:trHeight w:val="619"/>
        </w:trPr>
        <w:tc>
          <w:tcPr>
            <w:tcW w:w="715" w:type="dxa"/>
            <w:tcBorders>
              <w:top w:val="single" w:sz="6" w:space="0" w:color="EEECE1" w:themeColor="background2"/>
              <w:bottom w:val="single" w:sz="6" w:space="0" w:color="EEECE1" w:themeColor="background2"/>
            </w:tcBorders>
            <w:vAlign w:val="center"/>
          </w:tcPr>
          <w:p w14:paraId="1079BCE9" w14:textId="7CDAE62C"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7</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ign w:val="center"/>
          </w:tcPr>
          <w:p w14:paraId="335AF535" w14:textId="77777777" w:rsidR="006E3D55" w:rsidRPr="002A4BDC" w:rsidRDefault="006E3D55" w:rsidP="005920AB">
            <w:pPr>
              <w:pStyle w:val="headingsubHeader"/>
              <w:rPr>
                <w:b w:val="0"/>
                <w:bCs w:val="0"/>
                <w:color w:val="595959" w:themeColor="text1" w:themeTint="A6"/>
                <w:sz w:val="14"/>
                <w:szCs w:val="14"/>
                <w:lang w:val="es-ES_tradnl"/>
              </w:rPr>
            </w:pPr>
          </w:p>
        </w:tc>
      </w:tr>
      <w:tr w:rsidR="001048D2" w:rsidRPr="002A4BDC" w14:paraId="0E955DA5" w14:textId="77777777" w:rsidTr="001048D2">
        <w:trPr>
          <w:trHeight w:val="619"/>
        </w:trPr>
        <w:tc>
          <w:tcPr>
            <w:tcW w:w="715" w:type="dxa"/>
            <w:tcBorders>
              <w:top w:val="single" w:sz="6" w:space="0" w:color="EEECE1" w:themeColor="background2"/>
              <w:bottom w:val="single" w:sz="6" w:space="0" w:color="EEECE1" w:themeColor="background2"/>
            </w:tcBorders>
            <w:vAlign w:val="center"/>
          </w:tcPr>
          <w:p w14:paraId="5BC7B2C2" w14:textId="5FC56329"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8</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ign w:val="center"/>
          </w:tcPr>
          <w:p w14:paraId="7D21A3C9" w14:textId="77777777" w:rsidR="006E3D55" w:rsidRPr="002A4BDC" w:rsidRDefault="006E3D55" w:rsidP="005920AB">
            <w:pPr>
              <w:pStyle w:val="headingsubHeader"/>
              <w:rPr>
                <w:b w:val="0"/>
                <w:bCs w:val="0"/>
                <w:color w:val="595959" w:themeColor="text1" w:themeTint="A6"/>
                <w:sz w:val="14"/>
                <w:szCs w:val="14"/>
                <w:lang w:val="es-ES_tradnl"/>
              </w:rPr>
            </w:pPr>
          </w:p>
        </w:tc>
      </w:tr>
      <w:tr w:rsidR="001048D2" w:rsidRPr="002A4BDC" w14:paraId="64555727" w14:textId="77777777" w:rsidTr="001048D2">
        <w:trPr>
          <w:trHeight w:val="634"/>
        </w:trPr>
        <w:tc>
          <w:tcPr>
            <w:tcW w:w="715" w:type="dxa"/>
            <w:tcBorders>
              <w:top w:val="single" w:sz="6" w:space="0" w:color="EEECE1" w:themeColor="background2"/>
              <w:bottom w:val="single" w:sz="6" w:space="0" w:color="EEECE1" w:themeColor="background2"/>
            </w:tcBorders>
            <w:vAlign w:val="center"/>
          </w:tcPr>
          <w:p w14:paraId="6BD9B7FE" w14:textId="719DFB67"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9</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vAlign w:val="center"/>
          </w:tcPr>
          <w:p w14:paraId="4C7CA1BB" w14:textId="77777777" w:rsidR="006E3D55" w:rsidRPr="002A4BDC" w:rsidRDefault="006E3D55" w:rsidP="005920AB">
            <w:pPr>
              <w:pStyle w:val="headingsubHeader"/>
              <w:rPr>
                <w:b w:val="0"/>
                <w:bCs w:val="0"/>
                <w:color w:val="595959" w:themeColor="text1" w:themeTint="A6"/>
                <w:sz w:val="14"/>
                <w:szCs w:val="14"/>
                <w:lang w:val="es-ES_tradnl"/>
              </w:rPr>
            </w:pPr>
          </w:p>
        </w:tc>
      </w:tr>
      <w:tr w:rsidR="001048D2" w:rsidRPr="002A4BDC" w14:paraId="335FA9B3" w14:textId="77777777" w:rsidTr="0051640A">
        <w:trPr>
          <w:trHeight w:val="619"/>
        </w:trPr>
        <w:tc>
          <w:tcPr>
            <w:tcW w:w="715" w:type="dxa"/>
            <w:tcBorders>
              <w:top w:val="single" w:sz="6" w:space="0" w:color="EEECE1" w:themeColor="background2"/>
              <w:bottom w:val="single" w:sz="6" w:space="0" w:color="EEECE1" w:themeColor="background2"/>
            </w:tcBorders>
            <w:vAlign w:val="center"/>
          </w:tcPr>
          <w:p w14:paraId="36D6D305" w14:textId="6661B2EA" w:rsidR="006E3D55" w:rsidRPr="002A4BDC" w:rsidRDefault="006E3D55" w:rsidP="005920AB">
            <w:pPr>
              <w:pStyle w:val="headingsubHeader"/>
              <w:rPr>
                <w:b w:val="0"/>
                <w:bCs w:val="0"/>
                <w:color w:val="595959" w:themeColor="text1" w:themeTint="A6"/>
                <w:sz w:val="14"/>
                <w:szCs w:val="14"/>
                <w:lang w:val="es-ES_tradnl"/>
              </w:rPr>
            </w:pPr>
            <w:r w:rsidRPr="002A4BDC">
              <w:rPr>
                <w:b w:val="0"/>
                <w:bCs w:val="0"/>
                <w:color w:val="595959" w:themeColor="text1" w:themeTint="A6"/>
                <w:sz w:val="14"/>
                <w:szCs w:val="14"/>
                <w:lang w:val="es-ES_tradnl"/>
              </w:rPr>
              <w:t>Rec: 10</w:t>
            </w:r>
            <w:r w:rsidRPr="002A4BDC">
              <w:rPr>
                <w:b w:val="0"/>
                <w:bCs w:val="0"/>
                <w:color w:val="595959" w:themeColor="text1" w:themeTint="A6"/>
                <w:sz w:val="14"/>
                <w:szCs w:val="14"/>
                <w:lang w:val="es-ES_tradnl"/>
              </w:rPr>
              <w:br/>
            </w:r>
            <w:r w:rsidR="009F492B" w:rsidRPr="002A4BDC">
              <w:rPr>
                <w:b w:val="0"/>
                <w:bCs w:val="0"/>
                <w:color w:val="595959" w:themeColor="text1" w:themeTint="A6"/>
                <w:sz w:val="14"/>
                <w:szCs w:val="14"/>
                <w:lang w:val="es-ES_tradnl"/>
              </w:rPr>
              <w:t>Conteo</w:t>
            </w:r>
          </w:p>
        </w:tc>
        <w:tc>
          <w:tcPr>
            <w:tcW w:w="8280" w:type="dxa"/>
            <w:gridSpan w:val="6"/>
            <w:vMerge/>
            <w:tcBorders>
              <w:bottom w:val="single" w:sz="6" w:space="0" w:color="EEECE1" w:themeColor="background2"/>
            </w:tcBorders>
            <w:vAlign w:val="center"/>
          </w:tcPr>
          <w:p w14:paraId="09F5BCFB" w14:textId="77777777" w:rsidR="006E3D55" w:rsidRPr="002A4BDC" w:rsidRDefault="006E3D55" w:rsidP="005920AB">
            <w:pPr>
              <w:pStyle w:val="headingsubHeader"/>
              <w:rPr>
                <w:b w:val="0"/>
                <w:bCs w:val="0"/>
                <w:color w:val="595959" w:themeColor="text1" w:themeTint="A6"/>
                <w:sz w:val="14"/>
                <w:szCs w:val="14"/>
                <w:lang w:val="es-ES_tradnl"/>
              </w:rPr>
            </w:pPr>
          </w:p>
        </w:tc>
      </w:tr>
    </w:tbl>
    <w:p w14:paraId="5BC6106A" w14:textId="77777777" w:rsidR="006E3D55" w:rsidRPr="002A4BDC" w:rsidRDefault="006E3D55" w:rsidP="000739BA">
      <w:pPr>
        <w:pStyle w:val="headingsubHeader"/>
        <w:rPr>
          <w:lang w:val="es-ES_tradnl"/>
        </w:rPr>
      </w:pPr>
    </w:p>
    <w:p w14:paraId="2BB95FED" w14:textId="4E19B5EA" w:rsidR="007545D0" w:rsidRPr="002A4BDC" w:rsidRDefault="007545D0">
      <w:pPr>
        <w:rPr>
          <w:rFonts w:asciiTheme="minorBidi" w:eastAsia="Arial Unicode MS" w:hAnsiTheme="minorBidi" w:cstheme="minorBidi"/>
          <w:b/>
          <w:bCs/>
          <w:lang w:val="es-ES_tradnl"/>
        </w:rPr>
      </w:pPr>
      <w:bookmarkStart w:id="3" w:name="_Toc6"/>
      <w:r w:rsidRPr="002A4BDC">
        <w:rPr>
          <w:lang w:val="es-ES_tradnl"/>
        </w:rPr>
        <w:br w:type="page"/>
      </w:r>
    </w:p>
    <w:p w14:paraId="4D0EE597" w14:textId="3B43467B" w:rsidR="00A10BF7" w:rsidRPr="002A4BDC" w:rsidRDefault="00F01C34" w:rsidP="002A4BDC">
      <w:pPr>
        <w:pStyle w:val="headingsubHeader"/>
        <w:tabs>
          <w:tab w:val="left" w:pos="567"/>
        </w:tabs>
        <w:rPr>
          <w:lang w:val="es-ES_tradnl"/>
        </w:rPr>
      </w:pPr>
      <w:r w:rsidRPr="002A4BDC">
        <w:rPr>
          <w:lang w:val="es-ES_tradnl"/>
        </w:rPr>
        <w:fldChar w:fldCharType="begin"/>
      </w:r>
      <w:r w:rsidRPr="002A4BDC">
        <w:rPr>
          <w:lang w:val="es-ES_tradnl"/>
        </w:rPr>
        <w:instrText xml:space="preserve"> AUTONUM  </w:instrText>
      </w:r>
      <w:r w:rsidRPr="002A4BDC">
        <w:rPr>
          <w:lang w:val="es-ES_tradnl"/>
        </w:rPr>
        <w:fldChar w:fldCharType="end"/>
      </w:r>
      <w:r w:rsidRPr="002A4BDC">
        <w:rPr>
          <w:lang w:val="es-ES_tradnl"/>
        </w:rPr>
        <w:tab/>
        <w:t>Seleccione el nivel actual de aplicación de cada recomendación por parte de su Oficina.</w:t>
      </w:r>
      <w:r w:rsidR="003A2C82" w:rsidRPr="002A4BDC">
        <w:rPr>
          <w:lang w:val="es-ES_tradnl"/>
        </w:rPr>
        <w:t xml:space="preserve"> </w:t>
      </w:r>
      <w:r w:rsidRPr="002A4BDC">
        <w:rPr>
          <w:lang w:val="es-ES_tradnl"/>
        </w:rPr>
        <w:t>Tenga en cuenta que puede elegir la opción "Aplicada" cuando su Oficina haya aplicado todas las medidas que tenía previstas en relación con esa recomendación.</w:t>
      </w:r>
      <w:r w:rsidR="003A2C82" w:rsidRPr="002A4BDC">
        <w:rPr>
          <w:lang w:val="es-ES_tradnl"/>
        </w:rPr>
        <w:t xml:space="preserve"> </w:t>
      </w:r>
      <w:r w:rsidRPr="002A4BDC">
        <w:rPr>
          <w:lang w:val="es-ES_tradnl"/>
        </w:rPr>
        <w:t>No significa que su Oficina haya aplicado todas las "Medidas recomendadas" para esa recomendación. - comentario</w:t>
      </w:r>
      <w:bookmarkEnd w:id="3"/>
      <w:r w:rsidRPr="002A4BDC">
        <w:rPr>
          <w:lang w:val="es-ES_tradnl"/>
        </w:rPr>
        <w:t>.</w:t>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8"/>
      </w:tblGrid>
      <w:tr w:rsidR="00C135EB" w:rsidRPr="002A4BDC" w14:paraId="4634B9DA" w14:textId="77777777" w:rsidTr="002A4BDC">
        <w:tc>
          <w:tcPr>
            <w:tcW w:w="1417" w:type="dxa"/>
            <w:shd w:val="clear" w:color="auto" w:fill="1F497D" w:themeFill="text2"/>
          </w:tcPr>
          <w:p w14:paraId="1596F74E" w14:textId="77777777" w:rsidR="00C135EB" w:rsidRPr="002A4BDC" w:rsidRDefault="00C135EB"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Código de la Norma ST.3 </w:t>
            </w:r>
          </w:p>
        </w:tc>
        <w:tc>
          <w:tcPr>
            <w:tcW w:w="7518" w:type="dxa"/>
            <w:shd w:val="clear" w:color="auto" w:fill="1F497D" w:themeFill="text2"/>
          </w:tcPr>
          <w:p w14:paraId="5B9A36CA" w14:textId="77777777" w:rsidR="00C135EB" w:rsidRPr="002A4BDC" w:rsidRDefault="00C135EB"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Respuesta </w:t>
            </w:r>
          </w:p>
        </w:tc>
      </w:tr>
      <w:tr w:rsidR="00C135EB" w:rsidRPr="002A4BDC" w14:paraId="769A5C96" w14:textId="77777777" w:rsidTr="002A4BDC">
        <w:tc>
          <w:tcPr>
            <w:tcW w:w="1417" w:type="dxa"/>
          </w:tcPr>
          <w:p w14:paraId="6FCAAB32" w14:textId="77777777" w:rsidR="00C135EB" w:rsidRPr="002A4BDC" w:rsidRDefault="00C135EB" w:rsidP="009E3961">
            <w:pPr>
              <w:spacing w:after="0"/>
              <w:rPr>
                <w:rFonts w:asciiTheme="minorBidi" w:hAnsiTheme="minorBidi" w:cstheme="minorBidi"/>
                <w:lang w:val="es-ES_tradnl"/>
              </w:rPr>
            </w:pPr>
            <w:r w:rsidRPr="002A4BDC">
              <w:rPr>
                <w:rStyle w:val="text"/>
                <w:lang w:val="es-ES_tradnl"/>
              </w:rPr>
              <w:t>AU</w:t>
            </w:r>
          </w:p>
        </w:tc>
        <w:tc>
          <w:tcPr>
            <w:tcW w:w="7518" w:type="dxa"/>
          </w:tcPr>
          <w:p w14:paraId="49F088C7" w14:textId="77777777" w:rsidR="00E36B80" w:rsidRPr="002A4BDC" w:rsidRDefault="00C135EB" w:rsidP="009E3961">
            <w:pPr>
              <w:spacing w:after="0"/>
              <w:rPr>
                <w:rStyle w:val="text"/>
                <w:lang w:val="es-ES_tradnl"/>
              </w:rPr>
            </w:pPr>
            <w:r w:rsidRPr="002A4BDC">
              <w:rPr>
                <w:rStyle w:val="text"/>
                <w:lang w:val="es-ES_tradnl"/>
              </w:rPr>
              <w:t xml:space="preserve">Rec 5: </w:t>
            </w:r>
          </w:p>
          <w:p w14:paraId="1C84EA13" w14:textId="46D132E8" w:rsidR="008D1F03" w:rsidRPr="002A4BDC" w:rsidRDefault="00C135EB" w:rsidP="00E36B80">
            <w:pPr>
              <w:pStyle w:val="ListParagraph"/>
              <w:numPr>
                <w:ilvl w:val="0"/>
                <w:numId w:val="4"/>
              </w:numPr>
              <w:spacing w:after="0"/>
              <w:ind w:left="376"/>
              <w:rPr>
                <w:rStyle w:val="text"/>
                <w:lang w:val="es-ES_tradnl"/>
              </w:rPr>
            </w:pPr>
            <w:r w:rsidRPr="002A4BDC">
              <w:rPr>
                <w:rStyle w:val="text"/>
                <w:lang w:val="es-ES_tradnl"/>
              </w:rPr>
              <w:t>En relación con la Norma ST.37, IP Australia está trabajando para resolver un problema de archivo de referencia de fechas de publicación que faltan, anteriores a 1998.</w:t>
            </w:r>
            <w:r w:rsidR="003A2C82" w:rsidRPr="002A4BDC">
              <w:rPr>
                <w:rStyle w:val="text"/>
                <w:lang w:val="es-ES_tradnl"/>
              </w:rPr>
              <w:t xml:space="preserve"> </w:t>
            </w:r>
          </w:p>
          <w:p w14:paraId="5A1157A0" w14:textId="667DA49F" w:rsidR="008D1F03" w:rsidRPr="002A4BDC" w:rsidRDefault="00C135EB" w:rsidP="00E36B80">
            <w:pPr>
              <w:pStyle w:val="ListParagraph"/>
              <w:numPr>
                <w:ilvl w:val="0"/>
                <w:numId w:val="4"/>
              </w:numPr>
              <w:spacing w:after="0"/>
              <w:ind w:left="376"/>
              <w:rPr>
                <w:rStyle w:val="text"/>
                <w:lang w:val="es-ES_tradnl"/>
              </w:rPr>
            </w:pPr>
            <w:r w:rsidRPr="002A4BDC">
              <w:rPr>
                <w:rStyle w:val="text"/>
                <w:lang w:val="es-ES_tradnl"/>
              </w:rPr>
              <w:t>A partir del 1 de enero de 2026, las publicaciones de patentes de IP Australia estarán disponibles en formato XML de texto completo legible por máquina, y serán accesibles para otras oficinas de PI a través de un repositorio de datos - en línea con los requisitos de documentación mínima del PCT.</w:t>
            </w:r>
            <w:r w:rsidR="003A2C82" w:rsidRPr="002A4BDC">
              <w:rPr>
                <w:rStyle w:val="text"/>
                <w:lang w:val="es-ES_tradnl"/>
              </w:rPr>
              <w:t xml:space="preserve"> </w:t>
            </w:r>
          </w:p>
          <w:p w14:paraId="7548C794" w14:textId="77777777" w:rsidR="00E36B80" w:rsidRPr="002A4BDC" w:rsidRDefault="00C135EB" w:rsidP="009E3961">
            <w:pPr>
              <w:spacing w:after="0"/>
              <w:rPr>
                <w:rStyle w:val="text"/>
                <w:lang w:val="es-ES_tradnl"/>
              </w:rPr>
            </w:pPr>
            <w:r w:rsidRPr="002A4BDC">
              <w:rPr>
                <w:rStyle w:val="text"/>
                <w:lang w:val="es-ES_tradnl"/>
              </w:rPr>
              <w:t xml:space="preserve">Rec 7: </w:t>
            </w:r>
          </w:p>
          <w:p w14:paraId="5F02E12D" w14:textId="2E43ACCC" w:rsidR="008D1F03" w:rsidRPr="002A4BDC" w:rsidRDefault="00C135EB" w:rsidP="00E36B80">
            <w:pPr>
              <w:pStyle w:val="ListParagraph"/>
              <w:numPr>
                <w:ilvl w:val="0"/>
                <w:numId w:val="5"/>
              </w:numPr>
              <w:spacing w:after="0"/>
              <w:ind w:left="376"/>
              <w:rPr>
                <w:rStyle w:val="text"/>
                <w:lang w:val="es-ES_tradnl"/>
              </w:rPr>
            </w:pPr>
            <w:r w:rsidRPr="002A4BDC">
              <w:rPr>
                <w:rStyle w:val="text"/>
                <w:lang w:val="es-ES_tradnl"/>
              </w:rPr>
              <w:t xml:space="preserve">IP Australia aplica la Norma ST.26 y contribuye a su mejora continua, lo que incluye, en la medida de lo posible, la aportación de comentarios sobre las mejoras del paquete informático correspondiente. </w:t>
            </w:r>
          </w:p>
          <w:p w14:paraId="4D16968C" w14:textId="72F69A89" w:rsidR="00C135EB" w:rsidRPr="002A4BDC" w:rsidRDefault="00C135EB" w:rsidP="00E36B80">
            <w:pPr>
              <w:pStyle w:val="ListParagraph"/>
              <w:numPr>
                <w:ilvl w:val="0"/>
                <w:numId w:val="5"/>
              </w:numPr>
              <w:spacing w:after="0"/>
              <w:ind w:left="376"/>
              <w:rPr>
                <w:rFonts w:asciiTheme="minorBidi" w:hAnsiTheme="minorBidi" w:cstheme="minorBidi"/>
                <w:lang w:val="es-ES_tradnl"/>
              </w:rPr>
            </w:pPr>
            <w:r w:rsidRPr="002A4BDC">
              <w:rPr>
                <w:rStyle w:val="text"/>
                <w:lang w:val="es-ES_tradnl"/>
              </w:rPr>
              <w:t xml:space="preserve">IP Australia también tiene previsto cumplir la Norma ST.92 a tiempo para la fecha de expiración propuesta actualmente, el 1 de julio de 2027. </w:t>
            </w:r>
          </w:p>
        </w:tc>
      </w:tr>
      <w:tr w:rsidR="00C135EB" w:rsidRPr="002A4BDC" w14:paraId="78B4CB9A" w14:textId="77777777" w:rsidTr="002A4BDC">
        <w:tc>
          <w:tcPr>
            <w:tcW w:w="1417" w:type="dxa"/>
          </w:tcPr>
          <w:p w14:paraId="1ADEDDA1" w14:textId="77777777" w:rsidR="00C135EB" w:rsidRPr="002A4BDC" w:rsidRDefault="00C135EB" w:rsidP="009E3961">
            <w:pPr>
              <w:spacing w:after="0"/>
              <w:rPr>
                <w:rFonts w:asciiTheme="minorBidi" w:hAnsiTheme="minorBidi" w:cstheme="minorBidi"/>
                <w:lang w:val="es-ES_tradnl"/>
              </w:rPr>
            </w:pPr>
            <w:r w:rsidRPr="002A4BDC">
              <w:rPr>
                <w:rStyle w:val="text"/>
                <w:lang w:val="es-ES_tradnl"/>
              </w:rPr>
              <w:t>EM</w:t>
            </w:r>
          </w:p>
        </w:tc>
        <w:tc>
          <w:tcPr>
            <w:tcW w:w="7518" w:type="dxa"/>
          </w:tcPr>
          <w:p w14:paraId="3EDAA973" w14:textId="6F3B8E14" w:rsidR="002748D6" w:rsidRPr="002A4BDC" w:rsidRDefault="00C135EB" w:rsidP="009E3961">
            <w:pPr>
              <w:spacing w:after="0"/>
              <w:rPr>
                <w:rStyle w:val="text"/>
                <w:lang w:val="es-ES_tradnl"/>
              </w:rPr>
            </w:pPr>
            <w:r w:rsidRPr="002A4BDC">
              <w:rPr>
                <w:rStyle w:val="text"/>
                <w:lang w:val="es-ES_tradnl"/>
              </w:rPr>
              <w:t>Rec.2: La estrategia en materia de TIC forma parte del Plan Estratégico global de la EUIPO.</w:t>
            </w:r>
            <w:r w:rsidR="003A2C82" w:rsidRPr="002A4BDC">
              <w:rPr>
                <w:rStyle w:val="text"/>
                <w:lang w:val="es-ES_tradnl"/>
              </w:rPr>
              <w:t xml:space="preserve"> </w:t>
            </w:r>
          </w:p>
          <w:p w14:paraId="72E93C22" w14:textId="6BE73535" w:rsidR="00C135EB" w:rsidRPr="002A4BDC" w:rsidRDefault="00C135EB" w:rsidP="009E3961">
            <w:pPr>
              <w:spacing w:after="0"/>
              <w:rPr>
                <w:rFonts w:asciiTheme="minorBidi" w:hAnsiTheme="minorBidi" w:cstheme="minorBidi"/>
                <w:lang w:val="es-ES_tradnl"/>
              </w:rPr>
            </w:pPr>
            <w:r w:rsidRPr="002A4BDC">
              <w:rPr>
                <w:rStyle w:val="text"/>
                <w:lang w:val="es-ES_tradnl"/>
              </w:rPr>
              <w:t xml:space="preserve">Rec.3: La EUIPO ha iniciado diversas actividades en el contexto de su pasado Plan Estratégico 2025 para definir un marco de gobernanza de datos, que continuará durante el actual Plan Estratégico 2030. Puede encontrarse más información sobre las políticas de protección de datos en: https://www.euipo.europa.eu/es/info/data-protection </w:t>
            </w:r>
          </w:p>
        </w:tc>
      </w:tr>
      <w:tr w:rsidR="00C135EB" w:rsidRPr="002A4BDC" w14:paraId="1F9A0282" w14:textId="77777777" w:rsidTr="002A4BDC">
        <w:tc>
          <w:tcPr>
            <w:tcW w:w="1417" w:type="dxa"/>
          </w:tcPr>
          <w:p w14:paraId="4AF3B879" w14:textId="77777777" w:rsidR="00C135EB" w:rsidRPr="002A4BDC" w:rsidRDefault="00C135EB" w:rsidP="009E3961">
            <w:pPr>
              <w:spacing w:after="0"/>
              <w:rPr>
                <w:rFonts w:asciiTheme="minorBidi" w:hAnsiTheme="minorBidi" w:cstheme="minorBidi"/>
                <w:lang w:val="es-ES_tradnl"/>
              </w:rPr>
            </w:pPr>
            <w:r w:rsidRPr="002A4BDC">
              <w:rPr>
                <w:rStyle w:val="text"/>
                <w:lang w:val="es-ES_tradnl"/>
              </w:rPr>
              <w:t>EP</w:t>
            </w:r>
          </w:p>
        </w:tc>
        <w:tc>
          <w:tcPr>
            <w:tcW w:w="7518" w:type="dxa"/>
          </w:tcPr>
          <w:p w14:paraId="02F8D898" w14:textId="77777777" w:rsidR="00C135EB" w:rsidRPr="002A4BDC" w:rsidRDefault="00C135EB" w:rsidP="009E3961">
            <w:pPr>
              <w:spacing w:after="0"/>
              <w:rPr>
                <w:rFonts w:asciiTheme="minorBidi" w:hAnsiTheme="minorBidi" w:cstheme="minorBidi"/>
                <w:lang w:val="es-ES_tradnl"/>
              </w:rPr>
            </w:pPr>
            <w:r w:rsidRPr="002A4BDC">
              <w:rPr>
                <w:rStyle w:val="text"/>
                <w:lang w:val="es-ES_tradnl"/>
              </w:rPr>
              <w:t xml:space="preserve">Casi todas las Recomendaciones (1-10, excepto la 9) contienen partes ya aplicadas (por ejemplo, como parte de los objetivos y factores impulsores pasados y presentes del Plan Estratégico de la OEP). Al mismo tiempo, la OEP también considera las recomendaciones como medidas de mejora continua y, por tanto, como aplicaciones en curso. </w:t>
            </w:r>
          </w:p>
        </w:tc>
      </w:tr>
      <w:tr w:rsidR="00C135EB" w:rsidRPr="002A4BDC" w14:paraId="55D89C3B" w14:textId="77777777" w:rsidTr="002A4BDC">
        <w:tc>
          <w:tcPr>
            <w:tcW w:w="1417" w:type="dxa"/>
          </w:tcPr>
          <w:p w14:paraId="725EED0C" w14:textId="77777777" w:rsidR="00C135EB" w:rsidRPr="002A4BDC" w:rsidRDefault="00C135EB" w:rsidP="009E3961">
            <w:pPr>
              <w:spacing w:after="0"/>
              <w:rPr>
                <w:rFonts w:asciiTheme="minorBidi" w:hAnsiTheme="minorBidi" w:cstheme="minorBidi"/>
                <w:lang w:val="es-ES_tradnl"/>
              </w:rPr>
            </w:pPr>
            <w:r w:rsidRPr="002A4BDC">
              <w:rPr>
                <w:rStyle w:val="text"/>
                <w:lang w:val="es-ES_tradnl"/>
              </w:rPr>
              <w:t>GM</w:t>
            </w:r>
          </w:p>
        </w:tc>
        <w:tc>
          <w:tcPr>
            <w:tcW w:w="7518" w:type="dxa"/>
          </w:tcPr>
          <w:p w14:paraId="3EB8E291" w14:textId="7E7895CA" w:rsidR="00C135EB" w:rsidRPr="002A4BDC" w:rsidRDefault="00C135EB" w:rsidP="009E3961">
            <w:pPr>
              <w:spacing w:after="0"/>
              <w:rPr>
                <w:rFonts w:asciiTheme="minorBidi" w:hAnsiTheme="minorBidi" w:cstheme="minorBidi"/>
                <w:lang w:val="es-ES_tradnl"/>
              </w:rPr>
            </w:pPr>
            <w:r w:rsidRPr="002A4BDC">
              <w:rPr>
                <w:rStyle w:val="text"/>
                <w:lang w:val="es-ES_tradnl"/>
              </w:rPr>
              <w:t>Rec.1: la Oficina de Gambia utiliza actualmente el IPAS 4.0 de la OMPI para mejorar los procesos operativos.</w:t>
            </w:r>
            <w:r w:rsidR="003A2C82" w:rsidRPr="002A4BDC">
              <w:rPr>
                <w:rStyle w:val="text"/>
                <w:lang w:val="es-ES_tradnl"/>
              </w:rPr>
              <w:t xml:space="preserve"> </w:t>
            </w:r>
          </w:p>
        </w:tc>
      </w:tr>
      <w:tr w:rsidR="00C135EB" w:rsidRPr="002A4BDC" w14:paraId="2DCF52C8" w14:textId="77777777" w:rsidTr="002A4BDC">
        <w:tc>
          <w:tcPr>
            <w:tcW w:w="1417" w:type="dxa"/>
          </w:tcPr>
          <w:p w14:paraId="71EE6F2E" w14:textId="77777777" w:rsidR="00C135EB" w:rsidRPr="002A4BDC" w:rsidRDefault="00C135EB" w:rsidP="009E3961">
            <w:pPr>
              <w:spacing w:after="0"/>
              <w:rPr>
                <w:rFonts w:asciiTheme="minorBidi" w:hAnsiTheme="minorBidi" w:cstheme="minorBidi"/>
                <w:lang w:val="es-ES_tradnl"/>
              </w:rPr>
            </w:pPr>
            <w:r w:rsidRPr="002A4BDC">
              <w:rPr>
                <w:rStyle w:val="text"/>
                <w:lang w:val="es-ES_tradnl"/>
              </w:rPr>
              <w:t>NO</w:t>
            </w:r>
          </w:p>
        </w:tc>
        <w:tc>
          <w:tcPr>
            <w:tcW w:w="7518" w:type="dxa"/>
          </w:tcPr>
          <w:p w14:paraId="632C1931" w14:textId="60560AE2" w:rsidR="00C135EB" w:rsidRPr="002A4BDC" w:rsidRDefault="00C135EB" w:rsidP="009E3961">
            <w:pPr>
              <w:spacing w:after="0"/>
              <w:rPr>
                <w:rFonts w:asciiTheme="minorBidi" w:hAnsiTheme="minorBidi" w:cstheme="minorBidi"/>
                <w:lang w:val="es-ES_tradnl"/>
              </w:rPr>
            </w:pPr>
            <w:r w:rsidRPr="002A4BDC">
              <w:rPr>
                <w:rStyle w:val="text"/>
                <w:lang w:val="es-ES_tradnl"/>
              </w:rPr>
              <w:t xml:space="preserve">La evaluación incluye el cumplimiento de subniveles </w:t>
            </w:r>
          </w:p>
        </w:tc>
      </w:tr>
      <w:tr w:rsidR="00C135EB" w:rsidRPr="002A4BDC" w14:paraId="29E07DA7" w14:textId="77777777" w:rsidTr="002A4BDC">
        <w:tc>
          <w:tcPr>
            <w:tcW w:w="1417" w:type="dxa"/>
          </w:tcPr>
          <w:p w14:paraId="05A77E4E" w14:textId="77777777" w:rsidR="00C135EB" w:rsidRPr="002A4BDC" w:rsidRDefault="00C135EB" w:rsidP="009E3961">
            <w:pPr>
              <w:spacing w:after="0"/>
              <w:rPr>
                <w:rFonts w:asciiTheme="minorBidi" w:hAnsiTheme="minorBidi" w:cstheme="minorBidi"/>
                <w:lang w:val="es-ES_tradnl"/>
              </w:rPr>
            </w:pPr>
            <w:r w:rsidRPr="002A4BDC">
              <w:rPr>
                <w:rStyle w:val="text"/>
                <w:lang w:val="es-ES_tradnl"/>
              </w:rPr>
              <w:t>PL</w:t>
            </w:r>
          </w:p>
        </w:tc>
        <w:tc>
          <w:tcPr>
            <w:tcW w:w="7518" w:type="dxa"/>
          </w:tcPr>
          <w:p w14:paraId="05A519EE" w14:textId="54327055" w:rsidR="00C135EB" w:rsidRPr="002A4BDC" w:rsidRDefault="00C135EB" w:rsidP="009E3961">
            <w:pPr>
              <w:spacing w:after="0"/>
              <w:rPr>
                <w:rFonts w:asciiTheme="minorBidi" w:hAnsiTheme="minorBidi" w:cstheme="minorBidi"/>
                <w:lang w:val="es-ES_tradnl"/>
              </w:rPr>
            </w:pPr>
            <w:r w:rsidRPr="002A4BDC">
              <w:rPr>
                <w:rStyle w:val="text"/>
                <w:lang w:val="es-ES_tradnl"/>
              </w:rPr>
              <w:t>Rec 2: La Oficina Polaca de Patentes (PPO) no tiene una estrategia TIC específica, pero utiliza las TIC de forma global y eficaz para llevar a cabo sus tareas, lo que incluye la gestión de la información, la comunicación con los clientes y la automatización de procesos.</w:t>
            </w:r>
            <w:r w:rsidR="003A2C82" w:rsidRPr="002A4BDC">
              <w:rPr>
                <w:rStyle w:val="text"/>
                <w:lang w:val="es-ES_tradnl"/>
              </w:rPr>
              <w:t xml:space="preserve"> </w:t>
            </w:r>
          </w:p>
        </w:tc>
      </w:tr>
      <w:tr w:rsidR="00C135EB" w:rsidRPr="002A4BDC" w14:paraId="54CBC748" w14:textId="77777777" w:rsidTr="002A4BDC">
        <w:tc>
          <w:tcPr>
            <w:tcW w:w="1417" w:type="dxa"/>
          </w:tcPr>
          <w:p w14:paraId="2441405E" w14:textId="77777777" w:rsidR="00C135EB" w:rsidRPr="002A4BDC" w:rsidRDefault="00C135EB" w:rsidP="009E3961">
            <w:pPr>
              <w:spacing w:after="0"/>
              <w:rPr>
                <w:rFonts w:asciiTheme="minorBidi" w:hAnsiTheme="minorBidi" w:cstheme="minorBidi"/>
                <w:lang w:val="es-ES_tradnl"/>
              </w:rPr>
            </w:pPr>
            <w:r w:rsidRPr="002A4BDC">
              <w:rPr>
                <w:rStyle w:val="text"/>
                <w:lang w:val="es-ES_tradnl"/>
              </w:rPr>
              <w:t>PY</w:t>
            </w:r>
          </w:p>
        </w:tc>
        <w:tc>
          <w:tcPr>
            <w:tcW w:w="7518" w:type="dxa"/>
          </w:tcPr>
          <w:p w14:paraId="764F21AC" w14:textId="5FEC6447" w:rsidR="00C135EB" w:rsidRPr="002A4BDC" w:rsidRDefault="00C135EB" w:rsidP="009E3961">
            <w:pPr>
              <w:spacing w:after="0"/>
              <w:rPr>
                <w:rFonts w:asciiTheme="minorBidi" w:hAnsiTheme="minorBidi" w:cstheme="minorBidi"/>
                <w:lang w:val="es-ES_tradnl"/>
              </w:rPr>
            </w:pPr>
            <w:r w:rsidRPr="002A4BDC">
              <w:rPr>
                <w:rStyle w:val="text"/>
                <w:lang w:val="es-ES_tradnl"/>
              </w:rPr>
              <w:t>Todas las recomendaciones marcadas como "Decisión tomada para implementar" son una prioridad para la institución, con directrices publicadas por la máxima autoridad nacional.</w:t>
            </w:r>
          </w:p>
        </w:tc>
      </w:tr>
    </w:tbl>
    <w:p w14:paraId="0AB2A2A0" w14:textId="77777777" w:rsidR="00A10BF7" w:rsidRPr="002A4BDC" w:rsidRDefault="00A10BF7">
      <w:pPr>
        <w:rPr>
          <w:rFonts w:asciiTheme="minorBidi" w:hAnsiTheme="minorBidi" w:cstheme="minorBidi"/>
          <w:lang w:val="es-ES_tradnl"/>
        </w:rPr>
        <w:sectPr w:rsidR="00A10BF7" w:rsidRPr="002A4BDC">
          <w:pgSz w:w="11905" w:h="16837"/>
          <w:pgMar w:top="1440" w:right="1440" w:bottom="1440" w:left="1440" w:header="720" w:footer="720" w:gutter="0"/>
          <w:cols w:space="720"/>
        </w:sectPr>
      </w:pPr>
    </w:p>
    <w:bookmarkStart w:id="4" w:name="_Toc7"/>
    <w:p w14:paraId="02158DDD" w14:textId="28524EE5" w:rsidR="00A10BF7" w:rsidRPr="002A4BDC" w:rsidRDefault="00F01C34" w:rsidP="002A4BDC">
      <w:pPr>
        <w:pStyle w:val="headingsubHeader"/>
        <w:tabs>
          <w:tab w:val="left" w:pos="567"/>
        </w:tabs>
        <w:rPr>
          <w:lang w:val="es-ES_tradnl"/>
        </w:rPr>
      </w:pPr>
      <w:r w:rsidRPr="002A4BDC">
        <w:rPr>
          <w:lang w:val="es-ES_tradnl"/>
        </w:rPr>
        <w:fldChar w:fldCharType="begin"/>
      </w:r>
      <w:r w:rsidRPr="002A4BDC">
        <w:rPr>
          <w:lang w:val="es-ES_tradnl"/>
        </w:rPr>
        <w:instrText xml:space="preserve"> AUTONUM  </w:instrText>
      </w:r>
      <w:r w:rsidRPr="002A4BDC">
        <w:rPr>
          <w:lang w:val="es-ES_tradnl"/>
        </w:rPr>
        <w:fldChar w:fldCharType="end"/>
      </w:r>
      <w:r w:rsidRPr="002A4BDC">
        <w:rPr>
          <w:lang w:val="es-ES_tradnl"/>
        </w:rPr>
        <w:tab/>
        <w:t>Seleccione la(s) recomendación(es) en la(s) que se centra actualmente su Oficina y describa brevemente los proyectos (previstos o en curso) relacionados con la(s) recomendación(es) seleccionada(s) en el recuadro de comentarios situado al lado.</w:t>
      </w:r>
      <w:r w:rsidR="003A2C82" w:rsidRPr="002A4BDC">
        <w:rPr>
          <w:lang w:val="es-ES_tradnl"/>
        </w:rPr>
        <w:t xml:space="preserve"> </w:t>
      </w:r>
      <w:r w:rsidRPr="002A4BDC">
        <w:rPr>
          <w:lang w:val="es-ES_tradnl"/>
        </w:rPr>
        <w:t>Seleccione todas las opciones que correspondan o, si su Oficina no se centra en nada actualmente, seleccione "No se aplica".</w:t>
      </w:r>
      <w:bookmarkEnd w:id="4"/>
    </w:p>
    <w:p w14:paraId="0A1FD7CE" w14:textId="327EEBDD" w:rsidR="00A10BF7" w:rsidRPr="002A4BDC" w:rsidRDefault="00A46C20" w:rsidP="000739BA">
      <w:pPr>
        <w:pStyle w:val="headingsubHeader"/>
        <w:rPr>
          <w:lang w:val="es-ES_tradnl"/>
        </w:rPr>
      </w:pPr>
      <w:r w:rsidRPr="002A4BDC">
        <w:rPr>
          <w:noProof/>
          <w:lang w:val="es-ES_tradnl"/>
        </w:rPr>
        <w:drawing>
          <wp:inline distT="0" distB="0" distL="0" distR="0" wp14:anchorId="61898C21" wp14:editId="6EF4976B">
            <wp:extent cx="5913755" cy="4720856"/>
            <wp:effectExtent l="0" t="0" r="0" b="3810"/>
            <wp:docPr id="65445158"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43765687" w14:textId="77777777" w:rsidTr="00876854">
        <w:tc>
          <w:tcPr>
            <w:tcW w:w="1440" w:type="dxa"/>
            <w:shd w:val="clear" w:color="auto" w:fill="1F497D" w:themeFill="text2"/>
          </w:tcPr>
          <w:p w14:paraId="1E966223"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0A3F8FA5"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1 </w:t>
            </w:r>
          </w:p>
        </w:tc>
      </w:tr>
      <w:tr w:rsidR="00EC096D" w:rsidRPr="002A4BDC" w14:paraId="6BA85AEC" w14:textId="77777777" w:rsidTr="00830A7B">
        <w:tc>
          <w:tcPr>
            <w:tcW w:w="1440" w:type="dxa"/>
          </w:tcPr>
          <w:p w14:paraId="2DE24B9E" w14:textId="77777777" w:rsidR="00EC096D" w:rsidRPr="002A4BDC" w:rsidRDefault="00EC096D" w:rsidP="009E3961">
            <w:pPr>
              <w:spacing w:after="0"/>
              <w:rPr>
                <w:rStyle w:val="text"/>
                <w:lang w:val="es-ES_tradnl"/>
              </w:rPr>
            </w:pPr>
            <w:r w:rsidRPr="002A4BDC">
              <w:rPr>
                <w:rStyle w:val="text"/>
                <w:lang w:val="es-ES_tradnl"/>
              </w:rPr>
              <w:t>AU</w:t>
            </w:r>
          </w:p>
        </w:tc>
        <w:tc>
          <w:tcPr>
            <w:tcW w:w="7665" w:type="dxa"/>
          </w:tcPr>
          <w:p w14:paraId="5D7BA651" w14:textId="205DA44D"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IP Australia está trabajando en la migración a la nube de </w:t>
            </w:r>
            <w:r w:rsidR="00BF1689" w:rsidRPr="002A4BDC">
              <w:rPr>
                <w:rStyle w:val="text"/>
                <w:lang w:val="es-ES_tradnl"/>
              </w:rPr>
              <w:t xml:space="preserve">y formularios y </w:t>
            </w:r>
            <w:r w:rsidRPr="002A4BDC">
              <w:rPr>
                <w:rStyle w:val="text"/>
                <w:lang w:val="es-ES_tradnl"/>
              </w:rPr>
              <w:t>capacidades de correspondencia de derechos de P</w:t>
            </w:r>
            <w:r w:rsidR="00CF670F" w:rsidRPr="002A4BDC">
              <w:rPr>
                <w:rStyle w:val="text"/>
                <w:lang w:val="es-ES_tradnl"/>
              </w:rPr>
              <w:t>I</w:t>
            </w:r>
            <w:r w:rsidRPr="002A4BDC">
              <w:rPr>
                <w:rStyle w:val="text"/>
                <w:lang w:val="es-ES_tradnl"/>
              </w:rPr>
              <w:t xml:space="preserve">, y en la migración de AusPat Backend a AWS Cloud. </w:t>
            </w:r>
          </w:p>
        </w:tc>
      </w:tr>
      <w:tr w:rsidR="00EC096D" w:rsidRPr="002A4BDC" w14:paraId="55A02E2D" w14:textId="77777777" w:rsidTr="00830A7B">
        <w:tc>
          <w:tcPr>
            <w:tcW w:w="1440" w:type="dxa"/>
          </w:tcPr>
          <w:p w14:paraId="34B50659" w14:textId="77777777" w:rsidR="00EC096D" w:rsidRPr="002A4BDC" w:rsidRDefault="00EC096D" w:rsidP="009E3961">
            <w:pPr>
              <w:spacing w:after="0"/>
              <w:rPr>
                <w:rStyle w:val="text"/>
                <w:lang w:val="es-ES_tradnl"/>
              </w:rPr>
            </w:pPr>
            <w:r w:rsidRPr="002A4BDC">
              <w:rPr>
                <w:rStyle w:val="text"/>
                <w:lang w:val="es-ES_tradnl"/>
              </w:rPr>
              <w:t>BR</w:t>
            </w:r>
          </w:p>
        </w:tc>
        <w:tc>
          <w:tcPr>
            <w:tcW w:w="7665" w:type="dxa"/>
          </w:tcPr>
          <w:p w14:paraId="2B17E9EF" w14:textId="61DD6B9A" w:rsidR="00387BEB" w:rsidRPr="002A4BDC" w:rsidRDefault="00EC096D" w:rsidP="009E3961">
            <w:pPr>
              <w:spacing w:after="0"/>
              <w:rPr>
                <w:rStyle w:val="text"/>
                <w:lang w:val="es-ES_tradnl"/>
              </w:rPr>
            </w:pPr>
            <w:r w:rsidRPr="002A4BDC">
              <w:rPr>
                <w:rStyle w:val="text"/>
                <w:lang w:val="es-ES_tradnl"/>
              </w:rPr>
              <w:t>En curso - Aplicación de la solución BPMS Sydle One para el ciclo de vida de patentes y desarrollo de un nuevo portal de servicios para búsquedas y expedientes.</w:t>
            </w:r>
          </w:p>
          <w:p w14:paraId="1FC14C7E" w14:textId="0CE43D7F"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Previsto - Adopción del IPAS de la OMPI para las indicaciones geográficas. </w:t>
            </w:r>
          </w:p>
        </w:tc>
      </w:tr>
      <w:tr w:rsidR="00EC096D" w:rsidRPr="002A4BDC" w14:paraId="394F598A" w14:textId="77777777" w:rsidTr="00830A7B">
        <w:tc>
          <w:tcPr>
            <w:tcW w:w="1440" w:type="dxa"/>
          </w:tcPr>
          <w:p w14:paraId="7D185B39"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2A70829C"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Aplicación de la modernización informática siguiendo la arquitectura del Plan Estratégico de la EUIPO </w:t>
            </w:r>
          </w:p>
        </w:tc>
      </w:tr>
    </w:tbl>
    <w:p w14:paraId="0F443D6D" w14:textId="77777777" w:rsidR="00876854" w:rsidRDefault="00876854">
      <w:r>
        <w:br w:type="page"/>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1069112B" w14:textId="77777777" w:rsidTr="00830A7B">
        <w:tc>
          <w:tcPr>
            <w:tcW w:w="1440" w:type="dxa"/>
          </w:tcPr>
          <w:p w14:paraId="342AC5D2" w14:textId="5AC694B8" w:rsidR="00EC096D" w:rsidRPr="002A4BDC" w:rsidRDefault="00EC096D" w:rsidP="009E3961">
            <w:pPr>
              <w:spacing w:after="0"/>
              <w:rPr>
                <w:rStyle w:val="text"/>
                <w:lang w:val="es-ES_tradnl"/>
              </w:rPr>
            </w:pPr>
            <w:r w:rsidRPr="002A4BDC">
              <w:rPr>
                <w:rStyle w:val="text"/>
                <w:lang w:val="es-ES_tradnl"/>
              </w:rPr>
              <w:t>EM</w:t>
            </w:r>
          </w:p>
        </w:tc>
        <w:tc>
          <w:tcPr>
            <w:tcW w:w="7665" w:type="dxa"/>
          </w:tcPr>
          <w:p w14:paraId="7B464B4A" w14:textId="77777777" w:rsidR="00700B6E" w:rsidRPr="002A4BDC" w:rsidRDefault="00EC096D" w:rsidP="00700B6E">
            <w:pPr>
              <w:pStyle w:val="ListParagraph"/>
              <w:numPr>
                <w:ilvl w:val="0"/>
                <w:numId w:val="7"/>
              </w:numPr>
              <w:spacing w:after="0"/>
              <w:ind w:left="368"/>
              <w:rPr>
                <w:rStyle w:val="text"/>
                <w:rFonts w:eastAsia="Arial"/>
                <w:lang w:val="es-ES_tradnl"/>
              </w:rPr>
            </w:pPr>
            <w:r w:rsidRPr="002A4BDC">
              <w:rPr>
                <w:rStyle w:val="text"/>
                <w:lang w:val="es-ES_tradnl"/>
              </w:rPr>
              <w:t>La EUIPO aplica una estrategia en la que se prima la nube</w:t>
            </w:r>
          </w:p>
          <w:p w14:paraId="20B46D15" w14:textId="77777777" w:rsidR="00700B6E" w:rsidRPr="002A4BDC" w:rsidRDefault="00EC096D" w:rsidP="00700B6E">
            <w:pPr>
              <w:pStyle w:val="ListParagraph"/>
              <w:numPr>
                <w:ilvl w:val="0"/>
                <w:numId w:val="7"/>
              </w:numPr>
              <w:spacing w:after="0"/>
              <w:ind w:left="368"/>
              <w:rPr>
                <w:rStyle w:val="text"/>
                <w:rFonts w:eastAsia="Arial"/>
                <w:lang w:val="es-ES_tradnl"/>
              </w:rPr>
            </w:pPr>
            <w:r w:rsidRPr="002A4BDC">
              <w:rPr>
                <w:rStyle w:val="text"/>
                <w:lang w:val="es-ES_tradnl"/>
              </w:rPr>
              <w:t>La EUIPO está mejorando la gestión de G&amp;S</w:t>
            </w:r>
          </w:p>
          <w:p w14:paraId="6C949D59" w14:textId="77777777" w:rsidR="00700B6E" w:rsidRPr="002A4BDC" w:rsidRDefault="00EC096D" w:rsidP="00700B6E">
            <w:pPr>
              <w:pStyle w:val="ListParagraph"/>
              <w:numPr>
                <w:ilvl w:val="0"/>
                <w:numId w:val="7"/>
              </w:numPr>
              <w:spacing w:after="0"/>
              <w:ind w:left="368"/>
              <w:rPr>
                <w:rStyle w:val="text"/>
                <w:rFonts w:eastAsia="Arial"/>
                <w:lang w:val="es-ES_tradnl"/>
              </w:rPr>
            </w:pPr>
            <w:r w:rsidRPr="002A4BDC">
              <w:rPr>
                <w:rStyle w:val="text"/>
                <w:lang w:val="es-ES_tradnl"/>
              </w:rPr>
              <w:t>La EUIPO mejora constantemente los procesos de examen</w:t>
            </w:r>
          </w:p>
          <w:p w14:paraId="67F3D617" w14:textId="31142322" w:rsidR="00EC096D" w:rsidRPr="002A4BDC" w:rsidRDefault="00EC096D" w:rsidP="00700B6E">
            <w:pPr>
              <w:pStyle w:val="ListParagraph"/>
              <w:numPr>
                <w:ilvl w:val="0"/>
                <w:numId w:val="7"/>
              </w:numPr>
              <w:spacing w:after="0"/>
              <w:ind w:left="368"/>
              <w:rPr>
                <w:rFonts w:asciiTheme="minorBidi" w:hAnsiTheme="minorBidi" w:cstheme="minorBidi"/>
                <w:lang w:val="es-ES_tradnl"/>
              </w:rPr>
            </w:pPr>
            <w:r w:rsidRPr="002A4BDC">
              <w:rPr>
                <w:rStyle w:val="text"/>
                <w:lang w:val="es-ES_tradnl"/>
              </w:rPr>
              <w:t xml:space="preserve">La EUIPO está aplicando las modificaciones informáticas exigidas por la nueva reglamentación legislativa de la UE sobre diseños e indicaciones geográficas </w:t>
            </w:r>
          </w:p>
        </w:tc>
      </w:tr>
      <w:tr w:rsidR="00EC096D" w:rsidRPr="002A4BDC" w14:paraId="2A20A170" w14:textId="77777777" w:rsidTr="00830A7B">
        <w:tc>
          <w:tcPr>
            <w:tcW w:w="1440" w:type="dxa"/>
          </w:tcPr>
          <w:p w14:paraId="29C445CF"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69B6EFF6" w14:textId="587F56FE"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Proyectos en el marco de factores impulsores 2, 3 y 4 del Plan Estratégico 2028 - por ejemplo, SACEPO </w:t>
            </w:r>
          </w:p>
        </w:tc>
      </w:tr>
      <w:tr w:rsidR="00EC096D" w:rsidRPr="002A4BDC" w14:paraId="78E1757D" w14:textId="77777777" w:rsidTr="00830A7B">
        <w:tc>
          <w:tcPr>
            <w:tcW w:w="1440" w:type="dxa"/>
          </w:tcPr>
          <w:p w14:paraId="40DDFCD6" w14:textId="77777777" w:rsidR="00EC096D" w:rsidRPr="002A4BDC" w:rsidRDefault="00EC096D" w:rsidP="009E3961">
            <w:pPr>
              <w:spacing w:after="0"/>
              <w:rPr>
                <w:rStyle w:val="text"/>
                <w:lang w:val="es-ES_tradnl"/>
              </w:rPr>
            </w:pPr>
            <w:r w:rsidRPr="002A4BDC">
              <w:rPr>
                <w:rStyle w:val="text"/>
                <w:lang w:val="es-ES_tradnl"/>
              </w:rPr>
              <w:t>ES</w:t>
            </w:r>
          </w:p>
        </w:tc>
        <w:tc>
          <w:tcPr>
            <w:tcW w:w="7665" w:type="dxa"/>
          </w:tcPr>
          <w:p w14:paraId="1F396B98" w14:textId="28393381"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Modernización de herramientas de gestión </w:t>
            </w:r>
          </w:p>
        </w:tc>
      </w:tr>
      <w:tr w:rsidR="00EC096D" w:rsidRPr="002A4BDC" w14:paraId="4DF82740" w14:textId="77777777" w:rsidTr="00830A7B">
        <w:tc>
          <w:tcPr>
            <w:tcW w:w="1440" w:type="dxa"/>
          </w:tcPr>
          <w:p w14:paraId="7C65435A" w14:textId="77777777" w:rsidR="00EC096D" w:rsidRPr="002A4BDC" w:rsidRDefault="00EC096D" w:rsidP="009E3961">
            <w:pPr>
              <w:spacing w:after="0"/>
              <w:rPr>
                <w:rStyle w:val="text"/>
                <w:lang w:val="es-ES_tradnl"/>
              </w:rPr>
            </w:pPr>
            <w:r w:rsidRPr="002A4BDC">
              <w:rPr>
                <w:rStyle w:val="text"/>
                <w:lang w:val="es-ES_tradnl"/>
              </w:rPr>
              <w:t>GM</w:t>
            </w:r>
          </w:p>
        </w:tc>
        <w:tc>
          <w:tcPr>
            <w:tcW w:w="7665" w:type="dxa"/>
          </w:tcPr>
          <w:p w14:paraId="53D5D924" w14:textId="6C0C79E7" w:rsidR="00EC096D" w:rsidRPr="002A4BDC" w:rsidRDefault="00EC096D" w:rsidP="009E3961">
            <w:pPr>
              <w:spacing w:after="0"/>
              <w:rPr>
                <w:rFonts w:asciiTheme="minorBidi" w:hAnsiTheme="minorBidi" w:cstheme="minorBidi"/>
                <w:lang w:val="es-ES_tradnl"/>
              </w:rPr>
            </w:pPr>
            <w:r w:rsidRPr="002A4BDC">
              <w:rPr>
                <w:rStyle w:val="text"/>
                <w:lang w:val="es-ES_tradnl"/>
              </w:rPr>
              <w:t>Nos centramos en el IPAS 4.0 de la OMPI, ya que su plataforma puede dar acceso a la mayoría de las recomendaciones formuladas</w:t>
            </w:r>
            <w:r w:rsidR="003A2C82" w:rsidRPr="002A4BDC">
              <w:rPr>
                <w:rStyle w:val="text"/>
                <w:lang w:val="es-ES_tradnl"/>
              </w:rPr>
              <w:t xml:space="preserve"> </w:t>
            </w:r>
          </w:p>
        </w:tc>
      </w:tr>
      <w:tr w:rsidR="00EC096D" w:rsidRPr="002A4BDC" w14:paraId="6D2F0B80" w14:textId="77777777" w:rsidTr="00830A7B">
        <w:tc>
          <w:tcPr>
            <w:tcW w:w="1440" w:type="dxa"/>
          </w:tcPr>
          <w:p w14:paraId="44068EAD" w14:textId="77777777" w:rsidR="00EC096D" w:rsidRPr="002A4BDC" w:rsidRDefault="00EC096D" w:rsidP="009E3961">
            <w:pPr>
              <w:spacing w:after="0"/>
              <w:rPr>
                <w:rStyle w:val="text"/>
                <w:lang w:val="es-ES_tradnl"/>
              </w:rPr>
            </w:pPr>
            <w:r w:rsidRPr="002A4BDC">
              <w:rPr>
                <w:rStyle w:val="text"/>
                <w:lang w:val="es-ES_tradnl"/>
              </w:rPr>
              <w:t>HR</w:t>
            </w:r>
          </w:p>
        </w:tc>
        <w:tc>
          <w:tcPr>
            <w:tcW w:w="7665" w:type="dxa"/>
          </w:tcPr>
          <w:p w14:paraId="4A9C672D"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Proceso de transformación digital en curso </w:t>
            </w:r>
          </w:p>
        </w:tc>
      </w:tr>
      <w:tr w:rsidR="00EC096D" w:rsidRPr="002A4BDC" w14:paraId="013F71EB" w14:textId="77777777" w:rsidTr="00830A7B">
        <w:tc>
          <w:tcPr>
            <w:tcW w:w="1440" w:type="dxa"/>
          </w:tcPr>
          <w:p w14:paraId="40D92BC1" w14:textId="77777777" w:rsidR="00EC096D" w:rsidRPr="002A4BDC" w:rsidRDefault="00EC096D" w:rsidP="009E3961">
            <w:pPr>
              <w:spacing w:after="0"/>
              <w:rPr>
                <w:rStyle w:val="text"/>
                <w:lang w:val="es-ES_tradnl"/>
              </w:rPr>
            </w:pPr>
            <w:r w:rsidRPr="002A4BDC">
              <w:rPr>
                <w:rStyle w:val="text"/>
                <w:lang w:val="es-ES_tradnl"/>
              </w:rPr>
              <w:t>IL</w:t>
            </w:r>
          </w:p>
        </w:tc>
        <w:tc>
          <w:tcPr>
            <w:tcW w:w="7665" w:type="dxa"/>
          </w:tcPr>
          <w:p w14:paraId="6670677F"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El sistema de presentación electrónica se ha mejorado para incluir un módulo inteligente de presentación de solicitudes, que muestra únicamente las solicitudes pertinentes en función de su estado y de su fase, con notificaciones y advertencias pertinentes. Esto aumenta la eficacia y la precisión en la presentación de solicitudes. El sistema actualizado se ha puesto en marcha en el primer trimestre de 2025. </w:t>
            </w:r>
          </w:p>
        </w:tc>
      </w:tr>
      <w:tr w:rsidR="00EC096D" w:rsidRPr="002A4BDC" w14:paraId="54918BFC" w14:textId="77777777" w:rsidTr="00830A7B">
        <w:tc>
          <w:tcPr>
            <w:tcW w:w="1440" w:type="dxa"/>
          </w:tcPr>
          <w:p w14:paraId="7A0204BB" w14:textId="77777777" w:rsidR="00EC096D" w:rsidRPr="002A4BDC" w:rsidRDefault="00EC096D" w:rsidP="009E3961">
            <w:pPr>
              <w:spacing w:after="0"/>
              <w:rPr>
                <w:rStyle w:val="text"/>
                <w:lang w:val="es-ES_tradnl"/>
              </w:rPr>
            </w:pPr>
            <w:r w:rsidRPr="002A4BDC">
              <w:rPr>
                <w:rStyle w:val="text"/>
                <w:lang w:val="es-ES_tradnl"/>
              </w:rPr>
              <w:t>JP</w:t>
            </w:r>
          </w:p>
        </w:tc>
        <w:tc>
          <w:tcPr>
            <w:tcW w:w="7665" w:type="dxa"/>
          </w:tcPr>
          <w:p w14:paraId="3A7C7B43" w14:textId="624C9ECD" w:rsidR="00EC096D" w:rsidRPr="002A4BDC" w:rsidRDefault="00EC096D" w:rsidP="009E3961">
            <w:pPr>
              <w:spacing w:after="0"/>
              <w:rPr>
                <w:rFonts w:asciiTheme="minorBidi" w:hAnsiTheme="minorBidi" w:cstheme="minorBidi"/>
                <w:lang w:val="es-ES_tradnl"/>
              </w:rPr>
            </w:pPr>
            <w:r w:rsidRPr="002A4BDC">
              <w:rPr>
                <w:rStyle w:val="text"/>
                <w:lang w:val="es-ES_tradnl"/>
              </w:rPr>
              <w:t>La Oficina Japonesa de Patentes (JPO) formuló y anunció la JPO Digital Strategy</w:t>
            </w:r>
            <w:r w:rsidR="002A4BDC">
              <w:rPr>
                <w:rStyle w:val="text"/>
                <w:lang w:val="es-ES_tradnl"/>
              </w:rPr>
              <w:t> </w:t>
            </w:r>
            <w:r w:rsidRPr="002A4BDC">
              <w:rPr>
                <w:rStyle w:val="text"/>
                <w:lang w:val="es-ES_tradnl"/>
              </w:rPr>
              <w:t xml:space="preserve">202X (Estrategia Digital de JPO 202X) en noviembre de 2024 como marco para el futuro desarrollo del sistema. Esta estrategia propone ofrecer un entorno digital inteligente y de alto nivel a todas las partes interesadas mediante la reevaluación de la comunicación externa, así como de las empresas, los sistemas y la normativa de forma integrada. </w:t>
            </w:r>
          </w:p>
        </w:tc>
      </w:tr>
      <w:tr w:rsidR="00EC096D" w:rsidRPr="002A4BDC" w14:paraId="724CF81B" w14:textId="77777777" w:rsidTr="00830A7B">
        <w:tc>
          <w:tcPr>
            <w:tcW w:w="1440" w:type="dxa"/>
          </w:tcPr>
          <w:p w14:paraId="6EB429CC" w14:textId="77777777" w:rsidR="00EC096D" w:rsidRPr="002A4BDC" w:rsidRDefault="00EC096D" w:rsidP="009E3961">
            <w:pPr>
              <w:spacing w:after="0"/>
              <w:rPr>
                <w:rStyle w:val="text"/>
                <w:lang w:val="es-ES_tradnl"/>
              </w:rPr>
            </w:pPr>
            <w:r w:rsidRPr="002A4BDC">
              <w:rPr>
                <w:rStyle w:val="text"/>
                <w:lang w:val="es-ES_tradnl"/>
              </w:rPr>
              <w:t>PE</w:t>
            </w:r>
          </w:p>
        </w:tc>
        <w:tc>
          <w:tcPr>
            <w:tcW w:w="7665" w:type="dxa"/>
          </w:tcPr>
          <w:p w14:paraId="10B45C7E"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La Oficina está determinando actualmente cuáles son los problemas operativos y las mejores soluciones digitales para superarlos, evitando el uso de procesos en papel. </w:t>
            </w:r>
          </w:p>
        </w:tc>
      </w:tr>
      <w:tr w:rsidR="00EC096D" w:rsidRPr="002A4BDC" w14:paraId="300A091D" w14:textId="77777777" w:rsidTr="00830A7B">
        <w:tc>
          <w:tcPr>
            <w:tcW w:w="1440" w:type="dxa"/>
          </w:tcPr>
          <w:p w14:paraId="0DD715B4" w14:textId="77777777" w:rsidR="00EC096D" w:rsidRPr="002A4BDC" w:rsidRDefault="00EC096D" w:rsidP="009E3961">
            <w:pPr>
              <w:spacing w:after="0"/>
              <w:rPr>
                <w:rStyle w:val="text"/>
                <w:lang w:val="es-ES_tradnl"/>
              </w:rPr>
            </w:pPr>
            <w:r w:rsidRPr="002A4BDC">
              <w:rPr>
                <w:rStyle w:val="text"/>
                <w:lang w:val="es-ES_tradnl"/>
              </w:rPr>
              <w:t>PL</w:t>
            </w:r>
          </w:p>
        </w:tc>
        <w:tc>
          <w:tcPr>
            <w:tcW w:w="7665" w:type="dxa"/>
          </w:tcPr>
          <w:p w14:paraId="0F685177"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Estamos trabajando en un nuevo proyecto, el portal de jurisprudencia, que proporcionará acceso directo a la base de datos de resoluciones anonimizadas, lo que permitirá analizar casos concretos teniendo en cuenta las resoluciones y la jurisprudencia de la Oficina. El módulo también permitirá la búsqueda temática, el filtrado y la navegación por las resoluciones, lo que mejorará la comodidad y la calidad del trabajo de los clientes de la Oficina, incluidos los abogados profesionales. El uso de inteligencia artificial en el propio sistema permitirá generar resúmenes de decisiones y mejorará la preparación de publicaciones de decisiones mediante su anonimización automática y la preparación de metadatos </w:t>
            </w:r>
          </w:p>
        </w:tc>
      </w:tr>
      <w:tr w:rsidR="00EC096D" w:rsidRPr="002A4BDC" w14:paraId="64B894A6" w14:textId="77777777" w:rsidTr="00830A7B">
        <w:tc>
          <w:tcPr>
            <w:tcW w:w="1440" w:type="dxa"/>
          </w:tcPr>
          <w:p w14:paraId="0C0C70EF"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54553AAB" w14:textId="35799E8D" w:rsidR="00EC096D" w:rsidRPr="002A4BDC" w:rsidRDefault="00EC096D" w:rsidP="009E3961">
            <w:pPr>
              <w:spacing w:after="0"/>
              <w:rPr>
                <w:rFonts w:asciiTheme="minorBidi" w:hAnsiTheme="minorBidi" w:cstheme="minorBidi"/>
                <w:lang w:val="es-ES_tradnl"/>
              </w:rPr>
            </w:pPr>
            <w:r w:rsidRPr="002A4BDC">
              <w:rPr>
                <w:rStyle w:val="text"/>
                <w:lang w:val="es-ES_tradnl"/>
              </w:rPr>
              <w:t>Elaborar y diseñar procesos a nivel de Propiedad Industrial (PI) y Derechos de Autor (DA) con un enfoque en los flujos de trabajo de PI en cada esfera. Actualmente en etapa de reuniones de trabajo en cada esfera prioritaria para determinar los alcances jurídicos de las normas internas y redactarlas, con un diseño que se aplica a nivel del sistema informático de gestión.</w:t>
            </w:r>
          </w:p>
        </w:tc>
      </w:tr>
      <w:tr w:rsidR="00EC096D" w:rsidRPr="002A4BDC" w14:paraId="5D767EED" w14:textId="77777777" w:rsidTr="00830A7B">
        <w:tc>
          <w:tcPr>
            <w:tcW w:w="1440" w:type="dxa"/>
          </w:tcPr>
          <w:p w14:paraId="182B9F0A" w14:textId="77777777" w:rsidR="00EC096D" w:rsidRPr="002A4BDC" w:rsidRDefault="00EC096D" w:rsidP="009E3961">
            <w:pPr>
              <w:spacing w:after="0"/>
              <w:rPr>
                <w:rStyle w:val="text"/>
                <w:lang w:val="es-ES_tradnl"/>
              </w:rPr>
            </w:pPr>
            <w:r w:rsidRPr="002A4BDC">
              <w:rPr>
                <w:rStyle w:val="text"/>
                <w:lang w:val="es-ES_tradnl"/>
              </w:rPr>
              <w:t>RU</w:t>
            </w:r>
          </w:p>
        </w:tc>
        <w:tc>
          <w:tcPr>
            <w:tcW w:w="7665" w:type="dxa"/>
          </w:tcPr>
          <w:p w14:paraId="5C810A56"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Proyecto Federal de economía digital, economía de datos, ámbito de ciencia e innovación. </w:t>
            </w:r>
          </w:p>
        </w:tc>
      </w:tr>
    </w:tbl>
    <w:p w14:paraId="354ADAAD" w14:textId="26C66A53" w:rsidR="003A2C82" w:rsidRPr="002A4BDC" w:rsidRDefault="003A2C82">
      <w:pPr>
        <w:rPr>
          <w:rFonts w:asciiTheme="minorBidi" w:hAnsiTheme="minorBidi" w:cstheme="minorBidi"/>
          <w:lang w:val="es-ES_tradnl"/>
        </w:rPr>
      </w:pPr>
    </w:p>
    <w:p w14:paraId="24E9C5A0" w14:textId="77777777" w:rsidR="003A2C82" w:rsidRPr="002A4BDC" w:rsidRDefault="003A2C82">
      <w:pPr>
        <w:rPr>
          <w:rFonts w:asciiTheme="minorBidi" w:hAnsiTheme="minorBidi" w:cstheme="minorBidi"/>
          <w:lang w:val="es-ES_tradnl"/>
        </w:rPr>
      </w:pPr>
      <w:r w:rsidRPr="002A4BDC">
        <w:rPr>
          <w:rFonts w:asciiTheme="minorBidi" w:hAnsiTheme="minorBidi" w:cstheme="minorBidi"/>
          <w:lang w:val="es-ES_tradnl"/>
        </w:rPr>
        <w:br w:type="page"/>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14852F1E" w14:textId="77777777" w:rsidTr="00830A7B">
        <w:tc>
          <w:tcPr>
            <w:tcW w:w="1440" w:type="dxa"/>
            <w:shd w:val="clear" w:color="auto" w:fill="1F497D" w:themeFill="text2"/>
          </w:tcPr>
          <w:p w14:paraId="4CBDDFF2"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2B4516B7"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2 </w:t>
            </w:r>
          </w:p>
        </w:tc>
      </w:tr>
      <w:tr w:rsidR="00EC096D" w:rsidRPr="002A4BDC" w14:paraId="5C60F7D1" w14:textId="77777777" w:rsidTr="00830A7B">
        <w:tc>
          <w:tcPr>
            <w:tcW w:w="1440" w:type="dxa"/>
          </w:tcPr>
          <w:p w14:paraId="546D540F" w14:textId="77777777" w:rsidR="00EC096D" w:rsidRPr="002A4BDC" w:rsidRDefault="00EC096D" w:rsidP="009E3961">
            <w:pPr>
              <w:spacing w:after="0"/>
              <w:rPr>
                <w:rStyle w:val="text"/>
                <w:lang w:val="es-ES_tradnl"/>
              </w:rPr>
            </w:pPr>
            <w:r w:rsidRPr="002A4BDC">
              <w:rPr>
                <w:rStyle w:val="text"/>
                <w:lang w:val="es-ES_tradnl"/>
              </w:rPr>
              <w:t>BR</w:t>
            </w:r>
          </w:p>
        </w:tc>
        <w:tc>
          <w:tcPr>
            <w:tcW w:w="7665" w:type="dxa"/>
          </w:tcPr>
          <w:p w14:paraId="013EAC34" w14:textId="76BFB95B"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En curso - Desarrollo del PETIC (Plan Estratégico de Tecnología de la Información y la Comunicación) con la colaboración de la DKPTO. </w:t>
            </w:r>
          </w:p>
        </w:tc>
      </w:tr>
      <w:tr w:rsidR="00EC096D" w:rsidRPr="002A4BDC" w14:paraId="3CBAB4C1" w14:textId="77777777" w:rsidTr="00830A7B">
        <w:tc>
          <w:tcPr>
            <w:tcW w:w="1440" w:type="dxa"/>
          </w:tcPr>
          <w:p w14:paraId="0F0FFE39"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739881DB"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Aplicación de la modernización informática siguiendo la arquitectura del Plan Estratégico de la EUIPO </w:t>
            </w:r>
          </w:p>
        </w:tc>
      </w:tr>
      <w:tr w:rsidR="00EC096D" w:rsidRPr="002A4BDC" w14:paraId="03337786" w14:textId="77777777" w:rsidTr="00830A7B">
        <w:tc>
          <w:tcPr>
            <w:tcW w:w="1440" w:type="dxa"/>
          </w:tcPr>
          <w:p w14:paraId="61B5363D"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7FEEB219" w14:textId="15C4540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Proyectos en el marco de factores impulsores 2, 3 y 4 del Plan Estratégico 2028 - esp. Factor impulsor 2: Tecnología </w:t>
            </w:r>
          </w:p>
        </w:tc>
      </w:tr>
      <w:tr w:rsidR="00EC096D" w:rsidRPr="002A4BDC" w14:paraId="24845972" w14:textId="77777777" w:rsidTr="00830A7B">
        <w:tc>
          <w:tcPr>
            <w:tcW w:w="1440" w:type="dxa"/>
          </w:tcPr>
          <w:p w14:paraId="687D0EB1" w14:textId="77777777" w:rsidR="00EC096D" w:rsidRPr="002A4BDC" w:rsidRDefault="00EC096D" w:rsidP="009E3961">
            <w:pPr>
              <w:spacing w:after="0"/>
              <w:rPr>
                <w:rStyle w:val="text"/>
                <w:lang w:val="es-ES_tradnl"/>
              </w:rPr>
            </w:pPr>
            <w:r w:rsidRPr="002A4BDC">
              <w:rPr>
                <w:rStyle w:val="text"/>
                <w:lang w:val="es-ES_tradnl"/>
              </w:rPr>
              <w:t>FI</w:t>
            </w:r>
          </w:p>
        </w:tc>
        <w:tc>
          <w:tcPr>
            <w:tcW w:w="7665" w:type="dxa"/>
          </w:tcPr>
          <w:p w14:paraId="20A9934B"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Se trata de una actividad en curso con la cooperación de otras organizaciones gubernamentales. </w:t>
            </w:r>
          </w:p>
        </w:tc>
      </w:tr>
      <w:tr w:rsidR="00EC096D" w:rsidRPr="002A4BDC" w14:paraId="36A1AEE1" w14:textId="77777777" w:rsidTr="00830A7B">
        <w:tc>
          <w:tcPr>
            <w:tcW w:w="1440" w:type="dxa"/>
          </w:tcPr>
          <w:p w14:paraId="046842E9" w14:textId="77777777" w:rsidR="00EC096D" w:rsidRPr="002A4BDC" w:rsidRDefault="00EC096D" w:rsidP="009E3961">
            <w:pPr>
              <w:spacing w:after="0"/>
              <w:rPr>
                <w:rStyle w:val="text"/>
                <w:lang w:val="es-ES_tradnl"/>
              </w:rPr>
            </w:pPr>
            <w:r w:rsidRPr="002A4BDC">
              <w:rPr>
                <w:rStyle w:val="text"/>
                <w:lang w:val="es-ES_tradnl"/>
              </w:rPr>
              <w:t>HR</w:t>
            </w:r>
          </w:p>
        </w:tc>
        <w:tc>
          <w:tcPr>
            <w:tcW w:w="7665" w:type="dxa"/>
          </w:tcPr>
          <w:p w14:paraId="2EDB859D"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Adoptar la estrategia TIC es nuestro objetivo para 2025 </w:t>
            </w:r>
          </w:p>
        </w:tc>
      </w:tr>
      <w:tr w:rsidR="00EC096D" w:rsidRPr="002A4BDC" w14:paraId="52002CF0" w14:textId="77777777" w:rsidTr="00830A7B">
        <w:tc>
          <w:tcPr>
            <w:tcW w:w="1440" w:type="dxa"/>
          </w:tcPr>
          <w:p w14:paraId="73BEB538" w14:textId="77777777" w:rsidR="00EC096D" w:rsidRPr="002A4BDC" w:rsidRDefault="00EC096D" w:rsidP="009E3961">
            <w:pPr>
              <w:spacing w:after="0"/>
              <w:rPr>
                <w:rStyle w:val="text"/>
                <w:lang w:val="es-ES_tradnl"/>
              </w:rPr>
            </w:pPr>
            <w:r w:rsidRPr="002A4BDC">
              <w:rPr>
                <w:rStyle w:val="text"/>
                <w:lang w:val="es-ES_tradnl"/>
              </w:rPr>
              <w:t>NO</w:t>
            </w:r>
          </w:p>
        </w:tc>
        <w:tc>
          <w:tcPr>
            <w:tcW w:w="7665" w:type="dxa"/>
          </w:tcPr>
          <w:p w14:paraId="763B0A1F" w14:textId="27D84AFD"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Plan del proceso de revisión anual y traducción en curso de aplicación </w:t>
            </w:r>
          </w:p>
        </w:tc>
      </w:tr>
      <w:tr w:rsidR="00EC096D" w:rsidRPr="002A4BDC" w14:paraId="01D81B0A" w14:textId="77777777" w:rsidTr="00830A7B">
        <w:tc>
          <w:tcPr>
            <w:tcW w:w="1440" w:type="dxa"/>
          </w:tcPr>
          <w:p w14:paraId="6BC8DFC2"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143CF6E3" w14:textId="2FC19976" w:rsidR="00EC096D" w:rsidRPr="002A4BDC" w:rsidRDefault="00EC096D" w:rsidP="009E3961">
            <w:pPr>
              <w:spacing w:after="0"/>
              <w:rPr>
                <w:rFonts w:asciiTheme="minorBidi" w:hAnsiTheme="minorBidi" w:cstheme="minorBidi"/>
                <w:lang w:val="es-ES_tradnl"/>
              </w:rPr>
            </w:pPr>
            <w:r w:rsidRPr="002A4BDC">
              <w:rPr>
                <w:rStyle w:val="text"/>
                <w:lang w:val="es-ES_tradnl"/>
              </w:rPr>
              <w:t>Elaborar un plan director de TIC con el apoyo del BID (Banco Interamericano de Desarrollo), actualmente en etapa de recopilación de información y datos.</w:t>
            </w:r>
          </w:p>
        </w:tc>
      </w:tr>
    </w:tbl>
    <w:p w14:paraId="5A2C9781"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5B1F9946" w14:textId="77777777" w:rsidTr="00830A7B">
        <w:tc>
          <w:tcPr>
            <w:tcW w:w="1440" w:type="dxa"/>
            <w:shd w:val="clear" w:color="auto" w:fill="1F497D" w:themeFill="text2"/>
          </w:tcPr>
          <w:p w14:paraId="07EC9D16"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1B530626"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3 </w:t>
            </w:r>
          </w:p>
        </w:tc>
      </w:tr>
      <w:tr w:rsidR="00EC096D" w:rsidRPr="002A4BDC" w14:paraId="150C6C3B" w14:textId="77777777" w:rsidTr="00830A7B">
        <w:tc>
          <w:tcPr>
            <w:tcW w:w="1440" w:type="dxa"/>
          </w:tcPr>
          <w:p w14:paraId="6647F87B" w14:textId="77777777" w:rsidR="00EC096D" w:rsidRPr="002A4BDC" w:rsidRDefault="00EC096D" w:rsidP="009E3961">
            <w:pPr>
              <w:spacing w:after="0"/>
              <w:rPr>
                <w:rStyle w:val="text"/>
                <w:lang w:val="es-ES_tradnl"/>
              </w:rPr>
            </w:pPr>
            <w:r w:rsidRPr="002A4BDC">
              <w:rPr>
                <w:rStyle w:val="text"/>
                <w:lang w:val="es-ES_tradnl"/>
              </w:rPr>
              <w:t>BR</w:t>
            </w:r>
          </w:p>
        </w:tc>
        <w:tc>
          <w:tcPr>
            <w:tcW w:w="7665" w:type="dxa"/>
          </w:tcPr>
          <w:p w14:paraId="72146FA8" w14:textId="30F80433"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Previsto - Un conjunto de proyectos para lograr la madurez y la gestión de los datos: Accesibilidad y política de datos, análisis de datos no estructurados, documentación de activos de datos y gestión y calidad de datos. </w:t>
            </w:r>
          </w:p>
        </w:tc>
      </w:tr>
      <w:tr w:rsidR="00EC096D" w:rsidRPr="002A4BDC" w14:paraId="1476F6A3" w14:textId="77777777" w:rsidTr="00830A7B">
        <w:tc>
          <w:tcPr>
            <w:tcW w:w="1440" w:type="dxa"/>
          </w:tcPr>
          <w:p w14:paraId="18A0D200"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6CA5172C" w14:textId="0B26C75A"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La política de la línea de </w:t>
            </w:r>
            <w:r w:rsidR="00424632" w:rsidRPr="002A4BDC">
              <w:rPr>
                <w:rStyle w:val="text"/>
                <w:lang w:val="es-ES_tradnl"/>
              </w:rPr>
              <w:t xml:space="preserve">operaciones </w:t>
            </w:r>
            <w:r w:rsidRPr="002A4BDC">
              <w:rPr>
                <w:rStyle w:val="text"/>
                <w:lang w:val="es-ES_tradnl"/>
              </w:rPr>
              <w:t xml:space="preserve">interviene en cada decisión sobre datos/procesos ITM </w:t>
            </w:r>
          </w:p>
        </w:tc>
      </w:tr>
      <w:tr w:rsidR="00EC096D" w:rsidRPr="002A4BDC" w14:paraId="610A4EC1" w14:textId="77777777" w:rsidTr="00830A7B">
        <w:tc>
          <w:tcPr>
            <w:tcW w:w="1440" w:type="dxa"/>
          </w:tcPr>
          <w:p w14:paraId="32E0843D"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6A3DD466" w14:textId="0ED0171A"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Proyectos en el marco de factores impulsores 2, 3 y 4 del Plan Estratégico 2028 - esp. Factor impulsor 3: Sede central y productos y servicios puntuales </w:t>
            </w:r>
          </w:p>
        </w:tc>
      </w:tr>
      <w:tr w:rsidR="00EC096D" w:rsidRPr="002A4BDC" w14:paraId="4F1891F2" w14:textId="77777777" w:rsidTr="00830A7B">
        <w:tc>
          <w:tcPr>
            <w:tcW w:w="1440" w:type="dxa"/>
          </w:tcPr>
          <w:p w14:paraId="637C2C0F" w14:textId="77777777" w:rsidR="00EC096D" w:rsidRPr="002A4BDC" w:rsidRDefault="00EC096D" w:rsidP="009E3961">
            <w:pPr>
              <w:spacing w:after="0"/>
              <w:rPr>
                <w:rStyle w:val="text"/>
                <w:lang w:val="es-ES_tradnl"/>
              </w:rPr>
            </w:pPr>
            <w:r w:rsidRPr="002A4BDC">
              <w:rPr>
                <w:rStyle w:val="text"/>
                <w:lang w:val="es-ES_tradnl"/>
              </w:rPr>
              <w:t>FI</w:t>
            </w:r>
          </w:p>
        </w:tc>
        <w:tc>
          <w:tcPr>
            <w:tcW w:w="7665" w:type="dxa"/>
          </w:tcPr>
          <w:p w14:paraId="2DB33582"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Aplicación del modelo de gobernanza de datos (requisito nacional) </w:t>
            </w:r>
          </w:p>
        </w:tc>
      </w:tr>
      <w:tr w:rsidR="00EC096D" w:rsidRPr="002A4BDC" w14:paraId="5D8336EE" w14:textId="77777777" w:rsidTr="00830A7B">
        <w:tc>
          <w:tcPr>
            <w:tcW w:w="1440" w:type="dxa"/>
          </w:tcPr>
          <w:p w14:paraId="7CA3C2F5" w14:textId="77777777" w:rsidR="00EC096D" w:rsidRPr="002A4BDC" w:rsidRDefault="00EC096D" w:rsidP="009E3961">
            <w:pPr>
              <w:spacing w:after="0"/>
              <w:rPr>
                <w:rStyle w:val="text"/>
                <w:lang w:val="es-ES_tradnl"/>
              </w:rPr>
            </w:pPr>
            <w:r w:rsidRPr="002A4BDC">
              <w:rPr>
                <w:rStyle w:val="text"/>
                <w:lang w:val="es-ES_tradnl"/>
              </w:rPr>
              <w:t>HR</w:t>
            </w:r>
          </w:p>
        </w:tc>
        <w:tc>
          <w:tcPr>
            <w:tcW w:w="7665" w:type="dxa"/>
          </w:tcPr>
          <w:p w14:paraId="317B2D3C"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Ampliar el marco de gobernanza de datos es nuestro objetivo para 2025 </w:t>
            </w:r>
          </w:p>
        </w:tc>
      </w:tr>
      <w:tr w:rsidR="00EC096D" w:rsidRPr="002A4BDC" w14:paraId="771FD7D0" w14:textId="77777777" w:rsidTr="00830A7B">
        <w:tc>
          <w:tcPr>
            <w:tcW w:w="1440" w:type="dxa"/>
          </w:tcPr>
          <w:p w14:paraId="0DDF2407"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4475D2AC" w14:textId="6012E7EE" w:rsidR="00EC096D" w:rsidRPr="002A4BDC" w:rsidRDefault="00EC096D" w:rsidP="009E3961">
            <w:pPr>
              <w:spacing w:after="0"/>
              <w:rPr>
                <w:rFonts w:asciiTheme="minorBidi" w:hAnsiTheme="minorBidi" w:cstheme="minorBidi"/>
                <w:lang w:val="es-ES_tradnl"/>
              </w:rPr>
            </w:pPr>
            <w:r w:rsidRPr="002A4BDC">
              <w:rPr>
                <w:rStyle w:val="text"/>
                <w:lang w:val="es-ES_tradnl"/>
              </w:rPr>
              <w:t>Se están estableciendo directrices a nivel gobierno, a través del Ministerio de Tecnología y Comunicación.</w:t>
            </w:r>
          </w:p>
        </w:tc>
      </w:tr>
      <w:tr w:rsidR="00EC096D" w:rsidRPr="002A4BDC" w14:paraId="70A82502" w14:textId="77777777" w:rsidTr="00830A7B">
        <w:tc>
          <w:tcPr>
            <w:tcW w:w="1440" w:type="dxa"/>
          </w:tcPr>
          <w:p w14:paraId="1BA743C5" w14:textId="77777777" w:rsidR="00EC096D" w:rsidRPr="002A4BDC" w:rsidRDefault="00EC096D" w:rsidP="009E3961">
            <w:pPr>
              <w:spacing w:after="0"/>
              <w:rPr>
                <w:rStyle w:val="text"/>
                <w:lang w:val="es-ES_tradnl"/>
              </w:rPr>
            </w:pPr>
            <w:r w:rsidRPr="002A4BDC">
              <w:rPr>
                <w:rStyle w:val="text"/>
                <w:lang w:val="es-ES_tradnl"/>
              </w:rPr>
              <w:t>US</w:t>
            </w:r>
          </w:p>
        </w:tc>
        <w:tc>
          <w:tcPr>
            <w:tcW w:w="7665" w:type="dxa"/>
          </w:tcPr>
          <w:p w14:paraId="7ADFA41F"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Iniciativa de datos como activos de empresa </w:t>
            </w:r>
          </w:p>
        </w:tc>
      </w:tr>
    </w:tbl>
    <w:p w14:paraId="7EA96BD4" w14:textId="28200654" w:rsidR="003A2C82" w:rsidRPr="002A4BDC" w:rsidRDefault="003A2C82">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758DD26D" w14:textId="77777777" w:rsidTr="00830A7B">
        <w:tc>
          <w:tcPr>
            <w:tcW w:w="1440" w:type="dxa"/>
            <w:shd w:val="clear" w:color="auto" w:fill="1F497D" w:themeFill="text2"/>
          </w:tcPr>
          <w:p w14:paraId="5D8DD2A8"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24D76015"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4 </w:t>
            </w:r>
          </w:p>
        </w:tc>
      </w:tr>
      <w:tr w:rsidR="00EC096D" w:rsidRPr="002A4BDC" w14:paraId="0A91D5AB" w14:textId="77777777" w:rsidTr="00830A7B">
        <w:tc>
          <w:tcPr>
            <w:tcW w:w="1440" w:type="dxa"/>
          </w:tcPr>
          <w:p w14:paraId="5CCEA6C4" w14:textId="77777777" w:rsidR="00EC096D" w:rsidRPr="002A4BDC" w:rsidRDefault="00EC096D" w:rsidP="009E3961">
            <w:pPr>
              <w:spacing w:after="0"/>
              <w:rPr>
                <w:rStyle w:val="text"/>
                <w:lang w:val="es-ES_tradnl"/>
              </w:rPr>
            </w:pPr>
            <w:r w:rsidRPr="002A4BDC">
              <w:rPr>
                <w:rStyle w:val="text"/>
                <w:lang w:val="es-ES_tradnl"/>
              </w:rPr>
              <w:t>AU</w:t>
            </w:r>
          </w:p>
        </w:tc>
        <w:tc>
          <w:tcPr>
            <w:tcW w:w="7665" w:type="dxa"/>
          </w:tcPr>
          <w:p w14:paraId="7EE0A11D" w14:textId="50588B19"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IP Australia se está centrando en la aplicación de una arquitectura de confianza cero que exige la verificación de los usuarios y dispositivos que acceden a los recursos de la red para que las prácticas se ajusten a un objetivo del gobierno federal. </w:t>
            </w:r>
          </w:p>
        </w:tc>
      </w:tr>
      <w:tr w:rsidR="00EC096D" w:rsidRPr="002A4BDC" w14:paraId="5A0993DE" w14:textId="77777777" w:rsidTr="00830A7B">
        <w:tc>
          <w:tcPr>
            <w:tcW w:w="1440" w:type="dxa"/>
          </w:tcPr>
          <w:p w14:paraId="17BEA59D" w14:textId="77777777" w:rsidR="00EC096D" w:rsidRPr="002A4BDC" w:rsidRDefault="00EC096D" w:rsidP="009E3961">
            <w:pPr>
              <w:spacing w:after="0"/>
              <w:rPr>
                <w:rStyle w:val="text"/>
                <w:lang w:val="es-ES_tradnl"/>
              </w:rPr>
            </w:pPr>
            <w:r w:rsidRPr="002A4BDC">
              <w:rPr>
                <w:rStyle w:val="text"/>
                <w:lang w:val="es-ES_tradnl"/>
              </w:rPr>
              <w:t>BR</w:t>
            </w:r>
          </w:p>
        </w:tc>
        <w:tc>
          <w:tcPr>
            <w:tcW w:w="7665" w:type="dxa"/>
          </w:tcPr>
          <w:p w14:paraId="07E43D1F" w14:textId="61628BCB"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En uso - POSIN (Política de seguridad de la información). </w:t>
            </w:r>
          </w:p>
        </w:tc>
      </w:tr>
      <w:tr w:rsidR="00EC096D" w:rsidRPr="002A4BDC" w14:paraId="6EA33D5C" w14:textId="77777777" w:rsidTr="00830A7B">
        <w:tc>
          <w:tcPr>
            <w:tcW w:w="1440" w:type="dxa"/>
          </w:tcPr>
          <w:p w14:paraId="3C7AA209"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47A70CCF"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ISED/CIPO cuenta con la revisión de seguridad informática del ISED en cada proyecto informático </w:t>
            </w:r>
          </w:p>
        </w:tc>
      </w:tr>
      <w:tr w:rsidR="00EC096D" w:rsidRPr="002A4BDC" w14:paraId="0CFBC8F5" w14:textId="77777777" w:rsidTr="00830A7B">
        <w:tc>
          <w:tcPr>
            <w:tcW w:w="1440" w:type="dxa"/>
          </w:tcPr>
          <w:p w14:paraId="0775DC4D" w14:textId="77777777" w:rsidR="00EC096D" w:rsidRPr="002A4BDC" w:rsidRDefault="00EC096D" w:rsidP="009E3961">
            <w:pPr>
              <w:spacing w:after="0"/>
              <w:rPr>
                <w:rStyle w:val="text"/>
                <w:lang w:val="es-ES_tradnl"/>
              </w:rPr>
            </w:pPr>
            <w:r w:rsidRPr="002A4BDC">
              <w:rPr>
                <w:rStyle w:val="text"/>
                <w:lang w:val="es-ES_tradnl"/>
              </w:rPr>
              <w:t>EM</w:t>
            </w:r>
          </w:p>
        </w:tc>
        <w:tc>
          <w:tcPr>
            <w:tcW w:w="7665" w:type="dxa"/>
          </w:tcPr>
          <w:p w14:paraId="4F911C69" w14:textId="5E8782DE" w:rsidR="00EC096D" w:rsidRPr="002A4BDC" w:rsidRDefault="00EC096D" w:rsidP="009E3961">
            <w:pPr>
              <w:spacing w:after="0"/>
              <w:rPr>
                <w:rFonts w:asciiTheme="minorBidi" w:hAnsiTheme="minorBidi" w:cstheme="minorBidi"/>
                <w:lang w:val="es-ES_tradnl"/>
              </w:rPr>
            </w:pPr>
            <w:r w:rsidRPr="002A4BDC">
              <w:rPr>
                <w:rStyle w:val="text"/>
                <w:lang w:val="es-ES_tradnl"/>
              </w:rPr>
              <w:t>La EUIPO está aplicando el nuevo Reglamento de ciberseguridad de la UE</w:t>
            </w:r>
            <w:r w:rsidR="003A2C82" w:rsidRPr="002A4BDC">
              <w:rPr>
                <w:rStyle w:val="text"/>
                <w:lang w:val="es-ES_tradnl"/>
              </w:rPr>
              <w:t xml:space="preserve"> </w:t>
            </w:r>
          </w:p>
        </w:tc>
      </w:tr>
      <w:tr w:rsidR="00EC096D" w:rsidRPr="002A4BDC" w14:paraId="2C120861" w14:textId="77777777" w:rsidTr="00830A7B">
        <w:tc>
          <w:tcPr>
            <w:tcW w:w="1440" w:type="dxa"/>
          </w:tcPr>
          <w:p w14:paraId="32590631"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1C4F5F91" w14:textId="16938F7D" w:rsidR="00EC096D" w:rsidRPr="002A4BDC" w:rsidRDefault="00EC096D" w:rsidP="009E3961">
            <w:pPr>
              <w:spacing w:after="0"/>
              <w:rPr>
                <w:rFonts w:asciiTheme="minorBidi" w:hAnsiTheme="minorBidi" w:cstheme="minorBidi"/>
                <w:lang w:val="es-ES_tradnl"/>
              </w:rPr>
            </w:pPr>
            <w:r w:rsidRPr="002A4BDC">
              <w:rPr>
                <w:rStyle w:val="text"/>
                <w:lang w:val="es-ES_tradnl"/>
              </w:rPr>
              <w:t>Proyectos en el marco de factores impulsores 2, 3 y 4 del Plan Estratégico 2028 - esp., ISO 27001/ 2022</w:t>
            </w:r>
            <w:r w:rsidR="003A2C82" w:rsidRPr="002A4BDC">
              <w:rPr>
                <w:rStyle w:val="text"/>
                <w:lang w:val="es-ES_tradnl"/>
              </w:rPr>
              <w:t xml:space="preserve"> </w:t>
            </w:r>
          </w:p>
        </w:tc>
      </w:tr>
      <w:tr w:rsidR="00EC096D" w:rsidRPr="002A4BDC" w14:paraId="4C7B8838" w14:textId="77777777" w:rsidTr="00830A7B">
        <w:tc>
          <w:tcPr>
            <w:tcW w:w="1440" w:type="dxa"/>
          </w:tcPr>
          <w:p w14:paraId="4AD84EC0" w14:textId="77777777" w:rsidR="00EC096D" w:rsidRPr="002A4BDC" w:rsidRDefault="00EC096D" w:rsidP="009E3961">
            <w:pPr>
              <w:spacing w:after="0"/>
              <w:rPr>
                <w:rStyle w:val="text"/>
                <w:lang w:val="es-ES_tradnl"/>
              </w:rPr>
            </w:pPr>
            <w:r w:rsidRPr="002A4BDC">
              <w:rPr>
                <w:rStyle w:val="text"/>
                <w:lang w:val="es-ES_tradnl"/>
              </w:rPr>
              <w:t>ES</w:t>
            </w:r>
          </w:p>
        </w:tc>
        <w:tc>
          <w:tcPr>
            <w:tcW w:w="7665" w:type="dxa"/>
          </w:tcPr>
          <w:p w14:paraId="6751E999"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Estamos a la espera de la aprobación de una política general de seguridad de la Administración para adherirnos a ella </w:t>
            </w:r>
          </w:p>
        </w:tc>
      </w:tr>
      <w:tr w:rsidR="00EC096D" w:rsidRPr="002A4BDC" w14:paraId="75E6F4EF" w14:textId="77777777" w:rsidTr="00830A7B">
        <w:tc>
          <w:tcPr>
            <w:tcW w:w="1440" w:type="dxa"/>
          </w:tcPr>
          <w:p w14:paraId="3A25ACED"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5267DF1B" w14:textId="5342169F" w:rsidR="00EC096D" w:rsidRPr="002A4BDC" w:rsidRDefault="00EC096D" w:rsidP="009E3961">
            <w:pPr>
              <w:spacing w:after="0"/>
              <w:rPr>
                <w:rFonts w:asciiTheme="minorBidi" w:hAnsiTheme="minorBidi" w:cstheme="minorBidi"/>
                <w:lang w:val="es-ES_tradnl"/>
              </w:rPr>
            </w:pPr>
            <w:r w:rsidRPr="002A4BDC">
              <w:rPr>
                <w:rStyle w:val="text"/>
                <w:lang w:val="es-ES_tradnl"/>
              </w:rPr>
              <w:t>Política de Seguridad, aprobada por la resolución N</w:t>
            </w:r>
            <w:r w:rsidR="003A2C82" w:rsidRPr="002A4BDC">
              <w:rPr>
                <w:rStyle w:val="text"/>
                <w:lang w:val="es-ES_tradnl"/>
              </w:rPr>
              <w:t>.</w:t>
            </w:r>
            <w:r w:rsidRPr="002A4BDC">
              <w:rPr>
                <w:rStyle w:val="text"/>
                <w:lang w:val="es-ES_tradnl"/>
              </w:rPr>
              <w:t>° 247/2023 por la cual se aprueba la Política de Seguridad Informática, versión 1.0.0, de la Dirección Nacional de Propiedad Intelectual.</w:t>
            </w:r>
          </w:p>
        </w:tc>
      </w:tr>
      <w:tr w:rsidR="00EC096D" w:rsidRPr="002A4BDC" w14:paraId="2F2C97D7" w14:textId="77777777" w:rsidTr="00830A7B">
        <w:tc>
          <w:tcPr>
            <w:tcW w:w="1440" w:type="dxa"/>
          </w:tcPr>
          <w:p w14:paraId="384F64C5" w14:textId="77777777" w:rsidR="00EC096D" w:rsidRPr="002A4BDC" w:rsidRDefault="00EC096D" w:rsidP="009E3961">
            <w:pPr>
              <w:spacing w:after="0"/>
              <w:rPr>
                <w:rStyle w:val="text"/>
                <w:lang w:val="es-ES_tradnl"/>
              </w:rPr>
            </w:pPr>
            <w:r w:rsidRPr="002A4BDC">
              <w:rPr>
                <w:rStyle w:val="text"/>
                <w:lang w:val="es-ES_tradnl"/>
              </w:rPr>
              <w:t>US</w:t>
            </w:r>
          </w:p>
        </w:tc>
        <w:tc>
          <w:tcPr>
            <w:tcW w:w="7665" w:type="dxa"/>
          </w:tcPr>
          <w:p w14:paraId="58D99B6D"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Autorización automatizada para operar (ATO) </w:t>
            </w:r>
          </w:p>
        </w:tc>
      </w:tr>
    </w:tbl>
    <w:p w14:paraId="23CBD70F"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228C9847" w14:textId="77777777" w:rsidTr="00876854">
        <w:tc>
          <w:tcPr>
            <w:tcW w:w="1440" w:type="dxa"/>
            <w:shd w:val="clear" w:color="auto" w:fill="1F497D" w:themeFill="text2"/>
          </w:tcPr>
          <w:p w14:paraId="19AFA369"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021CB65C"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5 </w:t>
            </w:r>
          </w:p>
        </w:tc>
      </w:tr>
      <w:tr w:rsidR="00EC096D" w:rsidRPr="002A4BDC" w14:paraId="5F85734A" w14:textId="77777777" w:rsidTr="00830A7B">
        <w:tc>
          <w:tcPr>
            <w:tcW w:w="1440" w:type="dxa"/>
          </w:tcPr>
          <w:p w14:paraId="06BA9FC2" w14:textId="77777777" w:rsidR="00EC096D" w:rsidRPr="002A4BDC" w:rsidRDefault="00EC096D" w:rsidP="009E3961">
            <w:pPr>
              <w:spacing w:after="0"/>
              <w:rPr>
                <w:rStyle w:val="text"/>
                <w:lang w:val="es-ES_tradnl"/>
              </w:rPr>
            </w:pPr>
            <w:r w:rsidRPr="002A4BDC">
              <w:rPr>
                <w:rStyle w:val="text"/>
                <w:lang w:val="es-ES_tradnl"/>
              </w:rPr>
              <w:t>AU</w:t>
            </w:r>
          </w:p>
        </w:tc>
        <w:tc>
          <w:tcPr>
            <w:tcW w:w="7665" w:type="dxa"/>
          </w:tcPr>
          <w:p w14:paraId="408F964A"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El proyecto Structured Patents Specification (especificación de memoria descriptiva) de IP Australia ofrecerá un sistema para publicar especificaciones de patentes en un formato estructurado de acuerdo con los requisitos de documentación mínima del PCT para el 1 de enero de 2026. </w:t>
            </w:r>
          </w:p>
        </w:tc>
      </w:tr>
      <w:tr w:rsidR="00EC096D" w:rsidRPr="002A4BDC" w14:paraId="29F30995" w14:textId="77777777" w:rsidTr="00830A7B">
        <w:tc>
          <w:tcPr>
            <w:tcW w:w="1440" w:type="dxa"/>
          </w:tcPr>
          <w:p w14:paraId="1DA4D8FE" w14:textId="77777777" w:rsidR="00EC096D" w:rsidRPr="002A4BDC" w:rsidRDefault="00EC096D" w:rsidP="009E3961">
            <w:pPr>
              <w:spacing w:after="0"/>
              <w:rPr>
                <w:rStyle w:val="text"/>
                <w:lang w:val="es-ES_tradnl"/>
              </w:rPr>
            </w:pPr>
            <w:r w:rsidRPr="002A4BDC">
              <w:rPr>
                <w:rStyle w:val="text"/>
                <w:lang w:val="es-ES_tradnl"/>
              </w:rPr>
              <w:t>BR</w:t>
            </w:r>
          </w:p>
        </w:tc>
        <w:tc>
          <w:tcPr>
            <w:tcW w:w="7665" w:type="dxa"/>
          </w:tcPr>
          <w:p w14:paraId="6DE966EF" w14:textId="0CEE3038" w:rsidR="00387BEB" w:rsidRPr="002A4BDC" w:rsidRDefault="00EC096D" w:rsidP="009E3961">
            <w:pPr>
              <w:spacing w:after="0"/>
              <w:rPr>
                <w:rStyle w:val="text"/>
                <w:lang w:val="es-ES_tradnl"/>
              </w:rPr>
            </w:pPr>
            <w:r w:rsidRPr="002A4BDC">
              <w:rPr>
                <w:rStyle w:val="text"/>
                <w:lang w:val="es-ES_tradnl"/>
              </w:rPr>
              <w:t xml:space="preserve">En curso - Portal de servicios para búsqueda y expedientes. </w:t>
            </w:r>
          </w:p>
          <w:p w14:paraId="58254C75" w14:textId="2A1F71C8"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Previsto - Formulario inteligente de patentes y modernización de la base de datos tecnológica. </w:t>
            </w:r>
          </w:p>
        </w:tc>
      </w:tr>
      <w:tr w:rsidR="00EC096D" w:rsidRPr="002A4BDC" w14:paraId="2FDFF1CF" w14:textId="77777777" w:rsidTr="00830A7B">
        <w:tc>
          <w:tcPr>
            <w:tcW w:w="1440" w:type="dxa"/>
          </w:tcPr>
          <w:p w14:paraId="6BC3743D"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444F4391"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Se siguen las normas de datos de la OMPI (ST.96,ST.36,ST.66,ST.86) y otras en las integraciones de ISED/CIPO. IE - Madrid, La Haya, PCT, Publicaciones </w:t>
            </w:r>
          </w:p>
        </w:tc>
      </w:tr>
      <w:tr w:rsidR="00EC096D" w:rsidRPr="002A4BDC" w14:paraId="18624637" w14:textId="77777777" w:rsidTr="00830A7B">
        <w:tc>
          <w:tcPr>
            <w:tcW w:w="1440" w:type="dxa"/>
          </w:tcPr>
          <w:p w14:paraId="3D4C6DC3" w14:textId="77777777" w:rsidR="00EC096D" w:rsidRPr="002A4BDC" w:rsidRDefault="00EC096D" w:rsidP="009E3961">
            <w:pPr>
              <w:spacing w:after="0"/>
              <w:rPr>
                <w:rStyle w:val="text"/>
                <w:lang w:val="es-ES_tradnl"/>
              </w:rPr>
            </w:pPr>
            <w:r w:rsidRPr="002A4BDC">
              <w:rPr>
                <w:rStyle w:val="text"/>
                <w:lang w:val="es-ES_tradnl"/>
              </w:rPr>
              <w:t>EM</w:t>
            </w:r>
          </w:p>
        </w:tc>
        <w:tc>
          <w:tcPr>
            <w:tcW w:w="7665" w:type="dxa"/>
          </w:tcPr>
          <w:p w14:paraId="381BAA55"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La EUIPO está mejorando los servicios API para el intercambio de datos </w:t>
            </w:r>
          </w:p>
        </w:tc>
      </w:tr>
      <w:tr w:rsidR="00EC096D" w:rsidRPr="002A4BDC" w14:paraId="366F551D" w14:textId="77777777" w:rsidTr="00830A7B">
        <w:tc>
          <w:tcPr>
            <w:tcW w:w="1440" w:type="dxa"/>
          </w:tcPr>
          <w:p w14:paraId="0D2C5C76"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79E3E258" w14:textId="30874576"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Proyectos en el marco de factores impulsores 2, 3 y 4 del Plan Estratégico 2028 </w:t>
            </w:r>
          </w:p>
        </w:tc>
      </w:tr>
      <w:tr w:rsidR="00EC096D" w:rsidRPr="002A4BDC" w14:paraId="5A5C35F4" w14:textId="77777777" w:rsidTr="00830A7B">
        <w:tc>
          <w:tcPr>
            <w:tcW w:w="1440" w:type="dxa"/>
          </w:tcPr>
          <w:p w14:paraId="6820F8D9" w14:textId="77777777" w:rsidR="00EC096D" w:rsidRPr="002A4BDC" w:rsidRDefault="00EC096D" w:rsidP="009E3961">
            <w:pPr>
              <w:spacing w:after="0"/>
              <w:rPr>
                <w:rStyle w:val="text"/>
                <w:lang w:val="es-ES_tradnl"/>
              </w:rPr>
            </w:pPr>
            <w:r w:rsidRPr="002A4BDC">
              <w:rPr>
                <w:rStyle w:val="text"/>
                <w:lang w:val="es-ES_tradnl"/>
              </w:rPr>
              <w:t>ES</w:t>
            </w:r>
          </w:p>
        </w:tc>
        <w:tc>
          <w:tcPr>
            <w:tcW w:w="7665" w:type="dxa"/>
          </w:tcPr>
          <w:p w14:paraId="53F78954" w14:textId="50808194"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Entregamos todo tipo de documentación, pero no siempre siguiendo las normas del Plan Estratégico. Deben revisarse </w:t>
            </w:r>
          </w:p>
        </w:tc>
      </w:tr>
      <w:tr w:rsidR="00EC096D" w:rsidRPr="002A4BDC" w14:paraId="7C0CDFFF" w14:textId="77777777" w:rsidTr="00830A7B">
        <w:tc>
          <w:tcPr>
            <w:tcW w:w="1440" w:type="dxa"/>
          </w:tcPr>
          <w:p w14:paraId="1E8EB4B3" w14:textId="77777777" w:rsidR="00EC096D" w:rsidRPr="002A4BDC" w:rsidRDefault="00EC096D" w:rsidP="009E3961">
            <w:pPr>
              <w:spacing w:after="0"/>
              <w:rPr>
                <w:rStyle w:val="text"/>
                <w:lang w:val="es-ES_tradnl"/>
              </w:rPr>
            </w:pPr>
            <w:r w:rsidRPr="002A4BDC">
              <w:rPr>
                <w:rStyle w:val="text"/>
                <w:lang w:val="es-ES_tradnl"/>
              </w:rPr>
              <w:t>IE</w:t>
            </w:r>
          </w:p>
        </w:tc>
        <w:tc>
          <w:tcPr>
            <w:tcW w:w="7665" w:type="dxa"/>
          </w:tcPr>
          <w:p w14:paraId="63B6EF72" w14:textId="6CF7F011"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Transformación digital del Diario y proyectos de intercambio de datos de la OEP </w:t>
            </w:r>
          </w:p>
        </w:tc>
      </w:tr>
      <w:tr w:rsidR="00EC096D" w:rsidRPr="002A4BDC" w14:paraId="7F1E0F3C" w14:textId="77777777" w:rsidTr="00830A7B">
        <w:tc>
          <w:tcPr>
            <w:tcW w:w="1440" w:type="dxa"/>
          </w:tcPr>
          <w:p w14:paraId="14FA35F2" w14:textId="77777777" w:rsidR="00EC096D" w:rsidRPr="002A4BDC" w:rsidRDefault="00EC096D" w:rsidP="009E3961">
            <w:pPr>
              <w:spacing w:after="0"/>
              <w:rPr>
                <w:rStyle w:val="text"/>
                <w:lang w:val="es-ES_tradnl"/>
              </w:rPr>
            </w:pPr>
            <w:r w:rsidRPr="002A4BDC">
              <w:rPr>
                <w:rStyle w:val="text"/>
                <w:lang w:val="es-ES_tradnl"/>
              </w:rPr>
              <w:t>IL</w:t>
            </w:r>
          </w:p>
        </w:tc>
        <w:tc>
          <w:tcPr>
            <w:tcW w:w="7665" w:type="dxa"/>
          </w:tcPr>
          <w:p w14:paraId="5DF44593"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Con el fin de cumplir los nuevos requisitos de documentación mínima que entrarán en vigor en enero de 2026, se están llevando a cabo los preparativos para poner a disposición de cualquier Oficina que lo solicite todos los documentos nacionales de patentes publicados desde el 1 de enero de 1991, en forma masiva y por vía electrónica. </w:t>
            </w:r>
          </w:p>
        </w:tc>
      </w:tr>
      <w:tr w:rsidR="00EC096D" w:rsidRPr="002A4BDC" w14:paraId="447D8527" w14:textId="77777777" w:rsidTr="00830A7B">
        <w:tc>
          <w:tcPr>
            <w:tcW w:w="1440" w:type="dxa"/>
          </w:tcPr>
          <w:p w14:paraId="3F3B7426" w14:textId="77777777" w:rsidR="00EC096D" w:rsidRPr="002A4BDC" w:rsidRDefault="00EC096D" w:rsidP="009E3961">
            <w:pPr>
              <w:spacing w:after="0"/>
              <w:rPr>
                <w:rStyle w:val="text"/>
                <w:lang w:val="es-ES_tradnl"/>
              </w:rPr>
            </w:pPr>
            <w:r w:rsidRPr="002A4BDC">
              <w:rPr>
                <w:rStyle w:val="text"/>
                <w:lang w:val="es-ES_tradnl"/>
              </w:rPr>
              <w:t>NO</w:t>
            </w:r>
          </w:p>
        </w:tc>
        <w:tc>
          <w:tcPr>
            <w:tcW w:w="7665" w:type="dxa"/>
          </w:tcPr>
          <w:p w14:paraId="66E39950"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Los datos abiertos no se han completado, pero están pendientes de aplicación </w:t>
            </w:r>
          </w:p>
        </w:tc>
      </w:tr>
      <w:tr w:rsidR="00EC096D" w:rsidRPr="002A4BDC" w14:paraId="43C76372" w14:textId="77777777" w:rsidTr="00830A7B">
        <w:tc>
          <w:tcPr>
            <w:tcW w:w="1440" w:type="dxa"/>
          </w:tcPr>
          <w:p w14:paraId="1E6A0302" w14:textId="77777777" w:rsidR="00EC096D" w:rsidRPr="002A4BDC" w:rsidRDefault="00EC096D" w:rsidP="009E3961">
            <w:pPr>
              <w:spacing w:after="0"/>
              <w:rPr>
                <w:rStyle w:val="text"/>
                <w:lang w:val="es-ES_tradnl"/>
              </w:rPr>
            </w:pPr>
            <w:r w:rsidRPr="002A4BDC">
              <w:rPr>
                <w:rStyle w:val="text"/>
                <w:lang w:val="es-ES_tradnl"/>
              </w:rPr>
              <w:t>PL</w:t>
            </w:r>
          </w:p>
        </w:tc>
        <w:tc>
          <w:tcPr>
            <w:tcW w:w="7665" w:type="dxa"/>
          </w:tcPr>
          <w:p w14:paraId="64023566"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Todos los datos públicos están disponibles gratuitamente en https://api.uprp.gov.pl/doc/ewyszukiwarka </w:t>
            </w:r>
          </w:p>
        </w:tc>
      </w:tr>
    </w:tbl>
    <w:p w14:paraId="18844D9F" w14:textId="77777777" w:rsidR="00876854" w:rsidRDefault="00876854">
      <w:r>
        <w:br w:type="page"/>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6D1235DB" w14:textId="77777777" w:rsidTr="00830A7B">
        <w:tc>
          <w:tcPr>
            <w:tcW w:w="1440" w:type="dxa"/>
          </w:tcPr>
          <w:p w14:paraId="533EDAA3" w14:textId="0CB1B548"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2D569155" w14:textId="2D6776DC" w:rsidR="00EC096D" w:rsidRPr="002A4BDC" w:rsidRDefault="00EC096D" w:rsidP="009E3961">
            <w:pPr>
              <w:spacing w:after="0"/>
              <w:rPr>
                <w:rFonts w:asciiTheme="minorBidi" w:hAnsiTheme="minorBidi" w:cstheme="minorBidi"/>
                <w:lang w:val="es-ES_tradnl"/>
              </w:rPr>
            </w:pPr>
            <w:r w:rsidRPr="002A4BDC">
              <w:rPr>
                <w:rStyle w:val="text"/>
                <w:lang w:val="es-ES_tradnl"/>
              </w:rPr>
              <w:t>Actualmente está en curso la configuración de la herramienta de</w:t>
            </w:r>
            <w:r w:rsidR="00EF6146" w:rsidRPr="002A4BDC">
              <w:rPr>
                <w:rStyle w:val="text"/>
                <w:lang w:val="es-ES_tradnl"/>
              </w:rPr>
              <w:t xml:space="preserve"> la</w:t>
            </w:r>
            <w:r w:rsidRPr="002A4BDC">
              <w:rPr>
                <w:rStyle w:val="text"/>
                <w:lang w:val="es-ES_tradnl"/>
              </w:rPr>
              <w:t xml:space="preserve"> OMPI ‘WIPO Publish’ (WP) para la extracción de datos como primera fase en la esfera de marcas, y se está instalando y configurando WP para patentes y dibujos y modelos industriales.</w:t>
            </w:r>
          </w:p>
        </w:tc>
      </w:tr>
      <w:tr w:rsidR="00EC096D" w:rsidRPr="002A4BDC" w14:paraId="4AF538A1" w14:textId="77777777" w:rsidTr="00830A7B">
        <w:tc>
          <w:tcPr>
            <w:tcW w:w="1440" w:type="dxa"/>
          </w:tcPr>
          <w:p w14:paraId="6EA8F370" w14:textId="77777777" w:rsidR="00EC096D" w:rsidRPr="002A4BDC" w:rsidRDefault="00EC096D" w:rsidP="009E3961">
            <w:pPr>
              <w:spacing w:after="0"/>
              <w:rPr>
                <w:rStyle w:val="text"/>
                <w:lang w:val="es-ES_tradnl"/>
              </w:rPr>
            </w:pPr>
            <w:r w:rsidRPr="002A4BDC">
              <w:rPr>
                <w:rStyle w:val="text"/>
                <w:lang w:val="es-ES_tradnl"/>
              </w:rPr>
              <w:t>US</w:t>
            </w:r>
          </w:p>
        </w:tc>
        <w:tc>
          <w:tcPr>
            <w:tcW w:w="7665" w:type="dxa"/>
          </w:tcPr>
          <w:p w14:paraId="62900AA5"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Portal de datos abiertos (https://data.uspto.gov) </w:t>
            </w:r>
          </w:p>
        </w:tc>
      </w:tr>
    </w:tbl>
    <w:p w14:paraId="4A8B2DFD"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5F7364D0" w14:textId="77777777" w:rsidTr="00830A7B">
        <w:tc>
          <w:tcPr>
            <w:tcW w:w="1440" w:type="dxa"/>
            <w:shd w:val="clear" w:color="auto" w:fill="1F497D" w:themeFill="text2"/>
          </w:tcPr>
          <w:p w14:paraId="45843EB5"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7D667A6B"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6 </w:t>
            </w:r>
          </w:p>
        </w:tc>
      </w:tr>
      <w:tr w:rsidR="00EC096D" w:rsidRPr="002A4BDC" w14:paraId="6244FF38" w14:textId="77777777" w:rsidTr="00830A7B">
        <w:tc>
          <w:tcPr>
            <w:tcW w:w="1440" w:type="dxa"/>
          </w:tcPr>
          <w:p w14:paraId="68EF68D6"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4395BB73"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ISED/CIPO participa en Madrid, La Haya, PCT, WIPO-CASE, difusión y más. </w:t>
            </w:r>
          </w:p>
        </w:tc>
      </w:tr>
      <w:tr w:rsidR="00EC096D" w:rsidRPr="002A4BDC" w14:paraId="75E53415" w14:textId="77777777" w:rsidTr="00830A7B">
        <w:tc>
          <w:tcPr>
            <w:tcW w:w="1440" w:type="dxa"/>
          </w:tcPr>
          <w:p w14:paraId="0BFFFC63"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76820ACC" w14:textId="7BA3EFE6" w:rsidR="00EC096D" w:rsidRPr="002A4BDC" w:rsidRDefault="00EC096D" w:rsidP="009E3961">
            <w:pPr>
              <w:spacing w:after="0"/>
              <w:rPr>
                <w:rFonts w:asciiTheme="minorBidi" w:hAnsiTheme="minorBidi" w:cstheme="minorBidi"/>
                <w:lang w:val="es-ES_tradnl"/>
              </w:rPr>
            </w:pPr>
            <w:r w:rsidRPr="002A4BDC">
              <w:rPr>
                <w:rStyle w:val="text"/>
                <w:lang w:val="es-ES_tradnl"/>
              </w:rPr>
              <w:t>Proyectos en el marco de factores impulsores 2, 3 y 4 del Plan Estratégico 2028 - esp. Factor impulsor 4: Asociaciones; Catálogo de API de la OMPI</w:t>
            </w:r>
            <w:r w:rsidR="003A2C82" w:rsidRPr="002A4BDC">
              <w:rPr>
                <w:rStyle w:val="text"/>
                <w:lang w:val="es-ES_tradnl"/>
              </w:rPr>
              <w:t xml:space="preserve"> </w:t>
            </w:r>
          </w:p>
        </w:tc>
      </w:tr>
      <w:tr w:rsidR="00EC096D" w:rsidRPr="002A4BDC" w14:paraId="0893B081" w14:textId="77777777" w:rsidTr="00830A7B">
        <w:tc>
          <w:tcPr>
            <w:tcW w:w="1440" w:type="dxa"/>
          </w:tcPr>
          <w:p w14:paraId="750C131F" w14:textId="77777777" w:rsidR="00EC096D" w:rsidRPr="002A4BDC" w:rsidRDefault="00EC096D" w:rsidP="009E3961">
            <w:pPr>
              <w:spacing w:after="0"/>
              <w:rPr>
                <w:rStyle w:val="text"/>
                <w:lang w:val="es-ES_tradnl"/>
              </w:rPr>
            </w:pPr>
            <w:r w:rsidRPr="002A4BDC">
              <w:rPr>
                <w:rStyle w:val="text"/>
                <w:lang w:val="es-ES_tradnl"/>
              </w:rPr>
              <w:t>IE</w:t>
            </w:r>
          </w:p>
        </w:tc>
        <w:tc>
          <w:tcPr>
            <w:tcW w:w="7665" w:type="dxa"/>
          </w:tcPr>
          <w:p w14:paraId="6B467216" w14:textId="49FD9999"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Participación en proyectos del CWS </w:t>
            </w:r>
          </w:p>
        </w:tc>
      </w:tr>
      <w:tr w:rsidR="00EC096D" w:rsidRPr="002A4BDC" w14:paraId="5E3B750E" w14:textId="77777777" w:rsidTr="00830A7B">
        <w:tc>
          <w:tcPr>
            <w:tcW w:w="1440" w:type="dxa"/>
          </w:tcPr>
          <w:p w14:paraId="24E6F7BE" w14:textId="77777777" w:rsidR="00EC096D" w:rsidRPr="002A4BDC" w:rsidRDefault="00EC096D" w:rsidP="009E3961">
            <w:pPr>
              <w:spacing w:after="0"/>
              <w:rPr>
                <w:rStyle w:val="text"/>
                <w:lang w:val="es-ES_tradnl"/>
              </w:rPr>
            </w:pPr>
            <w:r w:rsidRPr="002A4BDC">
              <w:rPr>
                <w:rStyle w:val="text"/>
                <w:lang w:val="es-ES_tradnl"/>
              </w:rPr>
              <w:t>KG</w:t>
            </w:r>
          </w:p>
        </w:tc>
        <w:tc>
          <w:tcPr>
            <w:tcW w:w="7665" w:type="dxa"/>
          </w:tcPr>
          <w:p w14:paraId="4BBAF450"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Plataforma unificada para la gestión electrónica de documentos </w:t>
            </w:r>
          </w:p>
        </w:tc>
      </w:tr>
      <w:tr w:rsidR="00EC096D" w:rsidRPr="002A4BDC" w14:paraId="447FAA4C" w14:textId="77777777" w:rsidTr="00830A7B">
        <w:tc>
          <w:tcPr>
            <w:tcW w:w="1440" w:type="dxa"/>
          </w:tcPr>
          <w:p w14:paraId="2A068BAE" w14:textId="77777777" w:rsidR="00EC096D" w:rsidRPr="002A4BDC" w:rsidRDefault="00EC096D" w:rsidP="009E3961">
            <w:pPr>
              <w:spacing w:after="0"/>
              <w:rPr>
                <w:rStyle w:val="text"/>
                <w:lang w:val="es-ES_tradnl"/>
              </w:rPr>
            </w:pPr>
            <w:r w:rsidRPr="002A4BDC">
              <w:rPr>
                <w:rStyle w:val="text"/>
                <w:lang w:val="es-ES_tradnl"/>
              </w:rPr>
              <w:t>NO</w:t>
            </w:r>
          </w:p>
        </w:tc>
        <w:tc>
          <w:tcPr>
            <w:tcW w:w="7665" w:type="dxa"/>
          </w:tcPr>
          <w:p w14:paraId="582953C6" w14:textId="20FA4F76"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 la espera de establecer un proyecto multilateral </w:t>
            </w:r>
          </w:p>
        </w:tc>
      </w:tr>
      <w:tr w:rsidR="00EC096D" w:rsidRPr="002A4BDC" w14:paraId="212E2CC2" w14:textId="77777777" w:rsidTr="00830A7B">
        <w:tc>
          <w:tcPr>
            <w:tcW w:w="1440" w:type="dxa"/>
          </w:tcPr>
          <w:p w14:paraId="70B4F781" w14:textId="77777777" w:rsidR="00EC096D" w:rsidRPr="002A4BDC" w:rsidRDefault="00EC096D" w:rsidP="009E3961">
            <w:pPr>
              <w:spacing w:after="0"/>
              <w:rPr>
                <w:rStyle w:val="text"/>
                <w:lang w:val="es-ES_tradnl"/>
              </w:rPr>
            </w:pPr>
            <w:r w:rsidRPr="002A4BDC">
              <w:rPr>
                <w:rStyle w:val="text"/>
                <w:lang w:val="es-ES_tradnl"/>
              </w:rPr>
              <w:t>PL</w:t>
            </w:r>
          </w:p>
        </w:tc>
        <w:tc>
          <w:tcPr>
            <w:tcW w:w="7665" w:type="dxa"/>
          </w:tcPr>
          <w:p w14:paraId="6987FE28" w14:textId="14450256" w:rsidR="00EC096D" w:rsidRPr="002A4BDC" w:rsidRDefault="00EC096D" w:rsidP="009E3961">
            <w:pPr>
              <w:spacing w:after="0"/>
              <w:rPr>
                <w:rFonts w:asciiTheme="minorBidi" w:hAnsiTheme="minorBidi" w:cstheme="minorBidi"/>
                <w:lang w:val="es-ES_tradnl"/>
              </w:rPr>
            </w:pPr>
            <w:r w:rsidRPr="002A4BDC">
              <w:rPr>
                <w:rStyle w:val="text"/>
                <w:lang w:val="es-ES_tradnl"/>
              </w:rPr>
              <w:t>Los representantes de la PPO participan activamente en los grupos de trabajo de la OMPI, la EUIPO y la OEP relacionados con el ámbito de aplicación de la Recomendación n</w:t>
            </w:r>
            <w:r w:rsidR="004F4F57" w:rsidRPr="002A4BDC">
              <w:rPr>
                <w:rStyle w:val="text"/>
                <w:lang w:val="es-ES_tradnl"/>
              </w:rPr>
              <w:t>.</w:t>
            </w:r>
            <w:r w:rsidRPr="002A4BDC">
              <w:rPr>
                <w:rStyle w:val="text"/>
                <w:lang w:val="es-ES_tradnl"/>
              </w:rPr>
              <w:t xml:space="preserve">º 6 </w:t>
            </w:r>
          </w:p>
        </w:tc>
      </w:tr>
      <w:tr w:rsidR="00EC096D" w:rsidRPr="002A4BDC" w14:paraId="79573262" w14:textId="77777777" w:rsidTr="00830A7B">
        <w:tc>
          <w:tcPr>
            <w:tcW w:w="1440" w:type="dxa"/>
          </w:tcPr>
          <w:p w14:paraId="0377DB5B"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2826F379" w14:textId="3DC72348" w:rsidR="00EC096D" w:rsidRPr="002A4BDC" w:rsidRDefault="00EC096D" w:rsidP="009E3961">
            <w:pPr>
              <w:spacing w:after="0"/>
              <w:rPr>
                <w:rFonts w:asciiTheme="minorBidi" w:hAnsiTheme="minorBidi" w:cstheme="minorBidi"/>
                <w:lang w:val="es-ES_tradnl"/>
              </w:rPr>
            </w:pPr>
            <w:r w:rsidRPr="002A4BDC">
              <w:rPr>
                <w:rStyle w:val="text"/>
                <w:lang w:val="es-ES_tradnl"/>
              </w:rPr>
              <w:t>Desde la máxima autoridad nacional se fomenta la integración a nivel mundial para visibilizar a la DINAPI, esto conlleva integrar proyectos de cooperación multilateral y participar íntegramente en ellos.</w:t>
            </w:r>
          </w:p>
        </w:tc>
      </w:tr>
      <w:tr w:rsidR="00EC096D" w:rsidRPr="002A4BDC" w14:paraId="2CEF2D0D" w14:textId="77777777" w:rsidTr="00830A7B">
        <w:tc>
          <w:tcPr>
            <w:tcW w:w="1440" w:type="dxa"/>
          </w:tcPr>
          <w:p w14:paraId="2134DA1B" w14:textId="77777777" w:rsidR="00EC096D" w:rsidRPr="002A4BDC" w:rsidRDefault="00EC096D" w:rsidP="009E3961">
            <w:pPr>
              <w:spacing w:after="0"/>
              <w:rPr>
                <w:rStyle w:val="text"/>
                <w:lang w:val="es-ES_tradnl"/>
              </w:rPr>
            </w:pPr>
            <w:r w:rsidRPr="002A4BDC">
              <w:rPr>
                <w:rStyle w:val="text"/>
                <w:lang w:val="es-ES_tradnl"/>
              </w:rPr>
              <w:t>US</w:t>
            </w:r>
          </w:p>
        </w:tc>
        <w:tc>
          <w:tcPr>
            <w:tcW w:w="7665" w:type="dxa"/>
          </w:tcPr>
          <w:p w14:paraId="03A00512"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Prioridades de Global Dossier, asignación mundial y norma de intercambio de documentos de prioridad </w:t>
            </w:r>
          </w:p>
        </w:tc>
      </w:tr>
    </w:tbl>
    <w:p w14:paraId="540BE227"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47AD78C3" w14:textId="77777777" w:rsidTr="00876854">
        <w:tc>
          <w:tcPr>
            <w:tcW w:w="1440" w:type="dxa"/>
            <w:shd w:val="clear" w:color="auto" w:fill="1F497D" w:themeFill="text2"/>
          </w:tcPr>
          <w:p w14:paraId="70C49C68"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41B13E3D"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7 </w:t>
            </w:r>
          </w:p>
        </w:tc>
      </w:tr>
      <w:tr w:rsidR="00EC096D" w:rsidRPr="002A4BDC" w14:paraId="28F9D130" w14:textId="77777777" w:rsidTr="00830A7B">
        <w:tc>
          <w:tcPr>
            <w:tcW w:w="1440" w:type="dxa"/>
          </w:tcPr>
          <w:p w14:paraId="64FE9912" w14:textId="77777777" w:rsidR="00EC096D" w:rsidRPr="002A4BDC" w:rsidRDefault="00EC096D" w:rsidP="009E3961">
            <w:pPr>
              <w:spacing w:after="0"/>
              <w:rPr>
                <w:rStyle w:val="text"/>
                <w:lang w:val="es-ES_tradnl"/>
              </w:rPr>
            </w:pPr>
            <w:r w:rsidRPr="002A4BDC">
              <w:rPr>
                <w:rStyle w:val="text"/>
                <w:lang w:val="es-ES_tradnl"/>
              </w:rPr>
              <w:t>BR</w:t>
            </w:r>
          </w:p>
        </w:tc>
        <w:tc>
          <w:tcPr>
            <w:tcW w:w="7665" w:type="dxa"/>
          </w:tcPr>
          <w:p w14:paraId="16432547"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El INPI ha dedicado un gran esfuerzo a la extracción de información de todo el texto de los documentos de patentes y su exportación a la Norma ST.36, así como a trabajar en la mejora de la aplicación del formato XML de esa norma. Además, se ha generado un fichero de referencia conforme a la Norma ST.36 que se actualiza continuamente. El INPI del Brasil participó activamente en muchos grupos de trabajo relacionados con la aplicación de las normas de la OMPI. </w:t>
            </w:r>
          </w:p>
        </w:tc>
      </w:tr>
      <w:tr w:rsidR="00EC096D" w:rsidRPr="002A4BDC" w14:paraId="1CDC5514" w14:textId="77777777" w:rsidTr="00830A7B">
        <w:tc>
          <w:tcPr>
            <w:tcW w:w="1440" w:type="dxa"/>
          </w:tcPr>
          <w:p w14:paraId="12DAE15A"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7203F509"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Los expertos técnicos de ISED/CIPO participan en las normas técnicas XML4IP, API Taskforce y otras. Los expertos operativos de la CIPO participan cuando es necesario para alinear las políticas y prácticas empresariales. </w:t>
            </w:r>
          </w:p>
        </w:tc>
      </w:tr>
      <w:tr w:rsidR="00EC096D" w:rsidRPr="002A4BDC" w14:paraId="4BB46341" w14:textId="77777777" w:rsidTr="00830A7B">
        <w:tc>
          <w:tcPr>
            <w:tcW w:w="1440" w:type="dxa"/>
          </w:tcPr>
          <w:p w14:paraId="4BB8AF04"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071F02A0" w14:textId="1BA14A9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Proyectos en el marco de factores impulsores 2, 3 y 4 del Plan Estratégico 2028 - esp. Factor impulsor 4: Asociaciones; la OEP en los grupos de trabajo del CWS de la OMPI </w:t>
            </w:r>
          </w:p>
        </w:tc>
      </w:tr>
      <w:tr w:rsidR="00EC096D" w:rsidRPr="002A4BDC" w14:paraId="1E4765DA" w14:textId="77777777" w:rsidTr="00830A7B">
        <w:tc>
          <w:tcPr>
            <w:tcW w:w="1440" w:type="dxa"/>
          </w:tcPr>
          <w:p w14:paraId="6250981E" w14:textId="77777777" w:rsidR="00EC096D" w:rsidRPr="002A4BDC" w:rsidRDefault="00EC096D" w:rsidP="009E3961">
            <w:pPr>
              <w:spacing w:after="0"/>
              <w:rPr>
                <w:rStyle w:val="text"/>
                <w:lang w:val="es-ES_tradnl"/>
              </w:rPr>
            </w:pPr>
            <w:r w:rsidRPr="002A4BDC">
              <w:rPr>
                <w:rStyle w:val="text"/>
                <w:lang w:val="es-ES_tradnl"/>
              </w:rPr>
              <w:t>ES</w:t>
            </w:r>
          </w:p>
        </w:tc>
        <w:tc>
          <w:tcPr>
            <w:tcW w:w="7665" w:type="dxa"/>
          </w:tcPr>
          <w:p w14:paraId="48E89921"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Contribuimos a los diferentes grupos de trabajo, por ejemplo ST-26 </w:t>
            </w:r>
          </w:p>
        </w:tc>
      </w:tr>
      <w:tr w:rsidR="00EC096D" w:rsidRPr="002A4BDC" w14:paraId="4CECBD53" w14:textId="77777777" w:rsidTr="00830A7B">
        <w:tc>
          <w:tcPr>
            <w:tcW w:w="1440" w:type="dxa"/>
          </w:tcPr>
          <w:p w14:paraId="341B0E06" w14:textId="77777777" w:rsidR="00EC096D" w:rsidRPr="002A4BDC" w:rsidRDefault="00EC096D" w:rsidP="009E3961">
            <w:pPr>
              <w:spacing w:after="0"/>
              <w:rPr>
                <w:rStyle w:val="text"/>
                <w:lang w:val="es-ES_tradnl"/>
              </w:rPr>
            </w:pPr>
            <w:r w:rsidRPr="002A4BDC">
              <w:rPr>
                <w:rStyle w:val="text"/>
                <w:lang w:val="es-ES_tradnl"/>
              </w:rPr>
              <w:t>IE</w:t>
            </w:r>
          </w:p>
        </w:tc>
        <w:tc>
          <w:tcPr>
            <w:tcW w:w="7665" w:type="dxa"/>
          </w:tcPr>
          <w:p w14:paraId="0CF5CE01" w14:textId="15B736A2"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Aplicación de las Normas ST36 y ST37 de la OMPI y participación en grupos de trabajo </w:t>
            </w:r>
          </w:p>
        </w:tc>
      </w:tr>
      <w:tr w:rsidR="00EC096D" w:rsidRPr="002A4BDC" w14:paraId="140A074D" w14:textId="77777777" w:rsidTr="00830A7B">
        <w:tc>
          <w:tcPr>
            <w:tcW w:w="1440" w:type="dxa"/>
          </w:tcPr>
          <w:p w14:paraId="31280580" w14:textId="77777777" w:rsidR="00EC096D" w:rsidRPr="002A4BDC" w:rsidRDefault="00EC096D" w:rsidP="009E3961">
            <w:pPr>
              <w:spacing w:after="0"/>
              <w:rPr>
                <w:rStyle w:val="text"/>
                <w:lang w:val="es-ES_tradnl"/>
              </w:rPr>
            </w:pPr>
            <w:r w:rsidRPr="002A4BDC">
              <w:rPr>
                <w:rStyle w:val="text"/>
                <w:lang w:val="es-ES_tradnl"/>
              </w:rPr>
              <w:t>PL</w:t>
            </w:r>
          </w:p>
        </w:tc>
        <w:tc>
          <w:tcPr>
            <w:tcW w:w="7665" w:type="dxa"/>
          </w:tcPr>
          <w:p w14:paraId="6767CC00"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Los representantes de la PPO participan activamente en los grupos de trabajo del CWS </w:t>
            </w:r>
          </w:p>
        </w:tc>
      </w:tr>
      <w:tr w:rsidR="00EC096D" w:rsidRPr="002A4BDC" w14:paraId="3719000B" w14:textId="77777777" w:rsidTr="00830A7B">
        <w:tc>
          <w:tcPr>
            <w:tcW w:w="1440" w:type="dxa"/>
          </w:tcPr>
          <w:p w14:paraId="5FC6CCA5"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68A5AE34" w14:textId="30B7AC09" w:rsidR="00EC096D" w:rsidRPr="002A4BDC" w:rsidRDefault="00EC096D" w:rsidP="009E3961">
            <w:pPr>
              <w:spacing w:after="0"/>
              <w:rPr>
                <w:rFonts w:asciiTheme="minorBidi" w:hAnsiTheme="minorBidi" w:cstheme="minorBidi"/>
                <w:lang w:val="es-ES_tradnl"/>
              </w:rPr>
            </w:pPr>
            <w:r w:rsidRPr="002A4BDC">
              <w:rPr>
                <w:rStyle w:val="text"/>
                <w:lang w:val="es-ES_tradnl"/>
              </w:rPr>
              <w:t>Las normas de la OMPI son adoptadas en gran medida por la DINAPI, y cuando se adoptan nuevas normas, estas se amplían según vayan surgiendo necesidades.</w:t>
            </w:r>
          </w:p>
        </w:tc>
      </w:tr>
      <w:tr w:rsidR="00EC096D" w:rsidRPr="002A4BDC" w14:paraId="4B209E3B" w14:textId="77777777" w:rsidTr="00830A7B">
        <w:tc>
          <w:tcPr>
            <w:tcW w:w="1440" w:type="dxa"/>
          </w:tcPr>
          <w:p w14:paraId="55238933" w14:textId="77777777" w:rsidR="00EC096D" w:rsidRPr="002A4BDC" w:rsidRDefault="00EC096D" w:rsidP="009E3961">
            <w:pPr>
              <w:spacing w:after="0"/>
              <w:rPr>
                <w:rStyle w:val="text"/>
                <w:lang w:val="es-ES_tradnl"/>
              </w:rPr>
            </w:pPr>
            <w:r w:rsidRPr="002A4BDC">
              <w:rPr>
                <w:rStyle w:val="text"/>
                <w:lang w:val="es-ES_tradnl"/>
              </w:rPr>
              <w:t>RU</w:t>
            </w:r>
          </w:p>
        </w:tc>
        <w:tc>
          <w:tcPr>
            <w:tcW w:w="7665" w:type="dxa"/>
          </w:tcPr>
          <w:p w14:paraId="4F53563F"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Desarrollo de las normas ST.91 y recomendaciones de la OMPI sobre la cadena de bloques. Participación y liderazgo en los grupos de trabajo del CWS. </w:t>
            </w:r>
          </w:p>
        </w:tc>
      </w:tr>
      <w:tr w:rsidR="00EC096D" w:rsidRPr="002A4BDC" w14:paraId="547D216D" w14:textId="77777777" w:rsidTr="00830A7B">
        <w:tc>
          <w:tcPr>
            <w:tcW w:w="1440" w:type="dxa"/>
          </w:tcPr>
          <w:p w14:paraId="3D631420" w14:textId="77777777" w:rsidR="00EC096D" w:rsidRPr="002A4BDC" w:rsidRDefault="00EC096D" w:rsidP="009E3961">
            <w:pPr>
              <w:spacing w:after="0"/>
              <w:rPr>
                <w:rStyle w:val="text"/>
                <w:lang w:val="es-ES_tradnl"/>
              </w:rPr>
            </w:pPr>
            <w:r w:rsidRPr="002A4BDC">
              <w:rPr>
                <w:rStyle w:val="text"/>
                <w:lang w:val="es-ES_tradnl"/>
              </w:rPr>
              <w:t>US</w:t>
            </w:r>
          </w:p>
        </w:tc>
        <w:tc>
          <w:tcPr>
            <w:tcW w:w="7665" w:type="dxa"/>
          </w:tcPr>
          <w:p w14:paraId="1D07EF89"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ST96, ST90, ST92, ST.26 </w:t>
            </w:r>
          </w:p>
        </w:tc>
      </w:tr>
    </w:tbl>
    <w:p w14:paraId="5CB7BB70"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2BE4CCD1" w14:textId="77777777" w:rsidTr="00830A7B">
        <w:tc>
          <w:tcPr>
            <w:tcW w:w="1440" w:type="dxa"/>
            <w:shd w:val="clear" w:color="auto" w:fill="1F497D" w:themeFill="text2"/>
          </w:tcPr>
          <w:p w14:paraId="73000C5B"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63E6E4CF"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8 </w:t>
            </w:r>
          </w:p>
        </w:tc>
      </w:tr>
      <w:tr w:rsidR="00EC096D" w:rsidRPr="002A4BDC" w14:paraId="554E508C" w14:textId="77777777" w:rsidTr="00830A7B">
        <w:tc>
          <w:tcPr>
            <w:tcW w:w="1440" w:type="dxa"/>
          </w:tcPr>
          <w:p w14:paraId="03922BD2"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19A7CC1E"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ISED/CIPO participa en las TIC compartiendo nuestras prácticas y estudiando los modelos utilizados por otros participantes </w:t>
            </w:r>
          </w:p>
        </w:tc>
      </w:tr>
      <w:tr w:rsidR="00EC096D" w:rsidRPr="002A4BDC" w14:paraId="26B4D95B" w14:textId="77777777" w:rsidTr="00830A7B">
        <w:tc>
          <w:tcPr>
            <w:tcW w:w="1440" w:type="dxa"/>
          </w:tcPr>
          <w:p w14:paraId="3874E6CC"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77C6F513" w14:textId="528D3CC5"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Proyectos en el marco de factores impulsores 2, 3 y 4 del Plan Estratégico 2028 - por ejemplo, SACEPO </w:t>
            </w:r>
          </w:p>
        </w:tc>
      </w:tr>
      <w:tr w:rsidR="00EC096D" w:rsidRPr="002A4BDC" w14:paraId="37A6DDFE" w14:textId="77777777" w:rsidTr="00830A7B">
        <w:tc>
          <w:tcPr>
            <w:tcW w:w="1440" w:type="dxa"/>
          </w:tcPr>
          <w:p w14:paraId="030350DA" w14:textId="77777777" w:rsidR="00EC096D" w:rsidRPr="002A4BDC" w:rsidRDefault="00EC096D" w:rsidP="009E3961">
            <w:pPr>
              <w:spacing w:after="0"/>
              <w:rPr>
                <w:rStyle w:val="text"/>
                <w:lang w:val="es-ES_tradnl"/>
              </w:rPr>
            </w:pPr>
            <w:r w:rsidRPr="002A4BDC">
              <w:rPr>
                <w:rStyle w:val="text"/>
                <w:lang w:val="es-ES_tradnl"/>
              </w:rPr>
              <w:t>ES</w:t>
            </w:r>
          </w:p>
        </w:tc>
        <w:tc>
          <w:tcPr>
            <w:tcW w:w="7665" w:type="dxa"/>
          </w:tcPr>
          <w:p w14:paraId="3141780A"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Cooperamos con la OEP, la EUIPO y la OMPI para compartir arquitecturas comunes </w:t>
            </w:r>
          </w:p>
        </w:tc>
      </w:tr>
      <w:tr w:rsidR="00EC096D" w:rsidRPr="002A4BDC" w14:paraId="70C102AD" w14:textId="77777777" w:rsidTr="00830A7B">
        <w:tc>
          <w:tcPr>
            <w:tcW w:w="1440" w:type="dxa"/>
          </w:tcPr>
          <w:p w14:paraId="179F3942"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5264669A" w14:textId="43B3D1FA" w:rsidR="00EC096D" w:rsidRPr="002A4BDC" w:rsidRDefault="00EC096D" w:rsidP="009E3961">
            <w:pPr>
              <w:spacing w:after="0"/>
              <w:rPr>
                <w:rFonts w:asciiTheme="minorBidi" w:hAnsiTheme="minorBidi" w:cstheme="minorBidi"/>
                <w:lang w:val="es-ES_tradnl"/>
              </w:rPr>
            </w:pPr>
            <w:r w:rsidRPr="002A4BDC">
              <w:rPr>
                <w:rStyle w:val="text"/>
                <w:lang w:val="es-ES_tradnl"/>
              </w:rPr>
              <w:t>La visión de la DINAPI es aplicar una transformación tecnológica con las herramientas actuales, en constante crecimiento y evolución; las herramientas de IPAS de la OMPI se utilizarán como base principal, complementándose mediante el desarrollo interno de cualquier sistema adicional necesario.</w:t>
            </w:r>
          </w:p>
        </w:tc>
      </w:tr>
      <w:tr w:rsidR="00EC096D" w:rsidRPr="002A4BDC" w14:paraId="70C4C0EB" w14:textId="77777777" w:rsidTr="00830A7B">
        <w:tc>
          <w:tcPr>
            <w:tcW w:w="1440" w:type="dxa"/>
          </w:tcPr>
          <w:p w14:paraId="379093CB" w14:textId="77777777" w:rsidR="00EC096D" w:rsidRPr="002A4BDC" w:rsidRDefault="00EC096D" w:rsidP="009E3961">
            <w:pPr>
              <w:spacing w:after="0"/>
              <w:rPr>
                <w:rStyle w:val="text"/>
                <w:lang w:val="es-ES_tradnl"/>
              </w:rPr>
            </w:pPr>
            <w:r w:rsidRPr="002A4BDC">
              <w:rPr>
                <w:rStyle w:val="text"/>
                <w:lang w:val="es-ES_tradnl"/>
              </w:rPr>
              <w:t>RU</w:t>
            </w:r>
          </w:p>
        </w:tc>
        <w:tc>
          <w:tcPr>
            <w:tcW w:w="7665" w:type="dxa"/>
          </w:tcPr>
          <w:p w14:paraId="4082B0C8"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Participación en las actividades TIC del CWS. Colaboración con otras OPI en TIC. </w:t>
            </w:r>
          </w:p>
        </w:tc>
      </w:tr>
    </w:tbl>
    <w:p w14:paraId="38D33ECD"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315D7259" w14:textId="77777777" w:rsidTr="00830A7B">
        <w:tc>
          <w:tcPr>
            <w:tcW w:w="1440" w:type="dxa"/>
            <w:shd w:val="clear" w:color="auto" w:fill="1F497D" w:themeFill="text2"/>
          </w:tcPr>
          <w:p w14:paraId="747C7CF3"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66D26AF0"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9 </w:t>
            </w:r>
          </w:p>
        </w:tc>
      </w:tr>
      <w:tr w:rsidR="00EC096D" w:rsidRPr="002A4BDC" w14:paraId="5B3D477E" w14:textId="77777777" w:rsidTr="00830A7B">
        <w:tc>
          <w:tcPr>
            <w:tcW w:w="1440" w:type="dxa"/>
          </w:tcPr>
          <w:p w14:paraId="68F88F28"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2298CEAB"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ISED/CIPO ha compartido -y sigue compartiendo- nuestros planes con el grupo de trabajo de TIC. </w:t>
            </w:r>
          </w:p>
        </w:tc>
      </w:tr>
      <w:tr w:rsidR="00EC096D" w:rsidRPr="002A4BDC" w14:paraId="7FEA947D" w14:textId="77777777" w:rsidTr="00830A7B">
        <w:tc>
          <w:tcPr>
            <w:tcW w:w="1440" w:type="dxa"/>
          </w:tcPr>
          <w:p w14:paraId="58EC90A7"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06763562" w14:textId="19673A92" w:rsidR="00EC096D" w:rsidRPr="002A4BDC" w:rsidRDefault="00EC096D" w:rsidP="009E3961">
            <w:pPr>
              <w:spacing w:after="0"/>
              <w:rPr>
                <w:rFonts w:asciiTheme="minorBidi" w:hAnsiTheme="minorBidi" w:cstheme="minorBidi"/>
                <w:lang w:val="es-ES_tradnl"/>
              </w:rPr>
            </w:pPr>
            <w:r w:rsidRPr="002A4BDC">
              <w:rPr>
                <w:rStyle w:val="text"/>
                <w:lang w:val="es-ES_tradnl"/>
              </w:rPr>
              <w:t>Somos un país en constante cambio con un interés general por desarrollar la PI a nivel nacional. Estamos dispuestos a colaborar y compartir experiencias. Lo más importante para nosotros en la actualidad es tener el apoyo de la OMPI y otras entidades de PI a nivel mundial para ayudarnos a crecer y evolucionar como una oficina regional importante.</w:t>
            </w:r>
          </w:p>
        </w:tc>
      </w:tr>
      <w:tr w:rsidR="00EC096D" w:rsidRPr="002A4BDC" w14:paraId="2472A58F" w14:textId="77777777" w:rsidTr="00830A7B">
        <w:tc>
          <w:tcPr>
            <w:tcW w:w="1440" w:type="dxa"/>
          </w:tcPr>
          <w:p w14:paraId="654F7FD6" w14:textId="77777777" w:rsidR="00EC096D" w:rsidRPr="002A4BDC" w:rsidRDefault="00EC096D" w:rsidP="009E3961">
            <w:pPr>
              <w:spacing w:after="0"/>
              <w:rPr>
                <w:rStyle w:val="text"/>
                <w:lang w:val="es-ES_tradnl"/>
              </w:rPr>
            </w:pPr>
            <w:r w:rsidRPr="002A4BDC">
              <w:rPr>
                <w:rStyle w:val="text"/>
                <w:lang w:val="es-ES_tradnl"/>
              </w:rPr>
              <w:t>RU</w:t>
            </w:r>
          </w:p>
        </w:tc>
        <w:tc>
          <w:tcPr>
            <w:tcW w:w="7665" w:type="dxa"/>
          </w:tcPr>
          <w:p w14:paraId="35E81B78" w14:textId="74F95240" w:rsidR="00EC096D" w:rsidRPr="002A4BDC" w:rsidRDefault="00EC096D" w:rsidP="009E3961">
            <w:pPr>
              <w:spacing w:after="0"/>
              <w:rPr>
                <w:rFonts w:asciiTheme="minorBidi" w:hAnsiTheme="minorBidi" w:cstheme="minorBidi"/>
                <w:lang w:val="es-ES_tradnl"/>
              </w:rPr>
            </w:pPr>
            <w:r w:rsidRPr="002A4BDC">
              <w:rPr>
                <w:rStyle w:val="text"/>
                <w:lang w:val="es-ES_tradnl"/>
              </w:rPr>
              <w:t>Participación en las actividades TIC del CWS. Colaboración con otras OPI en TIC.</w:t>
            </w:r>
            <w:r w:rsidR="003A2C82" w:rsidRPr="002A4BDC">
              <w:rPr>
                <w:rStyle w:val="text"/>
                <w:lang w:val="es-ES_tradnl"/>
              </w:rPr>
              <w:t xml:space="preserve"> </w:t>
            </w:r>
          </w:p>
        </w:tc>
      </w:tr>
    </w:tbl>
    <w:p w14:paraId="073878E8" w14:textId="1C831CB9" w:rsidR="00876854" w:rsidRDefault="00876854"/>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665"/>
      </w:tblGrid>
      <w:tr w:rsidR="00EC096D" w:rsidRPr="002A4BDC" w14:paraId="7B898A47" w14:textId="77777777" w:rsidTr="00830A7B">
        <w:tc>
          <w:tcPr>
            <w:tcW w:w="1440" w:type="dxa"/>
            <w:shd w:val="clear" w:color="auto" w:fill="1F497D" w:themeFill="text2"/>
          </w:tcPr>
          <w:p w14:paraId="7EC6B5AB" w14:textId="77777777" w:rsidR="00EC096D" w:rsidRPr="002A4BDC" w:rsidRDefault="00EC096D" w:rsidP="009E3961">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28345ABB" w14:textId="77777777" w:rsidR="00EC096D" w:rsidRPr="002A4BDC" w:rsidRDefault="00EC096D" w:rsidP="009E3961">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10 </w:t>
            </w:r>
          </w:p>
        </w:tc>
      </w:tr>
      <w:tr w:rsidR="00EC096D" w:rsidRPr="002A4BDC" w14:paraId="5E282FEE" w14:textId="77777777" w:rsidTr="00830A7B">
        <w:tc>
          <w:tcPr>
            <w:tcW w:w="1440" w:type="dxa"/>
          </w:tcPr>
          <w:p w14:paraId="668AB788" w14:textId="77777777" w:rsidR="00EC096D" w:rsidRPr="002A4BDC" w:rsidRDefault="00EC096D" w:rsidP="009E3961">
            <w:pPr>
              <w:spacing w:after="0"/>
              <w:rPr>
                <w:rStyle w:val="text"/>
                <w:lang w:val="es-ES_tradnl"/>
              </w:rPr>
            </w:pPr>
            <w:r w:rsidRPr="002A4BDC">
              <w:rPr>
                <w:rStyle w:val="text"/>
                <w:lang w:val="es-ES_tradnl"/>
              </w:rPr>
              <w:t>AU</w:t>
            </w:r>
          </w:p>
        </w:tc>
        <w:tc>
          <w:tcPr>
            <w:tcW w:w="7665" w:type="dxa"/>
          </w:tcPr>
          <w:p w14:paraId="72AFD26A"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IP Australia está abierta a explorar posibilidades de casos de uso para nuevas tecnologías, aplicando un marco de gobernanza basado en el riesgo que permita un sistema de prueba y error tempranos sin necesidad de comprometerse con conceptos fallidos. </w:t>
            </w:r>
          </w:p>
        </w:tc>
      </w:tr>
      <w:tr w:rsidR="00EC096D" w:rsidRPr="002A4BDC" w14:paraId="5C4497A7" w14:textId="77777777" w:rsidTr="00830A7B">
        <w:tc>
          <w:tcPr>
            <w:tcW w:w="1440" w:type="dxa"/>
          </w:tcPr>
          <w:p w14:paraId="46C3AE61" w14:textId="77777777" w:rsidR="00EC096D" w:rsidRPr="002A4BDC" w:rsidRDefault="00EC096D" w:rsidP="009E3961">
            <w:pPr>
              <w:spacing w:after="0"/>
              <w:rPr>
                <w:rStyle w:val="text"/>
                <w:lang w:val="es-ES_tradnl"/>
              </w:rPr>
            </w:pPr>
            <w:r w:rsidRPr="002A4BDC">
              <w:rPr>
                <w:rStyle w:val="text"/>
                <w:lang w:val="es-ES_tradnl"/>
              </w:rPr>
              <w:t>BR</w:t>
            </w:r>
          </w:p>
        </w:tc>
        <w:tc>
          <w:tcPr>
            <w:tcW w:w="7665" w:type="dxa"/>
          </w:tcPr>
          <w:p w14:paraId="4F3A368B" w14:textId="26887C41" w:rsidR="00387BEB" w:rsidRPr="002A4BDC" w:rsidRDefault="00EC096D" w:rsidP="009E3961">
            <w:pPr>
              <w:spacing w:after="0"/>
              <w:rPr>
                <w:rStyle w:val="text"/>
                <w:lang w:val="es-ES_tradnl"/>
              </w:rPr>
            </w:pPr>
            <w:r w:rsidRPr="002A4BDC">
              <w:rPr>
                <w:rStyle w:val="text"/>
                <w:lang w:val="es-ES_tradnl"/>
              </w:rPr>
              <w:t>En uso - Red neuronal para la clasificación de depósitos de patentes.</w:t>
            </w:r>
          </w:p>
          <w:p w14:paraId="5C058ED0" w14:textId="1BE8451D"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Previsto - Formulario inteligente de patentes y marcas y base de datos de búsqueda de diseños industriales impulsada por IA. </w:t>
            </w:r>
          </w:p>
        </w:tc>
      </w:tr>
      <w:tr w:rsidR="00EC096D" w:rsidRPr="002A4BDC" w14:paraId="01EA127A" w14:textId="77777777" w:rsidTr="00830A7B">
        <w:tc>
          <w:tcPr>
            <w:tcW w:w="1440" w:type="dxa"/>
          </w:tcPr>
          <w:p w14:paraId="4E7AD68E" w14:textId="77777777" w:rsidR="00EC096D" w:rsidRPr="002A4BDC" w:rsidRDefault="00EC096D" w:rsidP="009E3961">
            <w:pPr>
              <w:spacing w:after="0"/>
              <w:rPr>
                <w:rStyle w:val="text"/>
                <w:lang w:val="es-ES_tradnl"/>
              </w:rPr>
            </w:pPr>
            <w:r w:rsidRPr="002A4BDC">
              <w:rPr>
                <w:rStyle w:val="text"/>
                <w:lang w:val="es-ES_tradnl"/>
              </w:rPr>
              <w:t>CA</w:t>
            </w:r>
          </w:p>
        </w:tc>
        <w:tc>
          <w:tcPr>
            <w:tcW w:w="7665" w:type="dxa"/>
          </w:tcPr>
          <w:p w14:paraId="5985ED36"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ISED/CIPO participan en los grupos de trabajo sobre tecnologías emergentes de la OMPI. Además, el ISED también está experimentando con el uso de IA para necesidades internas y está adoptando el uso de la cadena de bloques. </w:t>
            </w:r>
          </w:p>
        </w:tc>
      </w:tr>
      <w:tr w:rsidR="00EC096D" w:rsidRPr="002A4BDC" w14:paraId="333F7493" w14:textId="77777777" w:rsidTr="00830A7B">
        <w:tc>
          <w:tcPr>
            <w:tcW w:w="1440" w:type="dxa"/>
          </w:tcPr>
          <w:p w14:paraId="0BD38E57" w14:textId="77777777" w:rsidR="00EC096D" w:rsidRPr="002A4BDC" w:rsidRDefault="00EC096D" w:rsidP="009E3961">
            <w:pPr>
              <w:spacing w:after="0"/>
              <w:rPr>
                <w:rStyle w:val="text"/>
                <w:lang w:val="es-ES_tradnl"/>
              </w:rPr>
            </w:pPr>
            <w:r w:rsidRPr="002A4BDC">
              <w:rPr>
                <w:rStyle w:val="text"/>
                <w:lang w:val="es-ES_tradnl"/>
              </w:rPr>
              <w:t>EM</w:t>
            </w:r>
          </w:p>
        </w:tc>
        <w:tc>
          <w:tcPr>
            <w:tcW w:w="7665" w:type="dxa"/>
          </w:tcPr>
          <w:p w14:paraId="4E08660A" w14:textId="6AFDB87C"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Desarrollo de herramientas de examen basadas en IA </w:t>
            </w:r>
          </w:p>
        </w:tc>
      </w:tr>
      <w:tr w:rsidR="00EC096D" w:rsidRPr="002A4BDC" w14:paraId="1B62AAB7" w14:textId="77777777" w:rsidTr="00830A7B">
        <w:tc>
          <w:tcPr>
            <w:tcW w:w="1440" w:type="dxa"/>
          </w:tcPr>
          <w:p w14:paraId="24680BFD" w14:textId="77777777" w:rsidR="00EC096D" w:rsidRPr="002A4BDC" w:rsidRDefault="00EC096D" w:rsidP="009E3961">
            <w:pPr>
              <w:spacing w:after="0"/>
              <w:rPr>
                <w:rStyle w:val="text"/>
                <w:lang w:val="es-ES_tradnl"/>
              </w:rPr>
            </w:pPr>
            <w:r w:rsidRPr="002A4BDC">
              <w:rPr>
                <w:rStyle w:val="text"/>
                <w:lang w:val="es-ES_tradnl"/>
              </w:rPr>
              <w:t>EP</w:t>
            </w:r>
          </w:p>
        </w:tc>
        <w:tc>
          <w:tcPr>
            <w:tcW w:w="7665" w:type="dxa"/>
          </w:tcPr>
          <w:p w14:paraId="46A0A18E" w14:textId="283EB953"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Proyectos en el marco de factores impulsores 2, 3 y 4 del Plan Estratégico 2028 - esp. Factor impulsor 2: Tecnología </w:t>
            </w:r>
          </w:p>
        </w:tc>
      </w:tr>
      <w:tr w:rsidR="00EC096D" w:rsidRPr="002A4BDC" w14:paraId="3799DCFC" w14:textId="77777777" w:rsidTr="00830A7B">
        <w:tc>
          <w:tcPr>
            <w:tcW w:w="1440" w:type="dxa"/>
          </w:tcPr>
          <w:p w14:paraId="333BF810" w14:textId="77777777" w:rsidR="00EC096D" w:rsidRPr="002A4BDC" w:rsidRDefault="00EC096D" w:rsidP="009E3961">
            <w:pPr>
              <w:spacing w:after="0"/>
              <w:rPr>
                <w:rStyle w:val="text"/>
                <w:lang w:val="es-ES_tradnl"/>
              </w:rPr>
            </w:pPr>
            <w:r w:rsidRPr="002A4BDC">
              <w:rPr>
                <w:rStyle w:val="text"/>
                <w:lang w:val="es-ES_tradnl"/>
              </w:rPr>
              <w:t>ES</w:t>
            </w:r>
          </w:p>
        </w:tc>
        <w:tc>
          <w:tcPr>
            <w:tcW w:w="7665" w:type="dxa"/>
          </w:tcPr>
          <w:p w14:paraId="1EA83F87" w14:textId="1F7A9113"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En nuestro plan estratégico hemos incluido proyectos específicos para detectar, analizar y aplicar posibles casos de uso </w:t>
            </w:r>
          </w:p>
        </w:tc>
      </w:tr>
      <w:tr w:rsidR="00EC096D" w:rsidRPr="002A4BDC" w14:paraId="7D192A38" w14:textId="77777777" w:rsidTr="00830A7B">
        <w:tc>
          <w:tcPr>
            <w:tcW w:w="1440" w:type="dxa"/>
          </w:tcPr>
          <w:p w14:paraId="24BF7934" w14:textId="77777777" w:rsidR="00EC096D" w:rsidRPr="002A4BDC" w:rsidRDefault="00EC096D" w:rsidP="009E3961">
            <w:pPr>
              <w:spacing w:after="0"/>
              <w:rPr>
                <w:rStyle w:val="text"/>
                <w:lang w:val="es-ES_tradnl"/>
              </w:rPr>
            </w:pPr>
            <w:r w:rsidRPr="002A4BDC">
              <w:rPr>
                <w:rStyle w:val="text"/>
                <w:lang w:val="es-ES_tradnl"/>
              </w:rPr>
              <w:t>HR</w:t>
            </w:r>
          </w:p>
        </w:tc>
        <w:tc>
          <w:tcPr>
            <w:tcW w:w="7665" w:type="dxa"/>
          </w:tcPr>
          <w:p w14:paraId="60998892"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Datos de DS y TM en cadena de bloques, herramientas de IA de la OEP </w:t>
            </w:r>
          </w:p>
        </w:tc>
      </w:tr>
      <w:tr w:rsidR="00EC096D" w:rsidRPr="002A4BDC" w14:paraId="799465DD" w14:textId="77777777" w:rsidTr="00830A7B">
        <w:tc>
          <w:tcPr>
            <w:tcW w:w="1440" w:type="dxa"/>
          </w:tcPr>
          <w:p w14:paraId="497596BC" w14:textId="77777777" w:rsidR="00EC096D" w:rsidRPr="002A4BDC" w:rsidRDefault="00EC096D" w:rsidP="009E3961">
            <w:pPr>
              <w:spacing w:after="0"/>
              <w:rPr>
                <w:rStyle w:val="text"/>
                <w:lang w:val="es-ES_tradnl"/>
              </w:rPr>
            </w:pPr>
            <w:r w:rsidRPr="002A4BDC">
              <w:rPr>
                <w:rStyle w:val="text"/>
                <w:lang w:val="es-ES_tradnl"/>
              </w:rPr>
              <w:t>IL</w:t>
            </w:r>
          </w:p>
        </w:tc>
        <w:tc>
          <w:tcPr>
            <w:tcW w:w="7665" w:type="dxa"/>
          </w:tcPr>
          <w:p w14:paraId="3F2495D2" w14:textId="6250A4BF" w:rsidR="00EC096D" w:rsidRPr="002A4BDC" w:rsidRDefault="00EC096D" w:rsidP="009E3961">
            <w:pPr>
              <w:spacing w:after="0"/>
              <w:rPr>
                <w:rFonts w:asciiTheme="minorBidi" w:hAnsiTheme="minorBidi" w:cstheme="minorBidi"/>
                <w:lang w:val="es-ES_tradnl"/>
              </w:rPr>
            </w:pPr>
            <w:r w:rsidRPr="002A4BDC">
              <w:rPr>
                <w:rStyle w:val="text"/>
                <w:lang w:val="es-ES_tradnl"/>
              </w:rPr>
              <w:t>Se ha puesto a disposición de los examinadores de patentes una nueva herramienta de búsqueda basada en IA, que permite realizar búsquedas de texto libre e imágenes. Otra herramienta de IA permite analizar el texto completo de los resultados de la búsqueda basándose en instrucciones. Además, se ha puesto en marcha con éxito un proyecto piloto para aplicar la IA durante todas las fases del examen de fondo de las solicitudes de patente publicadas.</w:t>
            </w:r>
            <w:r w:rsidR="003A2C82" w:rsidRPr="002A4BDC">
              <w:rPr>
                <w:rStyle w:val="text"/>
                <w:lang w:val="es-ES_tradnl"/>
              </w:rPr>
              <w:t xml:space="preserve"> </w:t>
            </w:r>
          </w:p>
        </w:tc>
      </w:tr>
      <w:tr w:rsidR="00EC096D" w:rsidRPr="002A4BDC" w14:paraId="5877AF39" w14:textId="77777777" w:rsidTr="00830A7B">
        <w:tc>
          <w:tcPr>
            <w:tcW w:w="1440" w:type="dxa"/>
          </w:tcPr>
          <w:p w14:paraId="4D14C18D" w14:textId="77777777" w:rsidR="00EC096D" w:rsidRPr="002A4BDC" w:rsidRDefault="00EC096D" w:rsidP="009E3961">
            <w:pPr>
              <w:spacing w:after="0"/>
              <w:rPr>
                <w:rStyle w:val="text"/>
                <w:lang w:val="es-ES_tradnl"/>
              </w:rPr>
            </w:pPr>
            <w:r w:rsidRPr="002A4BDC">
              <w:rPr>
                <w:rStyle w:val="text"/>
                <w:lang w:val="es-ES_tradnl"/>
              </w:rPr>
              <w:t>PL</w:t>
            </w:r>
          </w:p>
        </w:tc>
        <w:tc>
          <w:tcPr>
            <w:tcW w:w="7665" w:type="dxa"/>
          </w:tcPr>
          <w:p w14:paraId="30521836" w14:textId="03C97DFA"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La Oficina Polaca de Patentes es una de las pioneras en el uso de la cadena de bloques en la protección de la propiedad intelectual. Un ejemplo es la aplicación de la CTI (integración de herramientas comunes) para diseños industriales (DSView) en noviembre de 2022. Esta solución permite la actualización automática de la base de datos DesignView basada en la tecnología de la cadena de bloques, proporcionando un acceso rápido y seguro a la información sobre los derechos de propiedad intelectual. En septiembre de 2024, se puso en marcha una tecnología similar para las marcas (TMView). Sistema de clasificación automática de solicitudes de invenciones y modelos de utilidad - Autopatent se puso en marcha en abril de 2021. El sistema con el uso de inteligencia artificial apoya el proceso de examen de solicitudes de invenciones y modelos de utilidad realizando un análisis preliminar y una clasificación de las solicitudes en clases de la CIP y sometiéndolas a una evaluación de fondo por expertos competentes. </w:t>
            </w:r>
            <w:r w:rsidR="003A2677" w:rsidRPr="002A4BDC">
              <w:rPr>
                <w:rStyle w:val="text"/>
                <w:lang w:val="es-ES_tradnl"/>
              </w:rPr>
              <w:t>El experto puede ver el documento de solicitud junto con información sobre qué partes del documento examinado fueron las más importantes desde el punto de vista de la clasificación realizada por el sistema (IA explicable (XAI)). En función de la decisión sobre la clasificación dada por el sistema, el experto puede aprobar la selección o corregir la clasificación. La implantación del sistema automatizó el trabajo de clasificación de las solicitudes en clases de la Clasificación Internacional de Patentes. La precisión media de la clasificación alcanzó el 92 %.</w:t>
            </w:r>
            <w:r w:rsidRPr="002A4BDC">
              <w:rPr>
                <w:rStyle w:val="text"/>
                <w:lang w:val="es-ES_tradnl"/>
              </w:rPr>
              <w:t xml:space="preserve"> </w:t>
            </w:r>
          </w:p>
        </w:tc>
      </w:tr>
      <w:tr w:rsidR="00EC096D" w:rsidRPr="002A4BDC" w14:paraId="324A1280" w14:textId="77777777" w:rsidTr="00830A7B">
        <w:tc>
          <w:tcPr>
            <w:tcW w:w="1440" w:type="dxa"/>
          </w:tcPr>
          <w:p w14:paraId="028A1539" w14:textId="77777777" w:rsidR="00EC096D" w:rsidRPr="002A4BDC" w:rsidRDefault="00EC096D" w:rsidP="009E3961">
            <w:pPr>
              <w:spacing w:after="0"/>
              <w:rPr>
                <w:rStyle w:val="text"/>
                <w:lang w:val="es-ES_tradnl"/>
              </w:rPr>
            </w:pPr>
            <w:r w:rsidRPr="002A4BDC">
              <w:rPr>
                <w:rStyle w:val="text"/>
                <w:lang w:val="es-ES_tradnl"/>
              </w:rPr>
              <w:t>PY</w:t>
            </w:r>
          </w:p>
        </w:tc>
        <w:tc>
          <w:tcPr>
            <w:tcW w:w="7665" w:type="dxa"/>
          </w:tcPr>
          <w:p w14:paraId="065CD452" w14:textId="3C1C3F13" w:rsidR="00EC096D" w:rsidRPr="002A4BDC" w:rsidRDefault="00EC096D" w:rsidP="009E3961">
            <w:pPr>
              <w:spacing w:after="0"/>
              <w:rPr>
                <w:rFonts w:asciiTheme="minorBidi" w:hAnsiTheme="minorBidi" w:cstheme="minorBidi"/>
                <w:lang w:val="es-ES_tradnl"/>
              </w:rPr>
            </w:pPr>
            <w:r w:rsidRPr="002A4BDC">
              <w:rPr>
                <w:rStyle w:val="text"/>
                <w:lang w:val="es-ES_tradnl"/>
              </w:rPr>
              <w:t>Estamos explorando la aplicación de estas tecnologías emergentes y muy importantes para aplicar a nuestro día a día. En este sentido, como nos encontramos en una etapa de evolución hacia la transformación tecnológica, necesitamos la guía, el apoyo y la cooperación de oficinas de PI que ya trabajen con estas nuevas tecnologías.</w:t>
            </w:r>
          </w:p>
        </w:tc>
      </w:tr>
      <w:tr w:rsidR="00EC096D" w:rsidRPr="002A4BDC" w14:paraId="04E0FBC9" w14:textId="77777777" w:rsidTr="00830A7B">
        <w:tc>
          <w:tcPr>
            <w:tcW w:w="1440" w:type="dxa"/>
          </w:tcPr>
          <w:p w14:paraId="5EB4989F" w14:textId="77777777" w:rsidR="00EC096D" w:rsidRPr="002A4BDC" w:rsidRDefault="00EC096D" w:rsidP="009E3961">
            <w:pPr>
              <w:spacing w:after="0"/>
              <w:rPr>
                <w:rStyle w:val="text"/>
                <w:lang w:val="es-ES_tradnl"/>
              </w:rPr>
            </w:pPr>
            <w:r w:rsidRPr="002A4BDC">
              <w:rPr>
                <w:rStyle w:val="text"/>
                <w:lang w:val="es-ES_tradnl"/>
              </w:rPr>
              <w:t>RU</w:t>
            </w:r>
          </w:p>
        </w:tc>
        <w:tc>
          <w:tcPr>
            <w:tcW w:w="7665" w:type="dxa"/>
          </w:tcPr>
          <w:p w14:paraId="514FFE70" w14:textId="3C07A7A0" w:rsidR="00EC096D" w:rsidRPr="002A4BDC" w:rsidRDefault="00EC096D" w:rsidP="009E3961">
            <w:pPr>
              <w:spacing w:after="0"/>
              <w:rPr>
                <w:rFonts w:asciiTheme="minorBidi" w:hAnsiTheme="minorBidi" w:cstheme="minorBidi"/>
                <w:lang w:val="es-ES_tradnl"/>
              </w:rPr>
            </w:pPr>
            <w:r w:rsidRPr="002A4BDC">
              <w:rPr>
                <w:rStyle w:val="text"/>
                <w:lang w:val="es-ES_tradnl"/>
              </w:rPr>
              <w:t>Participación en grupos de trabajo del CWS. Colaboración con otras OPI en TIC.</w:t>
            </w:r>
            <w:r w:rsidR="003A2C82" w:rsidRPr="002A4BDC">
              <w:rPr>
                <w:rStyle w:val="text"/>
                <w:lang w:val="es-ES_tradnl"/>
              </w:rPr>
              <w:t xml:space="preserve"> </w:t>
            </w:r>
          </w:p>
        </w:tc>
      </w:tr>
      <w:tr w:rsidR="00EC096D" w:rsidRPr="002A4BDC" w14:paraId="6F1CC258" w14:textId="77777777" w:rsidTr="00830A7B">
        <w:tc>
          <w:tcPr>
            <w:tcW w:w="1440" w:type="dxa"/>
          </w:tcPr>
          <w:p w14:paraId="4628137A" w14:textId="77777777" w:rsidR="00EC096D" w:rsidRPr="002A4BDC" w:rsidRDefault="00EC096D" w:rsidP="009E3961">
            <w:pPr>
              <w:spacing w:after="0"/>
              <w:rPr>
                <w:rStyle w:val="text"/>
                <w:lang w:val="es-ES_tradnl"/>
              </w:rPr>
            </w:pPr>
            <w:r w:rsidRPr="002A4BDC">
              <w:rPr>
                <w:rStyle w:val="text"/>
                <w:lang w:val="es-ES_tradnl"/>
              </w:rPr>
              <w:t>US</w:t>
            </w:r>
          </w:p>
        </w:tc>
        <w:tc>
          <w:tcPr>
            <w:tcW w:w="7665" w:type="dxa"/>
          </w:tcPr>
          <w:p w14:paraId="0A8017C6" w14:textId="77777777" w:rsidR="00EC096D" w:rsidRPr="002A4BDC" w:rsidRDefault="00EC096D" w:rsidP="009E3961">
            <w:pPr>
              <w:spacing w:after="0"/>
              <w:rPr>
                <w:rFonts w:asciiTheme="minorBidi" w:hAnsiTheme="minorBidi" w:cstheme="minorBidi"/>
                <w:lang w:val="es-ES_tradnl"/>
              </w:rPr>
            </w:pPr>
            <w:r w:rsidRPr="002A4BDC">
              <w:rPr>
                <w:rStyle w:val="text"/>
                <w:lang w:val="es-ES_tradnl"/>
              </w:rPr>
              <w:t xml:space="preserve">Autoclasificación, Búsqueda </w:t>
            </w:r>
          </w:p>
        </w:tc>
      </w:tr>
    </w:tbl>
    <w:p w14:paraId="588836C7" w14:textId="77777777" w:rsidR="00A10BF7" w:rsidRPr="002A4BDC" w:rsidRDefault="00A10BF7">
      <w:pPr>
        <w:rPr>
          <w:rFonts w:asciiTheme="minorBidi" w:hAnsiTheme="minorBidi" w:cstheme="minorBidi"/>
          <w:lang w:val="es-ES_tradnl"/>
        </w:rPr>
        <w:sectPr w:rsidR="00A10BF7" w:rsidRPr="002A4BDC" w:rsidSect="009E3961">
          <w:pgSz w:w="11905" w:h="16837"/>
          <w:pgMar w:top="562" w:right="1138" w:bottom="1282" w:left="1411" w:header="720" w:footer="720" w:gutter="0"/>
          <w:cols w:space="720"/>
          <w:docGrid w:linePitch="272"/>
        </w:sectPr>
      </w:pPr>
    </w:p>
    <w:bookmarkStart w:id="5" w:name="_Toc8"/>
    <w:p w14:paraId="7CAA5ECF" w14:textId="4E740F72" w:rsidR="00A10BF7" w:rsidRPr="002A4BDC" w:rsidRDefault="00F01C34" w:rsidP="002A4BDC">
      <w:pPr>
        <w:pStyle w:val="headingsubHeader"/>
        <w:tabs>
          <w:tab w:val="left" w:pos="567"/>
        </w:tabs>
        <w:rPr>
          <w:lang w:val="es-ES_tradnl"/>
        </w:rPr>
      </w:pPr>
      <w:r w:rsidRPr="002A4BDC">
        <w:rPr>
          <w:lang w:val="es-ES_tradnl"/>
        </w:rPr>
        <w:fldChar w:fldCharType="begin"/>
      </w:r>
      <w:r w:rsidRPr="002A4BDC">
        <w:rPr>
          <w:lang w:val="es-ES_tradnl"/>
        </w:rPr>
        <w:instrText xml:space="preserve"> AUTONUM  </w:instrText>
      </w:r>
      <w:r w:rsidRPr="002A4BDC">
        <w:rPr>
          <w:lang w:val="es-ES_tradnl"/>
        </w:rPr>
        <w:fldChar w:fldCharType="end"/>
      </w:r>
      <w:r w:rsidRPr="002A4BDC">
        <w:rPr>
          <w:lang w:val="es-ES_tradnl"/>
        </w:rPr>
        <w:tab/>
        <w:t>Seleccione qué recomendación(es), en su caso, es (son) poco prioritaria(s) para su Oficina y explique brevemente el motivo en la casilla de comentarios situada al lado.</w:t>
      </w:r>
      <w:r w:rsidR="003A2C82" w:rsidRPr="002A4BDC">
        <w:rPr>
          <w:lang w:val="es-ES_tradnl"/>
        </w:rPr>
        <w:t xml:space="preserve"> </w:t>
      </w:r>
      <w:r w:rsidRPr="002A4BDC">
        <w:rPr>
          <w:lang w:val="es-ES_tradnl"/>
        </w:rPr>
        <w:t>Seleccione todas las opciones que correspondan o, si no hay recomendaciones poco prioritarias, seleccione "No se aplica".</w:t>
      </w:r>
      <w:bookmarkEnd w:id="5"/>
    </w:p>
    <w:p w14:paraId="246826CE" w14:textId="77777777" w:rsidR="009E3961" w:rsidRPr="002A4BDC" w:rsidRDefault="009E3961" w:rsidP="000739BA">
      <w:pPr>
        <w:pStyle w:val="headingsubHeader"/>
        <w:rPr>
          <w:lang w:val="es-ES_tradnl"/>
        </w:rPr>
      </w:pPr>
    </w:p>
    <w:p w14:paraId="7064CC46" w14:textId="0CD73312" w:rsidR="000A5AD3" w:rsidRPr="002A4BDC" w:rsidRDefault="007D6D88" w:rsidP="000739BA">
      <w:pPr>
        <w:pStyle w:val="headingsubHeader"/>
        <w:rPr>
          <w:lang w:val="es-ES_tradnl"/>
        </w:rPr>
      </w:pPr>
      <w:r w:rsidRPr="002A4BDC">
        <w:rPr>
          <w:noProof/>
          <w:lang w:val="es-ES_tradnl"/>
        </w:rPr>
        <w:drawing>
          <wp:inline distT="0" distB="0" distL="0" distR="0" wp14:anchorId="36CF0119" wp14:editId="074F0E99">
            <wp:extent cx="5500000" cy="4000000"/>
            <wp:effectExtent l="0" t="0" r="0" b="0"/>
            <wp:docPr id="1878791953"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C4353E"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7510"/>
      </w:tblGrid>
      <w:tr w:rsidR="00F729EF" w:rsidRPr="002A4BDC" w14:paraId="088309A5" w14:textId="77777777" w:rsidTr="00830A7B">
        <w:tc>
          <w:tcPr>
            <w:tcW w:w="1440" w:type="dxa"/>
            <w:shd w:val="clear" w:color="auto" w:fill="1F497D" w:themeFill="text2"/>
          </w:tcPr>
          <w:p w14:paraId="5134D587" w14:textId="50EFDAF9" w:rsidR="00F729EF" w:rsidRPr="002A4BDC" w:rsidRDefault="00F729EF"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7E3B6595" w14:textId="1DDD633D" w:rsidR="00F729EF" w:rsidRPr="002A4BDC" w:rsidRDefault="00F729EF"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1 </w:t>
            </w:r>
          </w:p>
        </w:tc>
      </w:tr>
      <w:tr w:rsidR="00F729EF" w:rsidRPr="002A4BDC" w14:paraId="377E3106" w14:textId="77777777" w:rsidTr="00830A7B">
        <w:tc>
          <w:tcPr>
            <w:tcW w:w="1440" w:type="dxa"/>
          </w:tcPr>
          <w:p w14:paraId="7B44DC96" w14:textId="29C87AA2" w:rsidR="00F729EF" w:rsidRPr="002A4BDC" w:rsidRDefault="00842A65" w:rsidP="00413DDD">
            <w:pPr>
              <w:spacing w:after="0"/>
              <w:rPr>
                <w:rStyle w:val="text"/>
                <w:lang w:val="es-ES_tradnl"/>
              </w:rPr>
            </w:pPr>
            <w:r w:rsidRPr="002A4BDC">
              <w:rPr>
                <w:rStyle w:val="text"/>
                <w:lang w:val="es-ES_tradnl"/>
              </w:rPr>
              <w:t>IE</w:t>
            </w:r>
          </w:p>
        </w:tc>
        <w:tc>
          <w:tcPr>
            <w:tcW w:w="7665" w:type="dxa"/>
          </w:tcPr>
          <w:p w14:paraId="2615AEE6" w14:textId="7ED0B936" w:rsidR="00F729EF" w:rsidRPr="002A4BDC" w:rsidRDefault="00842A65" w:rsidP="00413DDD">
            <w:pPr>
              <w:spacing w:after="0"/>
              <w:rPr>
                <w:rFonts w:asciiTheme="minorBidi" w:hAnsiTheme="minorBidi" w:cstheme="minorBidi"/>
                <w:lang w:val="es-ES_tradnl"/>
              </w:rPr>
            </w:pPr>
            <w:r w:rsidRPr="002A4BDC">
              <w:rPr>
                <w:rStyle w:val="text"/>
                <w:lang w:val="es-ES_tradnl"/>
              </w:rPr>
              <w:t xml:space="preserve">Los cambios jurídicos para apoyar la transformación digital dependen de los limitados recursos disponibles </w:t>
            </w:r>
          </w:p>
        </w:tc>
      </w:tr>
    </w:tbl>
    <w:p w14:paraId="3C6615CC"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509"/>
      </w:tblGrid>
      <w:tr w:rsidR="00F729EF" w:rsidRPr="002A4BDC" w14:paraId="4DFFB26F" w14:textId="77777777" w:rsidTr="00402142">
        <w:tc>
          <w:tcPr>
            <w:tcW w:w="1440" w:type="dxa"/>
            <w:shd w:val="clear" w:color="auto" w:fill="1F497D" w:themeFill="text2"/>
          </w:tcPr>
          <w:p w14:paraId="6ADBB50D" w14:textId="3DAB8EBC" w:rsidR="00F729EF" w:rsidRPr="002A4BDC" w:rsidRDefault="00842A65"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335F1138" w14:textId="2789C1C7" w:rsidR="00F729EF" w:rsidRPr="002A4BDC" w:rsidRDefault="00F729EF"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2 </w:t>
            </w:r>
          </w:p>
        </w:tc>
      </w:tr>
      <w:tr w:rsidR="00F729EF" w:rsidRPr="002A4BDC" w14:paraId="58CC4BA3" w14:textId="77777777" w:rsidTr="00830A7B">
        <w:tc>
          <w:tcPr>
            <w:tcW w:w="1440" w:type="dxa"/>
          </w:tcPr>
          <w:p w14:paraId="1D1B8E59" w14:textId="17F8ADCB" w:rsidR="00F729EF" w:rsidRPr="002A4BDC" w:rsidRDefault="00357B75" w:rsidP="00413DDD">
            <w:pPr>
              <w:spacing w:after="0"/>
              <w:rPr>
                <w:rStyle w:val="text"/>
                <w:lang w:val="es-ES_tradnl"/>
              </w:rPr>
            </w:pPr>
            <w:r w:rsidRPr="002A4BDC">
              <w:rPr>
                <w:rStyle w:val="text"/>
                <w:lang w:val="es-ES_tradnl"/>
              </w:rPr>
              <w:t>AU</w:t>
            </w:r>
          </w:p>
        </w:tc>
        <w:tc>
          <w:tcPr>
            <w:tcW w:w="7665" w:type="dxa"/>
          </w:tcPr>
          <w:p w14:paraId="656D2FE7" w14:textId="0CC282AB" w:rsidR="00F729EF" w:rsidRPr="002A4BDC" w:rsidRDefault="00F729EF" w:rsidP="00413DDD">
            <w:pPr>
              <w:spacing w:after="0"/>
              <w:rPr>
                <w:rFonts w:asciiTheme="minorBidi" w:hAnsiTheme="minorBidi" w:cstheme="minorBidi"/>
                <w:lang w:val="es-ES_tradnl"/>
              </w:rPr>
            </w:pPr>
            <w:r w:rsidRPr="002A4BDC">
              <w:rPr>
                <w:rStyle w:val="text"/>
                <w:lang w:val="es-ES_tradnl"/>
              </w:rPr>
              <w:t xml:space="preserve">Medidas ya aplicadas; actividad en curso sin proyectos actuales de alta prioridad. </w:t>
            </w:r>
          </w:p>
        </w:tc>
      </w:tr>
    </w:tbl>
    <w:p w14:paraId="47A12052"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509"/>
      </w:tblGrid>
      <w:tr w:rsidR="00F729EF" w:rsidRPr="002A4BDC" w14:paraId="2140F1E3" w14:textId="77777777" w:rsidTr="00402142">
        <w:tc>
          <w:tcPr>
            <w:tcW w:w="1440" w:type="dxa"/>
            <w:shd w:val="clear" w:color="auto" w:fill="1F497D" w:themeFill="text2"/>
          </w:tcPr>
          <w:p w14:paraId="59EEE197" w14:textId="2AD4FEFE" w:rsidR="00F729EF" w:rsidRPr="002A4BDC" w:rsidRDefault="00357B75"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0B61B2C6" w14:textId="7ADF0C7C" w:rsidR="00F729EF" w:rsidRPr="002A4BDC" w:rsidRDefault="00F729EF" w:rsidP="00413DDD">
            <w:pPr>
              <w:spacing w:after="0"/>
              <w:rPr>
                <w:rStyle w:val="text"/>
                <w:b/>
                <w:bCs/>
                <w:color w:val="FFFFFF" w:themeColor="background1"/>
                <w:lang w:val="es-ES_tradnl"/>
              </w:rPr>
            </w:pPr>
            <w:r w:rsidRPr="002A4BDC">
              <w:rPr>
                <w:rStyle w:val="text"/>
                <w:b/>
                <w:color w:val="FFFFFF" w:themeColor="background1"/>
                <w:lang w:val="es-ES_tradnl"/>
              </w:rPr>
              <w:t xml:space="preserve">Rec: 3 </w:t>
            </w:r>
          </w:p>
        </w:tc>
      </w:tr>
      <w:tr w:rsidR="00F729EF" w:rsidRPr="002A4BDC" w14:paraId="69157F1B" w14:textId="77777777" w:rsidTr="00830A7B">
        <w:tc>
          <w:tcPr>
            <w:tcW w:w="1440" w:type="dxa"/>
          </w:tcPr>
          <w:p w14:paraId="14C0D03C" w14:textId="7416CB25" w:rsidR="00F729EF" w:rsidRPr="002A4BDC" w:rsidRDefault="00357B75" w:rsidP="00413DDD">
            <w:pPr>
              <w:spacing w:after="0"/>
              <w:rPr>
                <w:rStyle w:val="text"/>
                <w:lang w:val="es-ES_tradnl"/>
              </w:rPr>
            </w:pPr>
            <w:r w:rsidRPr="002A4BDC">
              <w:rPr>
                <w:rStyle w:val="text"/>
                <w:lang w:val="es-ES_tradnl"/>
              </w:rPr>
              <w:t>AU</w:t>
            </w:r>
          </w:p>
        </w:tc>
        <w:tc>
          <w:tcPr>
            <w:tcW w:w="7665" w:type="dxa"/>
          </w:tcPr>
          <w:p w14:paraId="538C581F" w14:textId="47514B41" w:rsidR="00F729EF" w:rsidRPr="002A4BDC" w:rsidRDefault="00F729EF" w:rsidP="00413DDD">
            <w:pPr>
              <w:spacing w:after="0"/>
              <w:rPr>
                <w:rFonts w:asciiTheme="minorBidi" w:hAnsiTheme="minorBidi" w:cstheme="minorBidi"/>
                <w:lang w:val="es-ES_tradnl"/>
              </w:rPr>
            </w:pPr>
            <w:r w:rsidRPr="002A4BDC">
              <w:rPr>
                <w:rStyle w:val="text"/>
                <w:lang w:val="es-ES_tradnl"/>
              </w:rPr>
              <w:t xml:space="preserve">Medidas ya aplicadas; actividad en curso sin proyectos actuales de alta prioridad. </w:t>
            </w:r>
          </w:p>
        </w:tc>
      </w:tr>
    </w:tbl>
    <w:p w14:paraId="0D2B8A62"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F47DC5" w:rsidRPr="002A4BDC" w14:paraId="78739929" w14:textId="77777777" w:rsidTr="00402142">
        <w:tc>
          <w:tcPr>
            <w:tcW w:w="9105" w:type="dxa"/>
            <w:shd w:val="clear" w:color="auto" w:fill="1F497D" w:themeFill="text2"/>
          </w:tcPr>
          <w:p w14:paraId="7913676C" w14:textId="017AFFB8" w:rsidR="00F47DC5" w:rsidRPr="002A4BDC" w:rsidRDefault="00F47DC5"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4 </w:t>
            </w:r>
          </w:p>
        </w:tc>
      </w:tr>
      <w:tr w:rsidR="00F47DC5" w:rsidRPr="002A4BDC" w14:paraId="2FE51FFE" w14:textId="77777777" w:rsidTr="00830A7B">
        <w:tc>
          <w:tcPr>
            <w:tcW w:w="9105" w:type="dxa"/>
          </w:tcPr>
          <w:p w14:paraId="5886367C" w14:textId="285E37FE" w:rsidR="00F47DC5" w:rsidRPr="002A4BDC" w:rsidRDefault="00F47DC5" w:rsidP="00413DDD">
            <w:pPr>
              <w:spacing w:after="0"/>
              <w:rPr>
                <w:rFonts w:asciiTheme="minorBidi" w:hAnsiTheme="minorBidi" w:cstheme="minorBidi"/>
                <w:lang w:val="es-ES_tradnl"/>
              </w:rPr>
            </w:pPr>
            <w:r w:rsidRPr="002A4BDC">
              <w:rPr>
                <w:rStyle w:val="text"/>
                <w:lang w:val="es-ES_tradnl"/>
              </w:rPr>
              <w:t>Sin comentarios</w:t>
            </w:r>
          </w:p>
        </w:tc>
      </w:tr>
    </w:tbl>
    <w:p w14:paraId="6FAFBC39"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7333"/>
      </w:tblGrid>
      <w:tr w:rsidR="00EC2FAD" w:rsidRPr="002A4BDC" w14:paraId="6D091C2B" w14:textId="77777777" w:rsidTr="00402142">
        <w:tc>
          <w:tcPr>
            <w:tcW w:w="1620" w:type="dxa"/>
            <w:shd w:val="clear" w:color="auto" w:fill="1F497D" w:themeFill="text2"/>
          </w:tcPr>
          <w:p w14:paraId="1B538F2F" w14:textId="75BFE27C" w:rsidR="00EC2FAD" w:rsidRPr="002A4BDC" w:rsidRDefault="00EC2FAD"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485" w:type="dxa"/>
            <w:shd w:val="clear" w:color="auto" w:fill="1F497D" w:themeFill="text2"/>
          </w:tcPr>
          <w:p w14:paraId="43D4B7BD" w14:textId="12F6A639" w:rsidR="00EC2FAD" w:rsidRPr="002A4BDC" w:rsidRDefault="00EC2FAD"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5 </w:t>
            </w:r>
          </w:p>
        </w:tc>
      </w:tr>
      <w:tr w:rsidR="00EC2FAD" w:rsidRPr="002A4BDC" w14:paraId="130F04E0" w14:textId="77777777" w:rsidTr="00830A7B">
        <w:tc>
          <w:tcPr>
            <w:tcW w:w="1620" w:type="dxa"/>
          </w:tcPr>
          <w:p w14:paraId="1B7530B4" w14:textId="18B0C2AB" w:rsidR="00EC2FAD" w:rsidRPr="002A4BDC" w:rsidRDefault="00EC2FAD" w:rsidP="00413DDD">
            <w:pPr>
              <w:spacing w:after="0"/>
              <w:rPr>
                <w:rStyle w:val="text"/>
                <w:lang w:val="es-ES_tradnl"/>
              </w:rPr>
            </w:pPr>
            <w:r w:rsidRPr="002A4BDC">
              <w:rPr>
                <w:rStyle w:val="text"/>
                <w:lang w:val="es-ES_tradnl"/>
              </w:rPr>
              <w:t>EM</w:t>
            </w:r>
          </w:p>
        </w:tc>
        <w:tc>
          <w:tcPr>
            <w:tcW w:w="7485" w:type="dxa"/>
          </w:tcPr>
          <w:p w14:paraId="118A8BB2" w14:textId="4196C9FD" w:rsidR="00EC2FAD" w:rsidRPr="002A4BDC" w:rsidRDefault="00EC2FAD" w:rsidP="00413DDD">
            <w:pPr>
              <w:spacing w:after="0"/>
              <w:rPr>
                <w:rFonts w:asciiTheme="minorBidi" w:hAnsiTheme="minorBidi" w:cstheme="minorBidi"/>
                <w:lang w:val="es-ES_tradnl"/>
              </w:rPr>
            </w:pPr>
            <w:r w:rsidRPr="002A4BDC">
              <w:rPr>
                <w:rStyle w:val="text"/>
                <w:lang w:val="es-ES_tradnl"/>
              </w:rPr>
              <w:t xml:space="preserve">No hay intención de aplicar nuevas normas XML, centradas en JSON </w:t>
            </w:r>
          </w:p>
        </w:tc>
      </w:tr>
    </w:tbl>
    <w:p w14:paraId="4BC6857A"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F47DC5" w:rsidRPr="002A4BDC" w14:paraId="41E6F85E" w14:textId="77777777" w:rsidTr="00402142">
        <w:tc>
          <w:tcPr>
            <w:tcW w:w="9105" w:type="dxa"/>
            <w:shd w:val="clear" w:color="auto" w:fill="1F497D" w:themeFill="text2"/>
          </w:tcPr>
          <w:p w14:paraId="60694773" w14:textId="56EAB216" w:rsidR="00F47DC5" w:rsidRPr="002A4BDC" w:rsidRDefault="00F47DC5"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6 </w:t>
            </w:r>
          </w:p>
        </w:tc>
      </w:tr>
      <w:tr w:rsidR="00F47DC5" w:rsidRPr="002A4BDC" w14:paraId="1EE45EF7" w14:textId="77777777" w:rsidTr="00830A7B">
        <w:tc>
          <w:tcPr>
            <w:tcW w:w="9105" w:type="dxa"/>
          </w:tcPr>
          <w:p w14:paraId="4102AE45" w14:textId="50CFCA06" w:rsidR="00F47DC5" w:rsidRPr="002A4BDC" w:rsidRDefault="00606191" w:rsidP="00413DDD">
            <w:pPr>
              <w:spacing w:after="0"/>
              <w:rPr>
                <w:rFonts w:asciiTheme="minorBidi" w:hAnsiTheme="minorBidi" w:cstheme="minorBidi"/>
                <w:lang w:val="es-ES_tradnl"/>
              </w:rPr>
            </w:pPr>
            <w:r w:rsidRPr="002A4BDC">
              <w:rPr>
                <w:rStyle w:val="text"/>
                <w:lang w:val="es-ES_tradnl"/>
              </w:rPr>
              <w:t>Sin comentarios</w:t>
            </w:r>
          </w:p>
        </w:tc>
      </w:tr>
    </w:tbl>
    <w:p w14:paraId="5D12C89E"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334"/>
      </w:tblGrid>
      <w:tr w:rsidR="00352745" w:rsidRPr="002A4BDC" w14:paraId="11B9E5B5" w14:textId="77777777" w:rsidTr="00402142">
        <w:tc>
          <w:tcPr>
            <w:tcW w:w="1620" w:type="dxa"/>
            <w:shd w:val="clear" w:color="auto" w:fill="1F497D" w:themeFill="text2"/>
          </w:tcPr>
          <w:p w14:paraId="498A5612" w14:textId="39E5340D" w:rsidR="00352745" w:rsidRPr="002A4BDC" w:rsidRDefault="00EC2FAD"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485" w:type="dxa"/>
            <w:shd w:val="clear" w:color="auto" w:fill="1F497D" w:themeFill="text2"/>
          </w:tcPr>
          <w:p w14:paraId="34A748A4" w14:textId="40D86AE9" w:rsidR="00352745" w:rsidRPr="002A4BDC" w:rsidRDefault="00352745"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7 </w:t>
            </w:r>
          </w:p>
        </w:tc>
      </w:tr>
      <w:tr w:rsidR="00352745" w:rsidRPr="002A4BDC" w14:paraId="5AB415C2" w14:textId="77777777" w:rsidTr="00830A7B">
        <w:tc>
          <w:tcPr>
            <w:tcW w:w="1620" w:type="dxa"/>
          </w:tcPr>
          <w:p w14:paraId="5CC2BAAF" w14:textId="21439911" w:rsidR="00352745" w:rsidRPr="002A4BDC" w:rsidRDefault="00EC2FAD" w:rsidP="00413DDD">
            <w:pPr>
              <w:spacing w:after="0"/>
              <w:rPr>
                <w:rStyle w:val="text"/>
                <w:lang w:val="es-ES_tradnl"/>
              </w:rPr>
            </w:pPr>
            <w:r w:rsidRPr="002A4BDC">
              <w:rPr>
                <w:rStyle w:val="text"/>
                <w:lang w:val="es-ES_tradnl"/>
              </w:rPr>
              <w:t>HR</w:t>
            </w:r>
          </w:p>
        </w:tc>
        <w:tc>
          <w:tcPr>
            <w:tcW w:w="7485" w:type="dxa"/>
          </w:tcPr>
          <w:p w14:paraId="23AE0488" w14:textId="6326A632" w:rsidR="00352745" w:rsidRPr="002A4BDC" w:rsidRDefault="00352745" w:rsidP="00413DDD">
            <w:pPr>
              <w:spacing w:after="0"/>
              <w:rPr>
                <w:rFonts w:asciiTheme="minorBidi" w:hAnsiTheme="minorBidi" w:cstheme="minorBidi"/>
                <w:lang w:val="es-ES_tradnl"/>
              </w:rPr>
            </w:pPr>
            <w:r w:rsidRPr="002A4BDC">
              <w:rPr>
                <w:rStyle w:val="text"/>
                <w:lang w:val="es-ES_tradnl"/>
              </w:rPr>
              <w:t xml:space="preserve">Debido a la escasez de recursos, no tenemos mucho interés en participar en la elaboración de normas de la OMPI </w:t>
            </w:r>
          </w:p>
        </w:tc>
      </w:tr>
    </w:tbl>
    <w:p w14:paraId="37436EF0"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334"/>
      </w:tblGrid>
      <w:tr w:rsidR="00352745" w:rsidRPr="002A4BDC" w14:paraId="79DC6C0F" w14:textId="77777777" w:rsidTr="00402142">
        <w:tc>
          <w:tcPr>
            <w:tcW w:w="1620" w:type="dxa"/>
            <w:shd w:val="clear" w:color="auto" w:fill="1F497D" w:themeFill="text2"/>
          </w:tcPr>
          <w:p w14:paraId="71245F6E" w14:textId="33A9C916" w:rsidR="00352745" w:rsidRPr="002A4BDC" w:rsidRDefault="00EC2FAD"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485" w:type="dxa"/>
            <w:shd w:val="clear" w:color="auto" w:fill="1F497D" w:themeFill="text2"/>
          </w:tcPr>
          <w:p w14:paraId="3103CCB9" w14:textId="05FA5F3D" w:rsidR="00352745" w:rsidRPr="002A4BDC" w:rsidRDefault="00352745"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8 </w:t>
            </w:r>
          </w:p>
        </w:tc>
      </w:tr>
      <w:tr w:rsidR="00352745" w:rsidRPr="002A4BDC" w14:paraId="7E6B8122" w14:textId="77777777" w:rsidTr="00830A7B">
        <w:tc>
          <w:tcPr>
            <w:tcW w:w="1620" w:type="dxa"/>
          </w:tcPr>
          <w:p w14:paraId="121C8E2C" w14:textId="1481E550" w:rsidR="00352745" w:rsidRPr="002A4BDC" w:rsidRDefault="00EC2FAD" w:rsidP="00413DDD">
            <w:pPr>
              <w:spacing w:after="0"/>
              <w:rPr>
                <w:rStyle w:val="text"/>
                <w:lang w:val="es-ES_tradnl"/>
              </w:rPr>
            </w:pPr>
            <w:r w:rsidRPr="002A4BDC">
              <w:rPr>
                <w:rStyle w:val="text"/>
                <w:lang w:val="es-ES_tradnl"/>
              </w:rPr>
              <w:t>HR</w:t>
            </w:r>
          </w:p>
        </w:tc>
        <w:tc>
          <w:tcPr>
            <w:tcW w:w="7485" w:type="dxa"/>
          </w:tcPr>
          <w:p w14:paraId="182A663A" w14:textId="1E252581" w:rsidR="00352745" w:rsidRPr="002A4BDC" w:rsidRDefault="00352745" w:rsidP="00413DDD">
            <w:pPr>
              <w:spacing w:after="0"/>
              <w:rPr>
                <w:rFonts w:asciiTheme="minorBidi" w:hAnsiTheme="minorBidi" w:cstheme="minorBidi"/>
                <w:lang w:val="es-ES_tradnl"/>
              </w:rPr>
            </w:pPr>
            <w:r w:rsidRPr="002A4BDC">
              <w:rPr>
                <w:rStyle w:val="text"/>
                <w:lang w:val="es-ES_tradnl"/>
              </w:rPr>
              <w:t xml:space="preserve">Debido a la escasez de recursos, no tenemos mucho interés en participar en la elaboración de soluciones y plataformas </w:t>
            </w:r>
          </w:p>
        </w:tc>
      </w:tr>
    </w:tbl>
    <w:p w14:paraId="153C0538"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7335"/>
      </w:tblGrid>
      <w:tr w:rsidR="0018386A" w:rsidRPr="002A4BDC" w14:paraId="259735D1" w14:textId="77777777" w:rsidTr="00402142">
        <w:tc>
          <w:tcPr>
            <w:tcW w:w="1620" w:type="dxa"/>
            <w:shd w:val="clear" w:color="auto" w:fill="1F497D" w:themeFill="text2"/>
          </w:tcPr>
          <w:p w14:paraId="3F47FE2B" w14:textId="77777777" w:rsidR="0018386A" w:rsidRPr="002A4BDC" w:rsidRDefault="0018386A"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485" w:type="dxa"/>
            <w:shd w:val="clear" w:color="auto" w:fill="1F497D" w:themeFill="text2"/>
          </w:tcPr>
          <w:p w14:paraId="47EE8CAA" w14:textId="77777777" w:rsidR="0018386A" w:rsidRPr="002A4BDC" w:rsidRDefault="0018386A"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9 </w:t>
            </w:r>
          </w:p>
        </w:tc>
      </w:tr>
      <w:tr w:rsidR="0018386A" w:rsidRPr="002A4BDC" w14:paraId="2829B26B" w14:textId="77777777" w:rsidTr="00830A7B">
        <w:tc>
          <w:tcPr>
            <w:tcW w:w="1620" w:type="dxa"/>
          </w:tcPr>
          <w:p w14:paraId="34F86785" w14:textId="77777777" w:rsidR="0018386A" w:rsidRPr="002A4BDC" w:rsidRDefault="0018386A" w:rsidP="00413DDD">
            <w:pPr>
              <w:spacing w:after="0"/>
              <w:rPr>
                <w:rStyle w:val="text"/>
                <w:lang w:val="es-ES_tradnl"/>
              </w:rPr>
            </w:pPr>
            <w:r w:rsidRPr="002A4BDC">
              <w:rPr>
                <w:rStyle w:val="text"/>
                <w:lang w:val="es-ES_tradnl"/>
              </w:rPr>
              <w:t>BR</w:t>
            </w:r>
          </w:p>
        </w:tc>
        <w:tc>
          <w:tcPr>
            <w:tcW w:w="7485" w:type="dxa"/>
          </w:tcPr>
          <w:p w14:paraId="38A835EE" w14:textId="77777777" w:rsidR="0018386A" w:rsidRPr="002A4BDC" w:rsidRDefault="0018386A" w:rsidP="00413DDD">
            <w:pPr>
              <w:spacing w:after="0"/>
              <w:rPr>
                <w:rFonts w:asciiTheme="minorBidi" w:hAnsiTheme="minorBidi" w:cstheme="minorBidi"/>
                <w:lang w:val="es-ES_tradnl"/>
              </w:rPr>
            </w:pPr>
            <w:r w:rsidRPr="002A4BDC">
              <w:rPr>
                <w:rStyle w:val="text"/>
                <w:lang w:val="es-ES_tradnl"/>
              </w:rPr>
              <w:t xml:space="preserve">Falta de personal para dedicarse a esta recomendación. </w:t>
            </w:r>
          </w:p>
        </w:tc>
      </w:tr>
      <w:tr w:rsidR="0018386A" w:rsidRPr="002A4BDC" w14:paraId="3C7A4B02" w14:textId="77777777" w:rsidTr="00830A7B">
        <w:tc>
          <w:tcPr>
            <w:tcW w:w="1620" w:type="dxa"/>
          </w:tcPr>
          <w:p w14:paraId="62AE8D3C" w14:textId="77777777" w:rsidR="0018386A" w:rsidRPr="002A4BDC" w:rsidRDefault="0018386A" w:rsidP="00413DDD">
            <w:pPr>
              <w:spacing w:after="0"/>
              <w:rPr>
                <w:rStyle w:val="text"/>
                <w:lang w:val="es-ES_tradnl"/>
              </w:rPr>
            </w:pPr>
            <w:r w:rsidRPr="002A4BDC">
              <w:rPr>
                <w:rStyle w:val="text"/>
                <w:lang w:val="es-ES_tradnl"/>
              </w:rPr>
              <w:t>EM</w:t>
            </w:r>
          </w:p>
        </w:tc>
        <w:tc>
          <w:tcPr>
            <w:tcW w:w="7485" w:type="dxa"/>
          </w:tcPr>
          <w:p w14:paraId="5D6D12E2" w14:textId="4E861D39" w:rsidR="0018386A" w:rsidRPr="002A4BDC" w:rsidRDefault="0018386A" w:rsidP="00413DDD">
            <w:pPr>
              <w:spacing w:after="0"/>
              <w:rPr>
                <w:rFonts w:asciiTheme="minorBidi" w:hAnsiTheme="minorBidi" w:cstheme="minorBidi"/>
                <w:lang w:val="es-ES_tradnl"/>
              </w:rPr>
            </w:pPr>
            <w:r w:rsidRPr="002A4BDC">
              <w:rPr>
                <w:rStyle w:val="text"/>
                <w:lang w:val="es-ES_tradnl"/>
              </w:rPr>
              <w:t xml:space="preserve">Marco de gestión de proyectos </w:t>
            </w:r>
          </w:p>
        </w:tc>
      </w:tr>
      <w:tr w:rsidR="0018386A" w:rsidRPr="002A4BDC" w14:paraId="3CC9B5D8" w14:textId="77777777" w:rsidTr="00830A7B">
        <w:tc>
          <w:tcPr>
            <w:tcW w:w="1620" w:type="dxa"/>
          </w:tcPr>
          <w:p w14:paraId="3A9C5C93" w14:textId="77777777" w:rsidR="0018386A" w:rsidRPr="002A4BDC" w:rsidRDefault="0018386A" w:rsidP="00413DDD">
            <w:pPr>
              <w:spacing w:after="0"/>
              <w:rPr>
                <w:rStyle w:val="text"/>
                <w:lang w:val="es-ES_tradnl"/>
              </w:rPr>
            </w:pPr>
            <w:r w:rsidRPr="002A4BDC">
              <w:rPr>
                <w:rStyle w:val="text"/>
                <w:lang w:val="es-ES_tradnl"/>
              </w:rPr>
              <w:t>EP</w:t>
            </w:r>
          </w:p>
        </w:tc>
        <w:tc>
          <w:tcPr>
            <w:tcW w:w="7485" w:type="dxa"/>
          </w:tcPr>
          <w:p w14:paraId="1B984CDF" w14:textId="38B73D8A" w:rsidR="0018386A" w:rsidRPr="002A4BDC" w:rsidRDefault="0018386A" w:rsidP="00413DDD">
            <w:pPr>
              <w:spacing w:after="0"/>
              <w:rPr>
                <w:rFonts w:asciiTheme="minorBidi" w:hAnsiTheme="minorBidi" w:cstheme="minorBidi"/>
                <w:lang w:val="es-ES_tradnl"/>
              </w:rPr>
            </w:pPr>
            <w:r w:rsidRPr="002A4BDC">
              <w:rPr>
                <w:rStyle w:val="text"/>
                <w:lang w:val="es-ES_tradnl"/>
              </w:rPr>
              <w:t>El intercambio de experiencias e información sobre la planificación, gestión, ejecución y evaluación de proyectos de TIC se producirá en una fase posterior del Plan Estratégico 2028, cuando sea posible compartir los resultados concretos y las lecciones aprendidas del plan.</w:t>
            </w:r>
            <w:r w:rsidR="003A2C82" w:rsidRPr="002A4BDC">
              <w:rPr>
                <w:rStyle w:val="text"/>
                <w:lang w:val="es-ES_tradnl"/>
              </w:rPr>
              <w:t xml:space="preserve"> </w:t>
            </w:r>
          </w:p>
        </w:tc>
      </w:tr>
      <w:tr w:rsidR="0018386A" w:rsidRPr="002A4BDC" w14:paraId="645B1B78" w14:textId="77777777" w:rsidTr="00830A7B">
        <w:tc>
          <w:tcPr>
            <w:tcW w:w="1620" w:type="dxa"/>
          </w:tcPr>
          <w:p w14:paraId="2151E71A" w14:textId="77777777" w:rsidR="0018386A" w:rsidRPr="002A4BDC" w:rsidRDefault="0018386A" w:rsidP="00413DDD">
            <w:pPr>
              <w:spacing w:after="0"/>
              <w:rPr>
                <w:rStyle w:val="text"/>
                <w:lang w:val="es-ES_tradnl"/>
              </w:rPr>
            </w:pPr>
            <w:r w:rsidRPr="002A4BDC">
              <w:rPr>
                <w:rStyle w:val="text"/>
                <w:lang w:val="es-ES_tradnl"/>
              </w:rPr>
              <w:t>IE</w:t>
            </w:r>
          </w:p>
        </w:tc>
        <w:tc>
          <w:tcPr>
            <w:tcW w:w="7485" w:type="dxa"/>
          </w:tcPr>
          <w:p w14:paraId="5E1B9CCC" w14:textId="6D637ACB" w:rsidR="0018386A" w:rsidRPr="002A4BDC" w:rsidRDefault="0018386A" w:rsidP="00413DDD">
            <w:pPr>
              <w:spacing w:after="0"/>
              <w:rPr>
                <w:rFonts w:asciiTheme="minorBidi" w:hAnsiTheme="minorBidi" w:cstheme="minorBidi"/>
                <w:lang w:val="es-ES_tradnl"/>
              </w:rPr>
            </w:pPr>
            <w:r w:rsidRPr="002A4BDC">
              <w:rPr>
                <w:rStyle w:val="text"/>
                <w:lang w:val="es-ES_tradnl"/>
              </w:rPr>
              <w:t xml:space="preserve">Confidencialidad de los proveedores externos </w:t>
            </w:r>
          </w:p>
        </w:tc>
      </w:tr>
    </w:tbl>
    <w:p w14:paraId="44EE1A70"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7334"/>
      </w:tblGrid>
      <w:tr w:rsidR="00352745" w:rsidRPr="002A4BDC" w14:paraId="31881BA8" w14:textId="77777777" w:rsidTr="00402142">
        <w:tc>
          <w:tcPr>
            <w:tcW w:w="1620" w:type="dxa"/>
            <w:shd w:val="clear" w:color="auto" w:fill="1F497D" w:themeFill="text2"/>
          </w:tcPr>
          <w:p w14:paraId="5751EA10" w14:textId="024083F1" w:rsidR="00352745" w:rsidRPr="002A4BDC" w:rsidRDefault="00DC01C1"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485" w:type="dxa"/>
            <w:shd w:val="clear" w:color="auto" w:fill="1F497D" w:themeFill="text2"/>
          </w:tcPr>
          <w:p w14:paraId="7D791E44" w14:textId="09BDF44D" w:rsidR="00352745" w:rsidRPr="002A4BDC" w:rsidRDefault="00352745"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10 </w:t>
            </w:r>
          </w:p>
        </w:tc>
      </w:tr>
      <w:tr w:rsidR="00352745" w:rsidRPr="002A4BDC" w14:paraId="703713D2" w14:textId="77777777" w:rsidTr="00402142">
        <w:tc>
          <w:tcPr>
            <w:tcW w:w="1620" w:type="dxa"/>
          </w:tcPr>
          <w:p w14:paraId="06036206" w14:textId="142B1220" w:rsidR="00352745" w:rsidRPr="002A4BDC" w:rsidRDefault="00DC01C1" w:rsidP="00413DDD">
            <w:pPr>
              <w:spacing w:after="0"/>
              <w:rPr>
                <w:rStyle w:val="text"/>
                <w:lang w:val="es-ES_tradnl"/>
              </w:rPr>
            </w:pPr>
            <w:r w:rsidRPr="002A4BDC">
              <w:rPr>
                <w:rStyle w:val="text"/>
                <w:lang w:val="es-ES_tradnl"/>
              </w:rPr>
              <w:t>IE</w:t>
            </w:r>
          </w:p>
        </w:tc>
        <w:tc>
          <w:tcPr>
            <w:tcW w:w="7485" w:type="dxa"/>
          </w:tcPr>
          <w:p w14:paraId="4D99D499" w14:textId="1C6AC0B9" w:rsidR="00352745" w:rsidRPr="002A4BDC" w:rsidRDefault="00DC01C1" w:rsidP="00413DDD">
            <w:pPr>
              <w:spacing w:after="0"/>
              <w:rPr>
                <w:rFonts w:asciiTheme="minorBidi" w:hAnsiTheme="minorBidi" w:cstheme="minorBidi"/>
                <w:lang w:val="es-ES_tradnl"/>
              </w:rPr>
            </w:pPr>
            <w:r w:rsidRPr="002A4BDC">
              <w:rPr>
                <w:rStyle w:val="text"/>
                <w:lang w:val="es-ES_tradnl"/>
              </w:rPr>
              <w:t xml:space="preserve">Para las oficinas pequeñas es difícil aplicar con rapidez las tecnologías nuevas y emergentes </w:t>
            </w:r>
          </w:p>
        </w:tc>
      </w:tr>
    </w:tbl>
    <w:p w14:paraId="505EC24A" w14:textId="77777777" w:rsidR="00A10BF7" w:rsidRPr="002A4BDC" w:rsidRDefault="00A10BF7">
      <w:pPr>
        <w:rPr>
          <w:rFonts w:asciiTheme="minorBidi" w:hAnsiTheme="minorBidi" w:cstheme="minorBidi"/>
          <w:lang w:val="es-ES_tradnl"/>
        </w:rPr>
        <w:sectPr w:rsidR="00A10BF7" w:rsidRPr="002A4BDC">
          <w:pgSz w:w="11905" w:h="16837"/>
          <w:pgMar w:top="1440" w:right="1440" w:bottom="1440" w:left="1440" w:header="720" w:footer="720" w:gutter="0"/>
          <w:cols w:space="720"/>
        </w:sectPr>
      </w:pPr>
    </w:p>
    <w:bookmarkStart w:id="6" w:name="_Toc9"/>
    <w:p w14:paraId="5E507536" w14:textId="3FEDF930" w:rsidR="00A10BF7" w:rsidRPr="002A4BDC" w:rsidRDefault="00F01C34" w:rsidP="002A4BDC">
      <w:pPr>
        <w:pStyle w:val="headingsubHeader"/>
        <w:tabs>
          <w:tab w:val="left" w:pos="567"/>
        </w:tabs>
        <w:rPr>
          <w:lang w:val="es-ES_tradnl"/>
        </w:rPr>
      </w:pPr>
      <w:r w:rsidRPr="002A4BDC">
        <w:rPr>
          <w:lang w:val="es-ES_tradnl"/>
        </w:rPr>
        <w:fldChar w:fldCharType="begin"/>
      </w:r>
      <w:r w:rsidRPr="002A4BDC">
        <w:rPr>
          <w:lang w:val="es-ES_tradnl"/>
        </w:rPr>
        <w:instrText xml:space="preserve"> AUTONUM  </w:instrText>
      </w:r>
      <w:r w:rsidRPr="002A4BDC">
        <w:rPr>
          <w:lang w:val="es-ES_tradnl"/>
        </w:rPr>
        <w:fldChar w:fldCharType="end"/>
      </w:r>
      <w:r w:rsidRPr="002A4BDC">
        <w:rPr>
          <w:lang w:val="es-ES_tradnl"/>
        </w:rPr>
        <w:tab/>
        <w:t>Seleccione qué recomendación(es), en su caso, supone(n) grandes dificultades de aplicación para su Oficina y explique brevemente el motivo en la casilla de comentarios situada al lado.</w:t>
      </w:r>
      <w:r w:rsidR="003A2C82" w:rsidRPr="002A4BDC">
        <w:rPr>
          <w:lang w:val="es-ES_tradnl"/>
        </w:rPr>
        <w:t xml:space="preserve"> </w:t>
      </w:r>
      <w:r w:rsidRPr="002A4BDC">
        <w:rPr>
          <w:lang w:val="es-ES_tradnl"/>
        </w:rPr>
        <w:t>Seleccione todas las opciones que correspondan o, si no hay dificultades de aplicación, seleccione "No se aplica".</w:t>
      </w:r>
      <w:bookmarkEnd w:id="6"/>
    </w:p>
    <w:p w14:paraId="03FE264B" w14:textId="2AB9005C" w:rsidR="000A5AD3" w:rsidRPr="002A4BDC" w:rsidRDefault="00A8361D" w:rsidP="002A4BDC">
      <w:pPr>
        <w:pStyle w:val="headingsubHeader"/>
        <w:spacing w:after="360"/>
        <w:rPr>
          <w:lang w:val="es-ES_tradnl"/>
        </w:rPr>
      </w:pPr>
      <w:r w:rsidRPr="002A4BDC">
        <w:rPr>
          <w:noProof/>
          <w:lang w:val="es-ES_tradnl"/>
        </w:rPr>
        <w:drawing>
          <wp:inline distT="0" distB="0" distL="0" distR="0" wp14:anchorId="164FA5BD" wp14:editId="2589BE31">
            <wp:extent cx="5500000" cy="4000000"/>
            <wp:effectExtent l="0" t="0" r="0" b="0"/>
            <wp:docPr id="2046579186"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7512"/>
      </w:tblGrid>
      <w:tr w:rsidR="00606191" w:rsidRPr="002A4BDC" w14:paraId="2D6E2059" w14:textId="77777777" w:rsidTr="00876854">
        <w:tc>
          <w:tcPr>
            <w:tcW w:w="1423" w:type="dxa"/>
            <w:shd w:val="clear" w:color="auto" w:fill="1F497D" w:themeFill="text2"/>
          </w:tcPr>
          <w:p w14:paraId="41629F19" w14:textId="77777777" w:rsidR="00606191" w:rsidRPr="002A4BDC" w:rsidRDefault="00606191"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512" w:type="dxa"/>
            <w:shd w:val="clear" w:color="auto" w:fill="1F497D" w:themeFill="text2"/>
          </w:tcPr>
          <w:p w14:paraId="7F7E5ACB" w14:textId="77777777" w:rsidR="00606191" w:rsidRPr="002A4BDC" w:rsidRDefault="00606191"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1 </w:t>
            </w:r>
          </w:p>
        </w:tc>
      </w:tr>
      <w:tr w:rsidR="00606191" w:rsidRPr="002A4BDC" w14:paraId="2BD319E0" w14:textId="77777777" w:rsidTr="002A4BDC">
        <w:tc>
          <w:tcPr>
            <w:tcW w:w="1423" w:type="dxa"/>
          </w:tcPr>
          <w:p w14:paraId="74DBC0E2" w14:textId="77777777" w:rsidR="00606191" w:rsidRPr="002A4BDC" w:rsidRDefault="00606191" w:rsidP="00413DDD">
            <w:pPr>
              <w:spacing w:after="0"/>
              <w:rPr>
                <w:rStyle w:val="text"/>
                <w:lang w:val="es-ES_tradnl"/>
              </w:rPr>
            </w:pPr>
            <w:r w:rsidRPr="002A4BDC">
              <w:rPr>
                <w:rStyle w:val="text"/>
                <w:lang w:val="es-ES_tradnl"/>
              </w:rPr>
              <w:t>BR</w:t>
            </w:r>
          </w:p>
        </w:tc>
        <w:tc>
          <w:tcPr>
            <w:tcW w:w="7512" w:type="dxa"/>
          </w:tcPr>
          <w:p w14:paraId="2D83940A"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Falta de personal y de priorización entre las diversas actividades del departamento de TIC de la institución. </w:t>
            </w:r>
          </w:p>
        </w:tc>
      </w:tr>
      <w:tr w:rsidR="00606191" w:rsidRPr="002A4BDC" w14:paraId="78BF4D3A" w14:textId="77777777" w:rsidTr="002A4BDC">
        <w:tc>
          <w:tcPr>
            <w:tcW w:w="1423" w:type="dxa"/>
          </w:tcPr>
          <w:p w14:paraId="5C9482D6" w14:textId="77777777" w:rsidR="00606191" w:rsidRPr="002A4BDC" w:rsidRDefault="00606191" w:rsidP="00413DDD">
            <w:pPr>
              <w:spacing w:after="0"/>
              <w:rPr>
                <w:rStyle w:val="text"/>
                <w:lang w:val="es-ES_tradnl"/>
              </w:rPr>
            </w:pPr>
            <w:r w:rsidRPr="002A4BDC">
              <w:rPr>
                <w:rStyle w:val="text"/>
                <w:lang w:val="es-ES_tradnl"/>
              </w:rPr>
              <w:t>EP</w:t>
            </w:r>
          </w:p>
        </w:tc>
        <w:tc>
          <w:tcPr>
            <w:tcW w:w="7512" w:type="dxa"/>
          </w:tcPr>
          <w:p w14:paraId="486C2B20" w14:textId="234A7540"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Retos de la transformación digital en curso; Eficiencia y optimización de costes (sostenibilidad financiera) </w:t>
            </w:r>
          </w:p>
        </w:tc>
      </w:tr>
      <w:tr w:rsidR="00606191" w:rsidRPr="002A4BDC" w14:paraId="235F1185" w14:textId="77777777" w:rsidTr="002A4BDC">
        <w:tc>
          <w:tcPr>
            <w:tcW w:w="1423" w:type="dxa"/>
          </w:tcPr>
          <w:p w14:paraId="5E02ABC5" w14:textId="77777777" w:rsidR="00606191" w:rsidRPr="002A4BDC" w:rsidRDefault="00606191" w:rsidP="00413DDD">
            <w:pPr>
              <w:spacing w:after="0"/>
              <w:rPr>
                <w:rStyle w:val="text"/>
                <w:lang w:val="es-ES_tradnl"/>
              </w:rPr>
            </w:pPr>
            <w:r w:rsidRPr="002A4BDC">
              <w:rPr>
                <w:rStyle w:val="text"/>
                <w:lang w:val="es-ES_tradnl"/>
              </w:rPr>
              <w:t>HR</w:t>
            </w:r>
          </w:p>
        </w:tc>
        <w:tc>
          <w:tcPr>
            <w:tcW w:w="7512" w:type="dxa"/>
          </w:tcPr>
          <w:p w14:paraId="27848E97"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Marco y procesos jurídicos complejos, con sus limitaciones, desatención interna de larga data a la transformación digital </w:t>
            </w:r>
          </w:p>
        </w:tc>
      </w:tr>
      <w:tr w:rsidR="00606191" w:rsidRPr="002A4BDC" w14:paraId="0B111150" w14:textId="77777777" w:rsidTr="002A4BDC">
        <w:tc>
          <w:tcPr>
            <w:tcW w:w="1423" w:type="dxa"/>
          </w:tcPr>
          <w:p w14:paraId="112FECEB" w14:textId="77777777" w:rsidR="00606191" w:rsidRPr="002A4BDC" w:rsidRDefault="00606191" w:rsidP="00413DDD">
            <w:pPr>
              <w:spacing w:after="0"/>
              <w:rPr>
                <w:rStyle w:val="text"/>
                <w:lang w:val="es-ES_tradnl"/>
              </w:rPr>
            </w:pPr>
            <w:r w:rsidRPr="002A4BDC">
              <w:rPr>
                <w:rStyle w:val="text"/>
                <w:lang w:val="es-ES_tradnl"/>
              </w:rPr>
              <w:t>IE</w:t>
            </w:r>
          </w:p>
        </w:tc>
        <w:tc>
          <w:tcPr>
            <w:tcW w:w="7512" w:type="dxa"/>
          </w:tcPr>
          <w:p w14:paraId="76A09F6D" w14:textId="7A80CFB2"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Los grandes proyectos y la rápida evolución plantean importantes dificultades de aplicación </w:t>
            </w:r>
          </w:p>
        </w:tc>
      </w:tr>
      <w:tr w:rsidR="00606191" w:rsidRPr="002A4BDC" w14:paraId="1A50F538" w14:textId="77777777" w:rsidTr="002A4BDC">
        <w:tc>
          <w:tcPr>
            <w:tcW w:w="1423" w:type="dxa"/>
          </w:tcPr>
          <w:p w14:paraId="28D1CF27" w14:textId="77777777" w:rsidR="00606191" w:rsidRPr="002A4BDC" w:rsidRDefault="00606191" w:rsidP="00413DDD">
            <w:pPr>
              <w:spacing w:after="0"/>
              <w:rPr>
                <w:rStyle w:val="text"/>
                <w:lang w:val="es-ES_tradnl"/>
              </w:rPr>
            </w:pPr>
            <w:r w:rsidRPr="002A4BDC">
              <w:rPr>
                <w:rStyle w:val="text"/>
                <w:lang w:val="es-ES_tradnl"/>
              </w:rPr>
              <w:t>KG</w:t>
            </w:r>
          </w:p>
        </w:tc>
        <w:tc>
          <w:tcPr>
            <w:tcW w:w="7512" w:type="dxa"/>
          </w:tcPr>
          <w:p w14:paraId="1404E1A3"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Dificultades de integración de los sistemas heredados y falta de recursos para una auditoría completa de la arquitectura de datos. </w:t>
            </w:r>
          </w:p>
        </w:tc>
      </w:tr>
      <w:tr w:rsidR="00606191" w:rsidRPr="002A4BDC" w14:paraId="177137BB" w14:textId="77777777" w:rsidTr="002A4BDC">
        <w:tc>
          <w:tcPr>
            <w:tcW w:w="1423" w:type="dxa"/>
          </w:tcPr>
          <w:p w14:paraId="2EDC385E" w14:textId="77777777" w:rsidR="00606191" w:rsidRPr="002A4BDC" w:rsidRDefault="00606191" w:rsidP="00413DDD">
            <w:pPr>
              <w:spacing w:after="0"/>
              <w:rPr>
                <w:rStyle w:val="text"/>
                <w:lang w:val="es-ES_tradnl"/>
              </w:rPr>
            </w:pPr>
            <w:r w:rsidRPr="002A4BDC">
              <w:rPr>
                <w:rStyle w:val="text"/>
                <w:lang w:val="es-ES_tradnl"/>
              </w:rPr>
              <w:t>PE</w:t>
            </w:r>
          </w:p>
        </w:tc>
        <w:tc>
          <w:tcPr>
            <w:tcW w:w="7512" w:type="dxa"/>
          </w:tcPr>
          <w:p w14:paraId="516B2B84" w14:textId="11B6C032"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Porque seguimos dependiendo de sistemas informáticos heredados y de los principales procesos basados en papel, que no están diseñados para los flujos de trabajo digitales. La modernización de estos sistemas es una empresa de gran envergadura que requiere importantes inversiones y conocimientos técnicos. </w:t>
            </w:r>
          </w:p>
        </w:tc>
      </w:tr>
      <w:tr w:rsidR="00606191" w:rsidRPr="002A4BDC" w14:paraId="22412F08" w14:textId="77777777" w:rsidTr="002A4BDC">
        <w:tc>
          <w:tcPr>
            <w:tcW w:w="1423" w:type="dxa"/>
          </w:tcPr>
          <w:p w14:paraId="6D73AD10" w14:textId="77777777" w:rsidR="00606191" w:rsidRPr="002A4BDC" w:rsidRDefault="00606191" w:rsidP="00413DDD">
            <w:pPr>
              <w:spacing w:after="0"/>
              <w:rPr>
                <w:rStyle w:val="text"/>
                <w:lang w:val="es-ES_tradnl"/>
              </w:rPr>
            </w:pPr>
            <w:r w:rsidRPr="002A4BDC">
              <w:rPr>
                <w:rStyle w:val="text"/>
                <w:lang w:val="es-ES_tradnl"/>
              </w:rPr>
              <w:t>PY</w:t>
            </w:r>
          </w:p>
        </w:tc>
        <w:tc>
          <w:tcPr>
            <w:tcW w:w="7512" w:type="dxa"/>
          </w:tcPr>
          <w:p w14:paraId="09C33E7E" w14:textId="502ECF7F" w:rsidR="00606191" w:rsidRPr="002A4BDC" w:rsidRDefault="00606191" w:rsidP="00413DDD">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p>
        </w:tc>
      </w:tr>
      <w:tr w:rsidR="00606191" w:rsidRPr="002A4BDC" w14:paraId="529A2E8E" w14:textId="77777777" w:rsidTr="002A4BDC">
        <w:tc>
          <w:tcPr>
            <w:tcW w:w="1423" w:type="dxa"/>
          </w:tcPr>
          <w:p w14:paraId="39B615C8" w14:textId="77777777" w:rsidR="00606191" w:rsidRPr="002A4BDC" w:rsidRDefault="00606191" w:rsidP="00413DDD">
            <w:pPr>
              <w:spacing w:after="0"/>
              <w:rPr>
                <w:rStyle w:val="text"/>
                <w:lang w:val="es-ES_tradnl"/>
              </w:rPr>
            </w:pPr>
            <w:r w:rsidRPr="002A4BDC">
              <w:rPr>
                <w:rStyle w:val="text"/>
                <w:lang w:val="es-ES_tradnl"/>
              </w:rPr>
              <w:t>US</w:t>
            </w:r>
          </w:p>
        </w:tc>
        <w:tc>
          <w:tcPr>
            <w:tcW w:w="7512" w:type="dxa"/>
          </w:tcPr>
          <w:p w14:paraId="196E6543" w14:textId="07457800" w:rsidR="00606191" w:rsidRPr="002A4BDC" w:rsidRDefault="00606191" w:rsidP="00AE2E8F">
            <w:pPr>
              <w:pStyle w:val="ListParagraph"/>
              <w:numPr>
                <w:ilvl w:val="0"/>
                <w:numId w:val="1"/>
              </w:numPr>
              <w:spacing w:after="0"/>
              <w:ind w:left="365"/>
              <w:rPr>
                <w:rStyle w:val="text"/>
                <w:rFonts w:eastAsia="Arial"/>
                <w:lang w:val="es-ES_tradnl"/>
              </w:rPr>
            </w:pPr>
            <w:r w:rsidRPr="002A4BDC">
              <w:rPr>
                <w:rStyle w:val="text"/>
                <w:lang w:val="es-ES_tradnl"/>
              </w:rPr>
              <w:t xml:space="preserve">Garantizar una coordinación eficaz entre los grupos empresariales, jurídicos y de TI para asegurar que el desarrollo de las TI responde a las necesidades empresariales y a los marcos jurídicos </w:t>
            </w:r>
          </w:p>
          <w:p w14:paraId="3B2F7962" w14:textId="0F195273" w:rsidR="00606191" w:rsidRPr="002A4BDC" w:rsidRDefault="00606191" w:rsidP="00AE2E8F">
            <w:pPr>
              <w:pStyle w:val="ListParagraph"/>
              <w:numPr>
                <w:ilvl w:val="0"/>
                <w:numId w:val="1"/>
              </w:numPr>
              <w:spacing w:after="0"/>
              <w:ind w:left="365"/>
              <w:rPr>
                <w:rStyle w:val="text"/>
                <w:rFonts w:eastAsia="Arial"/>
                <w:lang w:val="es-ES_tradnl"/>
              </w:rPr>
            </w:pPr>
            <w:r w:rsidRPr="002A4BDC">
              <w:rPr>
                <w:rStyle w:val="text"/>
                <w:lang w:val="es-ES_tradnl"/>
              </w:rPr>
              <w:t xml:space="preserve">Evitar sesgos </w:t>
            </w:r>
            <w:r w:rsidRPr="002A4BDC">
              <w:rPr>
                <w:rStyle w:val="text"/>
                <w:i/>
                <w:iCs/>
                <w:lang w:val="es-ES_tradnl"/>
              </w:rPr>
              <w:t>a priori</w:t>
            </w:r>
            <w:r w:rsidRPr="002A4BDC">
              <w:rPr>
                <w:rStyle w:val="text"/>
                <w:lang w:val="es-ES_tradnl"/>
              </w:rPr>
              <w:t xml:space="preserve"> (por ejemplo, la paridad por la paridad) </w:t>
            </w:r>
          </w:p>
          <w:p w14:paraId="2750675D" w14:textId="597CACF7" w:rsidR="00606191" w:rsidRPr="002A4BDC" w:rsidRDefault="00606191" w:rsidP="00AE2E8F">
            <w:pPr>
              <w:pStyle w:val="ListParagraph"/>
              <w:numPr>
                <w:ilvl w:val="0"/>
                <w:numId w:val="1"/>
              </w:numPr>
              <w:spacing w:after="0"/>
              <w:ind w:left="365"/>
              <w:rPr>
                <w:rFonts w:asciiTheme="minorBidi" w:hAnsiTheme="minorBidi" w:cstheme="minorBidi"/>
                <w:lang w:val="es-ES_tradnl"/>
              </w:rPr>
            </w:pPr>
            <w:r w:rsidRPr="002A4BDC">
              <w:rPr>
                <w:rStyle w:val="text"/>
                <w:lang w:val="es-ES_tradnl"/>
              </w:rPr>
              <w:t xml:space="preserve">Capacidad para descomponer procesos/sistemas monolíticos de forma sistemática para que la transformación digital pueda producirse de forma significativa, sin afectar a los resultados empresariales actuales y sin incurrir en costes inasumibles </w:t>
            </w:r>
          </w:p>
        </w:tc>
      </w:tr>
    </w:tbl>
    <w:p w14:paraId="33A37722"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511"/>
      </w:tblGrid>
      <w:tr w:rsidR="00606191" w:rsidRPr="002A4BDC" w14:paraId="6D89628F" w14:textId="77777777" w:rsidTr="00402142">
        <w:tc>
          <w:tcPr>
            <w:tcW w:w="1440" w:type="dxa"/>
            <w:shd w:val="clear" w:color="auto" w:fill="1F497D" w:themeFill="text2"/>
          </w:tcPr>
          <w:p w14:paraId="7F2E012D" w14:textId="77777777" w:rsidR="00606191" w:rsidRPr="002A4BDC" w:rsidRDefault="00606191"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22F008AC" w14:textId="77777777" w:rsidR="00606191" w:rsidRPr="002A4BDC" w:rsidRDefault="00606191"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2 </w:t>
            </w:r>
          </w:p>
        </w:tc>
      </w:tr>
      <w:tr w:rsidR="00606191" w:rsidRPr="002A4BDC" w14:paraId="2E8E96C5" w14:textId="77777777" w:rsidTr="00402142">
        <w:tc>
          <w:tcPr>
            <w:tcW w:w="1440" w:type="dxa"/>
          </w:tcPr>
          <w:p w14:paraId="4A96EB01" w14:textId="77777777" w:rsidR="00606191" w:rsidRPr="002A4BDC" w:rsidRDefault="00606191" w:rsidP="00413DDD">
            <w:pPr>
              <w:spacing w:after="0"/>
              <w:rPr>
                <w:rStyle w:val="text"/>
                <w:lang w:val="es-ES_tradnl"/>
              </w:rPr>
            </w:pPr>
            <w:r w:rsidRPr="002A4BDC">
              <w:rPr>
                <w:rStyle w:val="text"/>
                <w:lang w:val="es-ES_tradnl"/>
              </w:rPr>
              <w:t>EP</w:t>
            </w:r>
          </w:p>
        </w:tc>
        <w:tc>
          <w:tcPr>
            <w:tcW w:w="7665" w:type="dxa"/>
          </w:tcPr>
          <w:p w14:paraId="1AC2644D"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Normas y mejores prácticas informáticas en continua evolución; soberanía y políticas de datos </w:t>
            </w:r>
          </w:p>
        </w:tc>
      </w:tr>
      <w:tr w:rsidR="00606191" w:rsidRPr="002A4BDC" w14:paraId="508B293E" w14:textId="77777777" w:rsidTr="00402142">
        <w:tc>
          <w:tcPr>
            <w:tcW w:w="1440" w:type="dxa"/>
          </w:tcPr>
          <w:p w14:paraId="2F3AD145" w14:textId="77777777" w:rsidR="00606191" w:rsidRPr="002A4BDC" w:rsidRDefault="00606191" w:rsidP="00413DDD">
            <w:pPr>
              <w:spacing w:after="0"/>
              <w:rPr>
                <w:rStyle w:val="text"/>
                <w:lang w:val="es-ES_tradnl"/>
              </w:rPr>
            </w:pPr>
            <w:r w:rsidRPr="002A4BDC">
              <w:rPr>
                <w:rStyle w:val="text"/>
                <w:lang w:val="es-ES_tradnl"/>
              </w:rPr>
              <w:t>PY</w:t>
            </w:r>
          </w:p>
        </w:tc>
        <w:tc>
          <w:tcPr>
            <w:tcW w:w="7665" w:type="dxa"/>
          </w:tcPr>
          <w:p w14:paraId="7E7B0567" w14:textId="24B6C894" w:rsidR="00606191" w:rsidRPr="002A4BDC" w:rsidRDefault="00606191" w:rsidP="00413DDD">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r w:rsidR="00606191" w:rsidRPr="002A4BDC" w14:paraId="46CCD8C3" w14:textId="77777777" w:rsidTr="00402142">
        <w:tc>
          <w:tcPr>
            <w:tcW w:w="1440" w:type="dxa"/>
          </w:tcPr>
          <w:p w14:paraId="05BA0DDD" w14:textId="77777777" w:rsidR="00606191" w:rsidRPr="002A4BDC" w:rsidRDefault="00606191" w:rsidP="00413DDD">
            <w:pPr>
              <w:spacing w:after="0"/>
              <w:rPr>
                <w:rStyle w:val="text"/>
                <w:lang w:val="es-ES_tradnl"/>
              </w:rPr>
            </w:pPr>
            <w:r w:rsidRPr="002A4BDC">
              <w:rPr>
                <w:rStyle w:val="text"/>
                <w:lang w:val="es-ES_tradnl"/>
              </w:rPr>
              <w:t>US</w:t>
            </w:r>
          </w:p>
        </w:tc>
        <w:tc>
          <w:tcPr>
            <w:tcW w:w="7665" w:type="dxa"/>
          </w:tcPr>
          <w:p w14:paraId="4DB27EB2" w14:textId="04EA27D8" w:rsidR="00606191" w:rsidRPr="002A4BDC" w:rsidRDefault="00606191" w:rsidP="00AE2E8F">
            <w:pPr>
              <w:pStyle w:val="ListParagraph"/>
              <w:numPr>
                <w:ilvl w:val="0"/>
                <w:numId w:val="1"/>
              </w:numPr>
              <w:spacing w:after="0"/>
              <w:ind w:left="365"/>
              <w:rPr>
                <w:rStyle w:val="text"/>
                <w:rFonts w:eastAsia="Arial"/>
                <w:lang w:val="es-ES_tradnl"/>
              </w:rPr>
            </w:pPr>
            <w:r w:rsidRPr="002A4BDC">
              <w:rPr>
                <w:rStyle w:val="text"/>
                <w:lang w:val="es-ES_tradnl"/>
              </w:rPr>
              <w:t xml:space="preserve">Establecer indicadores clave de rendimiento y mediciones útiles con los que estén de acuerdo todas las partes </w:t>
            </w:r>
          </w:p>
          <w:p w14:paraId="53B36155" w14:textId="2607409E" w:rsidR="00606191" w:rsidRPr="002A4BDC" w:rsidRDefault="00606191" w:rsidP="00AE2E8F">
            <w:pPr>
              <w:pStyle w:val="ListParagraph"/>
              <w:numPr>
                <w:ilvl w:val="0"/>
                <w:numId w:val="1"/>
              </w:numPr>
              <w:spacing w:after="0"/>
              <w:ind w:left="365"/>
              <w:rPr>
                <w:rStyle w:val="text"/>
                <w:rFonts w:eastAsia="Arial"/>
                <w:lang w:val="es-ES_tradnl"/>
              </w:rPr>
            </w:pPr>
            <w:r w:rsidRPr="002A4BDC">
              <w:rPr>
                <w:rStyle w:val="text"/>
                <w:lang w:val="es-ES_tradnl"/>
              </w:rPr>
              <w:t xml:space="preserve">Limitaciones de recursos y capacidad </w:t>
            </w:r>
          </w:p>
          <w:p w14:paraId="23A9DE96" w14:textId="7F46BB3F" w:rsidR="00606191" w:rsidRPr="002A4BDC" w:rsidRDefault="00606191" w:rsidP="00AE2E8F">
            <w:pPr>
              <w:pStyle w:val="ListParagraph"/>
              <w:numPr>
                <w:ilvl w:val="0"/>
                <w:numId w:val="1"/>
              </w:numPr>
              <w:spacing w:after="0"/>
              <w:ind w:left="365"/>
              <w:rPr>
                <w:rFonts w:asciiTheme="minorBidi" w:hAnsiTheme="minorBidi" w:cstheme="minorBidi"/>
                <w:lang w:val="es-ES_tradnl"/>
              </w:rPr>
            </w:pPr>
            <w:r w:rsidRPr="002A4BDC">
              <w:rPr>
                <w:rStyle w:val="text"/>
                <w:lang w:val="es-ES_tradnl"/>
              </w:rPr>
              <w:t xml:space="preserve">Cambio de prioridades, lo que exige modificar la estrategia de las TIC </w:t>
            </w:r>
          </w:p>
        </w:tc>
      </w:tr>
    </w:tbl>
    <w:p w14:paraId="44553360"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511"/>
      </w:tblGrid>
      <w:tr w:rsidR="00606191" w:rsidRPr="002A4BDC" w14:paraId="00E2B90D" w14:textId="77777777" w:rsidTr="00402142">
        <w:tc>
          <w:tcPr>
            <w:tcW w:w="1440" w:type="dxa"/>
            <w:shd w:val="clear" w:color="auto" w:fill="1F497D" w:themeFill="text2"/>
          </w:tcPr>
          <w:p w14:paraId="77386F72" w14:textId="77777777" w:rsidR="00606191" w:rsidRPr="002A4BDC" w:rsidRDefault="00606191" w:rsidP="00413DDD">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4B185E33" w14:textId="77777777" w:rsidR="00606191" w:rsidRPr="002A4BDC" w:rsidRDefault="00606191" w:rsidP="00413DDD">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3 </w:t>
            </w:r>
          </w:p>
        </w:tc>
      </w:tr>
      <w:tr w:rsidR="00606191" w:rsidRPr="002A4BDC" w14:paraId="5AC464E6" w14:textId="77777777" w:rsidTr="00402142">
        <w:tc>
          <w:tcPr>
            <w:tcW w:w="1440" w:type="dxa"/>
          </w:tcPr>
          <w:p w14:paraId="14E1D821" w14:textId="77777777" w:rsidR="00606191" w:rsidRPr="002A4BDC" w:rsidRDefault="00606191" w:rsidP="00413DDD">
            <w:pPr>
              <w:spacing w:after="0"/>
              <w:rPr>
                <w:rStyle w:val="text"/>
                <w:lang w:val="es-ES_tradnl"/>
              </w:rPr>
            </w:pPr>
            <w:r w:rsidRPr="002A4BDC">
              <w:rPr>
                <w:rStyle w:val="text"/>
                <w:lang w:val="es-ES_tradnl"/>
              </w:rPr>
              <w:t>BR</w:t>
            </w:r>
          </w:p>
        </w:tc>
        <w:tc>
          <w:tcPr>
            <w:tcW w:w="7665" w:type="dxa"/>
          </w:tcPr>
          <w:p w14:paraId="372D2A81"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Falta de formación y mano de obra para trabajar con la gobernanza de datos. A pesar de estas dificultades, el INPI del Brasil creó un departamento dedicado a trabajar con datos. </w:t>
            </w:r>
          </w:p>
        </w:tc>
      </w:tr>
      <w:tr w:rsidR="00606191" w:rsidRPr="002A4BDC" w14:paraId="69D5823C" w14:textId="77777777" w:rsidTr="00402142">
        <w:tc>
          <w:tcPr>
            <w:tcW w:w="1440" w:type="dxa"/>
          </w:tcPr>
          <w:p w14:paraId="3B5FBF65" w14:textId="77777777" w:rsidR="00606191" w:rsidRPr="002A4BDC" w:rsidRDefault="00606191" w:rsidP="00413DDD">
            <w:pPr>
              <w:spacing w:after="0"/>
              <w:rPr>
                <w:rStyle w:val="text"/>
                <w:lang w:val="es-ES_tradnl"/>
              </w:rPr>
            </w:pPr>
            <w:r w:rsidRPr="002A4BDC">
              <w:rPr>
                <w:rStyle w:val="text"/>
                <w:lang w:val="es-ES_tradnl"/>
              </w:rPr>
              <w:t>HR</w:t>
            </w:r>
          </w:p>
        </w:tc>
        <w:tc>
          <w:tcPr>
            <w:tcW w:w="7665" w:type="dxa"/>
          </w:tcPr>
          <w:p w14:paraId="633E587C"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Falta de la competencia necesaria </w:t>
            </w:r>
          </w:p>
        </w:tc>
      </w:tr>
      <w:tr w:rsidR="00606191" w:rsidRPr="002A4BDC" w14:paraId="44A0F00B" w14:textId="77777777" w:rsidTr="00402142">
        <w:tc>
          <w:tcPr>
            <w:tcW w:w="1440" w:type="dxa"/>
          </w:tcPr>
          <w:p w14:paraId="3EF214EF" w14:textId="77777777" w:rsidR="00606191" w:rsidRPr="002A4BDC" w:rsidRDefault="00606191" w:rsidP="00413DDD">
            <w:pPr>
              <w:spacing w:after="0"/>
              <w:rPr>
                <w:rStyle w:val="text"/>
                <w:lang w:val="es-ES_tradnl"/>
              </w:rPr>
            </w:pPr>
            <w:r w:rsidRPr="002A4BDC">
              <w:rPr>
                <w:rStyle w:val="text"/>
                <w:lang w:val="es-ES_tradnl"/>
              </w:rPr>
              <w:t>NO</w:t>
            </w:r>
          </w:p>
        </w:tc>
        <w:tc>
          <w:tcPr>
            <w:tcW w:w="7665" w:type="dxa"/>
          </w:tcPr>
          <w:p w14:paraId="6819E632"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Debido a la complejidad </w:t>
            </w:r>
          </w:p>
        </w:tc>
      </w:tr>
      <w:tr w:rsidR="00606191" w:rsidRPr="002A4BDC" w14:paraId="39C77CDE" w14:textId="77777777" w:rsidTr="00402142">
        <w:tc>
          <w:tcPr>
            <w:tcW w:w="1440" w:type="dxa"/>
          </w:tcPr>
          <w:p w14:paraId="6D25B4B4" w14:textId="77777777" w:rsidR="00606191" w:rsidRPr="002A4BDC" w:rsidRDefault="00606191" w:rsidP="00413DDD">
            <w:pPr>
              <w:spacing w:after="0"/>
              <w:rPr>
                <w:rStyle w:val="text"/>
                <w:lang w:val="es-ES_tradnl"/>
              </w:rPr>
            </w:pPr>
            <w:r w:rsidRPr="002A4BDC">
              <w:rPr>
                <w:rStyle w:val="text"/>
                <w:lang w:val="es-ES_tradnl"/>
              </w:rPr>
              <w:t>PY</w:t>
            </w:r>
          </w:p>
        </w:tc>
        <w:tc>
          <w:tcPr>
            <w:tcW w:w="7665" w:type="dxa"/>
          </w:tcPr>
          <w:p w14:paraId="5A924E02" w14:textId="21C8BBE5" w:rsidR="00606191" w:rsidRPr="002A4BDC" w:rsidRDefault="00606191" w:rsidP="00413DDD">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r w:rsidR="00606191" w:rsidRPr="002A4BDC" w14:paraId="5518333E" w14:textId="77777777" w:rsidTr="00402142">
        <w:tc>
          <w:tcPr>
            <w:tcW w:w="1440" w:type="dxa"/>
          </w:tcPr>
          <w:p w14:paraId="350E17D5" w14:textId="77777777" w:rsidR="00606191" w:rsidRPr="002A4BDC" w:rsidRDefault="00606191" w:rsidP="00413DDD">
            <w:pPr>
              <w:spacing w:after="0"/>
              <w:rPr>
                <w:rStyle w:val="text"/>
                <w:lang w:val="es-ES_tradnl"/>
              </w:rPr>
            </w:pPr>
            <w:r w:rsidRPr="002A4BDC">
              <w:rPr>
                <w:rStyle w:val="text"/>
                <w:lang w:val="es-ES_tradnl"/>
              </w:rPr>
              <w:t>US</w:t>
            </w:r>
          </w:p>
        </w:tc>
        <w:tc>
          <w:tcPr>
            <w:tcW w:w="7665" w:type="dxa"/>
          </w:tcPr>
          <w:p w14:paraId="78B50F48"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Naturaleza ágil de los equipos de producto y arquitectura diversa de las aplicaciones locales. </w:t>
            </w:r>
          </w:p>
        </w:tc>
      </w:tr>
    </w:tbl>
    <w:p w14:paraId="1850A312"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511"/>
      </w:tblGrid>
      <w:tr w:rsidR="00606191" w:rsidRPr="002A4BDC" w14:paraId="6B6C4B0F" w14:textId="77777777" w:rsidTr="001E1FE3">
        <w:tc>
          <w:tcPr>
            <w:tcW w:w="1424" w:type="dxa"/>
            <w:shd w:val="clear" w:color="auto" w:fill="1F497D" w:themeFill="text2"/>
          </w:tcPr>
          <w:p w14:paraId="0E6A8E61" w14:textId="26A284A9" w:rsidR="00606191" w:rsidRPr="002A4BDC" w:rsidRDefault="00606191" w:rsidP="002A4BDC">
            <w:pPr>
              <w:keepNext/>
              <w:keepLines/>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511" w:type="dxa"/>
            <w:shd w:val="clear" w:color="auto" w:fill="1F497D" w:themeFill="text2"/>
          </w:tcPr>
          <w:p w14:paraId="28E4C528" w14:textId="77777777" w:rsidR="00606191" w:rsidRPr="002A4BDC" w:rsidRDefault="00606191" w:rsidP="002A4BDC">
            <w:pPr>
              <w:keepNext/>
              <w:keepLines/>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4 </w:t>
            </w:r>
          </w:p>
        </w:tc>
      </w:tr>
      <w:tr w:rsidR="00606191" w:rsidRPr="002A4BDC" w14:paraId="78D7385E" w14:textId="77777777" w:rsidTr="001E1FE3">
        <w:tc>
          <w:tcPr>
            <w:tcW w:w="1424" w:type="dxa"/>
          </w:tcPr>
          <w:p w14:paraId="3488777F" w14:textId="77777777" w:rsidR="00606191" w:rsidRPr="002A4BDC" w:rsidRDefault="00606191" w:rsidP="00413DDD">
            <w:pPr>
              <w:spacing w:after="0"/>
              <w:rPr>
                <w:rStyle w:val="text"/>
                <w:lang w:val="es-ES_tradnl"/>
              </w:rPr>
            </w:pPr>
            <w:r w:rsidRPr="002A4BDC">
              <w:rPr>
                <w:rStyle w:val="text"/>
                <w:lang w:val="es-ES_tradnl"/>
              </w:rPr>
              <w:t>EM</w:t>
            </w:r>
          </w:p>
        </w:tc>
        <w:tc>
          <w:tcPr>
            <w:tcW w:w="7511" w:type="dxa"/>
          </w:tcPr>
          <w:p w14:paraId="725D1ABA" w14:textId="36D83220" w:rsidR="00606191" w:rsidRPr="002A4BDC" w:rsidRDefault="00606191" w:rsidP="00413DDD">
            <w:pPr>
              <w:spacing w:after="0"/>
              <w:rPr>
                <w:rFonts w:asciiTheme="minorBidi" w:hAnsiTheme="minorBidi" w:cstheme="minorBidi"/>
                <w:lang w:val="es-ES_tradnl"/>
              </w:rPr>
            </w:pPr>
            <w:r w:rsidRPr="002A4BDC">
              <w:rPr>
                <w:rStyle w:val="text"/>
                <w:lang w:val="es-ES_tradnl"/>
              </w:rPr>
              <w:t>Adelantarse a las amenazas de ciberseguridad es una de las mayores dificultades</w:t>
            </w:r>
            <w:r w:rsidR="003A2C82" w:rsidRPr="002A4BDC">
              <w:rPr>
                <w:rStyle w:val="text"/>
                <w:lang w:val="es-ES_tradnl"/>
              </w:rPr>
              <w:t xml:space="preserve"> </w:t>
            </w:r>
          </w:p>
        </w:tc>
      </w:tr>
      <w:tr w:rsidR="00606191" w:rsidRPr="002A4BDC" w14:paraId="3A6B2FAD" w14:textId="77777777" w:rsidTr="001E1FE3">
        <w:tc>
          <w:tcPr>
            <w:tcW w:w="1424" w:type="dxa"/>
          </w:tcPr>
          <w:p w14:paraId="739A7671" w14:textId="77777777" w:rsidR="00606191" w:rsidRPr="002A4BDC" w:rsidRDefault="00606191" w:rsidP="00413DDD">
            <w:pPr>
              <w:spacing w:after="0"/>
              <w:rPr>
                <w:rStyle w:val="text"/>
                <w:lang w:val="es-ES_tradnl"/>
              </w:rPr>
            </w:pPr>
            <w:r w:rsidRPr="002A4BDC">
              <w:rPr>
                <w:rStyle w:val="text"/>
                <w:lang w:val="es-ES_tradnl"/>
              </w:rPr>
              <w:t>EP</w:t>
            </w:r>
          </w:p>
        </w:tc>
        <w:tc>
          <w:tcPr>
            <w:tcW w:w="7511" w:type="dxa"/>
          </w:tcPr>
          <w:p w14:paraId="07BEB67B"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Es crucial mantener actualizada la política de seguridad de la información; garantizar campañas continuas de concienciación para el personal y las partes interesadas </w:t>
            </w:r>
          </w:p>
        </w:tc>
      </w:tr>
      <w:tr w:rsidR="00606191" w:rsidRPr="002A4BDC" w14:paraId="3C9B97CB" w14:textId="77777777" w:rsidTr="001E1FE3">
        <w:tc>
          <w:tcPr>
            <w:tcW w:w="1424" w:type="dxa"/>
          </w:tcPr>
          <w:p w14:paraId="3D10D305" w14:textId="77777777" w:rsidR="00606191" w:rsidRPr="002A4BDC" w:rsidRDefault="00606191" w:rsidP="00413DDD">
            <w:pPr>
              <w:spacing w:after="0"/>
              <w:rPr>
                <w:rStyle w:val="text"/>
                <w:lang w:val="es-ES_tradnl"/>
              </w:rPr>
            </w:pPr>
            <w:r w:rsidRPr="002A4BDC">
              <w:rPr>
                <w:rStyle w:val="text"/>
                <w:lang w:val="es-ES_tradnl"/>
              </w:rPr>
              <w:t>ES</w:t>
            </w:r>
          </w:p>
        </w:tc>
        <w:tc>
          <w:tcPr>
            <w:tcW w:w="7511" w:type="dxa"/>
          </w:tcPr>
          <w:p w14:paraId="497C321E"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Es una dificultad que implica mucho esfuerzo en un entorno muy dinámico </w:t>
            </w:r>
          </w:p>
        </w:tc>
      </w:tr>
      <w:tr w:rsidR="00606191" w:rsidRPr="002A4BDC" w14:paraId="3FE57A45" w14:textId="77777777" w:rsidTr="001E1FE3">
        <w:tc>
          <w:tcPr>
            <w:tcW w:w="1424" w:type="dxa"/>
          </w:tcPr>
          <w:p w14:paraId="381B19FE" w14:textId="77777777" w:rsidR="00606191" w:rsidRPr="002A4BDC" w:rsidRDefault="00606191" w:rsidP="00413DDD">
            <w:pPr>
              <w:spacing w:after="0"/>
              <w:rPr>
                <w:rStyle w:val="text"/>
                <w:lang w:val="es-ES_tradnl"/>
              </w:rPr>
            </w:pPr>
            <w:r w:rsidRPr="002A4BDC">
              <w:rPr>
                <w:rStyle w:val="text"/>
                <w:lang w:val="es-ES_tradnl"/>
              </w:rPr>
              <w:t>NO</w:t>
            </w:r>
          </w:p>
        </w:tc>
        <w:tc>
          <w:tcPr>
            <w:tcW w:w="7511" w:type="dxa"/>
          </w:tcPr>
          <w:p w14:paraId="02C0F78C" w14:textId="77777777" w:rsidR="00606191" w:rsidRPr="002A4BDC" w:rsidRDefault="00606191" w:rsidP="00413DDD">
            <w:pPr>
              <w:spacing w:after="0"/>
              <w:rPr>
                <w:rFonts w:asciiTheme="minorBidi" w:hAnsiTheme="minorBidi" w:cstheme="minorBidi"/>
                <w:lang w:val="es-ES_tradnl"/>
              </w:rPr>
            </w:pPr>
            <w:r w:rsidRPr="002A4BDC">
              <w:rPr>
                <w:rStyle w:val="text"/>
                <w:lang w:val="es-ES_tradnl"/>
              </w:rPr>
              <w:t xml:space="preserve">Debido a la complejidad y al aumento de las amenazas </w:t>
            </w:r>
          </w:p>
        </w:tc>
      </w:tr>
      <w:tr w:rsidR="00606191" w:rsidRPr="002A4BDC" w14:paraId="16A6C068" w14:textId="77777777" w:rsidTr="001E1FE3">
        <w:tc>
          <w:tcPr>
            <w:tcW w:w="1424" w:type="dxa"/>
          </w:tcPr>
          <w:p w14:paraId="61907CB0" w14:textId="77777777" w:rsidR="00606191" w:rsidRPr="002A4BDC" w:rsidRDefault="00606191" w:rsidP="00413DDD">
            <w:pPr>
              <w:spacing w:after="0"/>
              <w:rPr>
                <w:rStyle w:val="text"/>
                <w:lang w:val="es-ES_tradnl"/>
              </w:rPr>
            </w:pPr>
            <w:r w:rsidRPr="002A4BDC">
              <w:rPr>
                <w:rStyle w:val="text"/>
                <w:lang w:val="es-ES_tradnl"/>
              </w:rPr>
              <w:t>PY</w:t>
            </w:r>
          </w:p>
        </w:tc>
        <w:tc>
          <w:tcPr>
            <w:tcW w:w="7511" w:type="dxa"/>
          </w:tcPr>
          <w:p w14:paraId="7F0C51B0" w14:textId="08EE4292" w:rsidR="00606191" w:rsidRPr="002A4BDC" w:rsidRDefault="00606191" w:rsidP="00413DDD">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bl>
    <w:p w14:paraId="5365295C"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511"/>
      </w:tblGrid>
      <w:tr w:rsidR="00606191" w:rsidRPr="002A4BDC" w14:paraId="0736C745" w14:textId="77777777" w:rsidTr="00402142">
        <w:tc>
          <w:tcPr>
            <w:tcW w:w="1440" w:type="dxa"/>
            <w:shd w:val="clear" w:color="auto" w:fill="1F497D" w:themeFill="text2"/>
          </w:tcPr>
          <w:p w14:paraId="72CDE51E" w14:textId="77777777" w:rsidR="00606191" w:rsidRPr="002A4BDC" w:rsidRDefault="00606191" w:rsidP="0006309C">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5FDB9D84" w14:textId="77777777" w:rsidR="00606191" w:rsidRPr="002A4BDC" w:rsidRDefault="00606191"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5 </w:t>
            </w:r>
          </w:p>
        </w:tc>
      </w:tr>
      <w:tr w:rsidR="00606191" w:rsidRPr="002A4BDC" w14:paraId="5E45369D" w14:textId="77777777" w:rsidTr="00402142">
        <w:tc>
          <w:tcPr>
            <w:tcW w:w="1440" w:type="dxa"/>
          </w:tcPr>
          <w:p w14:paraId="5B874E46" w14:textId="77777777" w:rsidR="00606191" w:rsidRPr="002A4BDC" w:rsidRDefault="00606191" w:rsidP="0006309C">
            <w:pPr>
              <w:spacing w:after="0"/>
              <w:rPr>
                <w:rStyle w:val="text"/>
                <w:lang w:val="es-ES_tradnl"/>
              </w:rPr>
            </w:pPr>
            <w:r w:rsidRPr="002A4BDC">
              <w:rPr>
                <w:rStyle w:val="text"/>
                <w:lang w:val="es-ES_tradnl"/>
              </w:rPr>
              <w:t>BR</w:t>
            </w:r>
          </w:p>
        </w:tc>
        <w:tc>
          <w:tcPr>
            <w:tcW w:w="7665" w:type="dxa"/>
          </w:tcPr>
          <w:p w14:paraId="70D2B3B6"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Falta de personal y de priorización entre las diversas actividades del departamento de TIC de la institución. </w:t>
            </w:r>
          </w:p>
        </w:tc>
      </w:tr>
      <w:tr w:rsidR="00606191" w:rsidRPr="002A4BDC" w14:paraId="7D32E0C3" w14:textId="77777777" w:rsidTr="00402142">
        <w:tc>
          <w:tcPr>
            <w:tcW w:w="1440" w:type="dxa"/>
          </w:tcPr>
          <w:p w14:paraId="204D1BA6" w14:textId="77777777" w:rsidR="00606191" w:rsidRPr="002A4BDC" w:rsidRDefault="00606191" w:rsidP="0006309C">
            <w:pPr>
              <w:spacing w:after="0"/>
              <w:rPr>
                <w:rStyle w:val="text"/>
                <w:lang w:val="es-ES_tradnl"/>
              </w:rPr>
            </w:pPr>
            <w:r w:rsidRPr="002A4BDC">
              <w:rPr>
                <w:rStyle w:val="text"/>
                <w:lang w:val="es-ES_tradnl"/>
              </w:rPr>
              <w:t>KG</w:t>
            </w:r>
          </w:p>
        </w:tc>
        <w:tc>
          <w:tcPr>
            <w:tcW w:w="7665" w:type="dxa"/>
          </w:tcPr>
          <w:p w14:paraId="492A7763" w14:textId="21D16718"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Falta de tiempo y de personal para desarrollar y regular seminarios de formación en TIC. </w:t>
            </w:r>
          </w:p>
        </w:tc>
      </w:tr>
      <w:tr w:rsidR="00606191" w:rsidRPr="002A4BDC" w14:paraId="0574C675" w14:textId="77777777" w:rsidTr="00402142">
        <w:tc>
          <w:tcPr>
            <w:tcW w:w="1440" w:type="dxa"/>
          </w:tcPr>
          <w:p w14:paraId="23E583D7" w14:textId="77777777" w:rsidR="00606191" w:rsidRPr="002A4BDC" w:rsidRDefault="00606191" w:rsidP="0006309C">
            <w:pPr>
              <w:spacing w:after="0"/>
              <w:rPr>
                <w:rStyle w:val="text"/>
                <w:lang w:val="es-ES_tradnl"/>
              </w:rPr>
            </w:pPr>
            <w:r w:rsidRPr="002A4BDC">
              <w:rPr>
                <w:rStyle w:val="text"/>
                <w:lang w:val="es-ES_tradnl"/>
              </w:rPr>
              <w:t>PY</w:t>
            </w:r>
          </w:p>
        </w:tc>
        <w:tc>
          <w:tcPr>
            <w:tcW w:w="7665" w:type="dxa"/>
          </w:tcPr>
          <w:p w14:paraId="36FF9145" w14:textId="41854357" w:rsidR="00606191" w:rsidRPr="002A4BDC" w:rsidRDefault="00606191" w:rsidP="0006309C">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r w:rsidR="00606191" w:rsidRPr="002A4BDC" w14:paraId="7CBCC1AA" w14:textId="77777777" w:rsidTr="00402142">
        <w:tc>
          <w:tcPr>
            <w:tcW w:w="1440" w:type="dxa"/>
          </w:tcPr>
          <w:p w14:paraId="6BEE276E" w14:textId="77777777" w:rsidR="00606191" w:rsidRPr="002A4BDC" w:rsidRDefault="00606191" w:rsidP="0006309C">
            <w:pPr>
              <w:spacing w:after="0"/>
              <w:rPr>
                <w:rStyle w:val="text"/>
                <w:lang w:val="es-ES_tradnl"/>
              </w:rPr>
            </w:pPr>
            <w:r w:rsidRPr="002A4BDC">
              <w:rPr>
                <w:rStyle w:val="text"/>
                <w:lang w:val="es-ES_tradnl"/>
              </w:rPr>
              <w:t>US</w:t>
            </w:r>
          </w:p>
        </w:tc>
        <w:tc>
          <w:tcPr>
            <w:tcW w:w="7665" w:type="dxa"/>
          </w:tcPr>
          <w:p w14:paraId="2A6B9841" w14:textId="5B5DC398"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Necesidad de equilibrar el mandato de la Ley Federal sobre protecciones y controles de seguridad de la información Y las recomendaciones sobre distribución de datos "sin barreras" </w:t>
            </w:r>
          </w:p>
        </w:tc>
      </w:tr>
    </w:tbl>
    <w:p w14:paraId="356E744A"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511"/>
      </w:tblGrid>
      <w:tr w:rsidR="00606191" w:rsidRPr="002A4BDC" w14:paraId="46A75A45" w14:textId="77777777" w:rsidTr="003A2C82">
        <w:trPr>
          <w:tblHeader/>
        </w:trPr>
        <w:tc>
          <w:tcPr>
            <w:tcW w:w="1440" w:type="dxa"/>
            <w:shd w:val="clear" w:color="auto" w:fill="1F497D" w:themeFill="text2"/>
          </w:tcPr>
          <w:p w14:paraId="69F70148" w14:textId="77777777" w:rsidR="00606191" w:rsidRPr="002A4BDC" w:rsidRDefault="00606191" w:rsidP="0006309C">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43F91BAB" w14:textId="77777777" w:rsidR="00606191" w:rsidRPr="002A4BDC" w:rsidRDefault="00606191"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6 </w:t>
            </w:r>
          </w:p>
        </w:tc>
      </w:tr>
      <w:tr w:rsidR="00606191" w:rsidRPr="002A4BDC" w14:paraId="0D10373F" w14:textId="77777777" w:rsidTr="00402142">
        <w:tc>
          <w:tcPr>
            <w:tcW w:w="1440" w:type="dxa"/>
          </w:tcPr>
          <w:p w14:paraId="1D3ED92B" w14:textId="77777777" w:rsidR="00606191" w:rsidRPr="002A4BDC" w:rsidRDefault="00606191" w:rsidP="0006309C">
            <w:pPr>
              <w:spacing w:after="0"/>
              <w:rPr>
                <w:rStyle w:val="text"/>
                <w:lang w:val="es-ES_tradnl"/>
              </w:rPr>
            </w:pPr>
            <w:r w:rsidRPr="002A4BDC">
              <w:rPr>
                <w:rStyle w:val="text"/>
                <w:lang w:val="es-ES_tradnl"/>
              </w:rPr>
              <w:t>IE</w:t>
            </w:r>
          </w:p>
        </w:tc>
        <w:tc>
          <w:tcPr>
            <w:tcW w:w="7665" w:type="dxa"/>
          </w:tcPr>
          <w:p w14:paraId="0F1E00C5" w14:textId="37257729"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Los recursos disponibles pueden limitar la participación </w:t>
            </w:r>
          </w:p>
        </w:tc>
      </w:tr>
      <w:tr w:rsidR="00606191" w:rsidRPr="002A4BDC" w14:paraId="7CF86BF2" w14:textId="77777777" w:rsidTr="00402142">
        <w:tc>
          <w:tcPr>
            <w:tcW w:w="1440" w:type="dxa"/>
          </w:tcPr>
          <w:p w14:paraId="42242FC6" w14:textId="77777777" w:rsidR="00606191" w:rsidRPr="002A4BDC" w:rsidRDefault="00606191" w:rsidP="0006309C">
            <w:pPr>
              <w:spacing w:after="0"/>
              <w:rPr>
                <w:rStyle w:val="text"/>
                <w:lang w:val="es-ES_tradnl"/>
              </w:rPr>
            </w:pPr>
            <w:r w:rsidRPr="002A4BDC">
              <w:rPr>
                <w:rStyle w:val="text"/>
                <w:lang w:val="es-ES_tradnl"/>
              </w:rPr>
              <w:t>NO</w:t>
            </w:r>
          </w:p>
        </w:tc>
        <w:tc>
          <w:tcPr>
            <w:tcW w:w="7665" w:type="dxa"/>
          </w:tcPr>
          <w:p w14:paraId="01498824"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Porque tenemos pocos recursos para impulsar proyectos de cooperación </w:t>
            </w:r>
          </w:p>
        </w:tc>
      </w:tr>
      <w:tr w:rsidR="00606191" w:rsidRPr="002A4BDC" w14:paraId="7F441290" w14:textId="77777777" w:rsidTr="00402142">
        <w:tc>
          <w:tcPr>
            <w:tcW w:w="1440" w:type="dxa"/>
          </w:tcPr>
          <w:p w14:paraId="61521CD2" w14:textId="77777777" w:rsidR="00606191" w:rsidRPr="002A4BDC" w:rsidRDefault="00606191" w:rsidP="0006309C">
            <w:pPr>
              <w:spacing w:after="0"/>
              <w:rPr>
                <w:rStyle w:val="text"/>
                <w:lang w:val="es-ES_tradnl"/>
              </w:rPr>
            </w:pPr>
            <w:r w:rsidRPr="002A4BDC">
              <w:rPr>
                <w:rStyle w:val="text"/>
                <w:lang w:val="es-ES_tradnl"/>
              </w:rPr>
              <w:t>PY</w:t>
            </w:r>
          </w:p>
        </w:tc>
        <w:tc>
          <w:tcPr>
            <w:tcW w:w="7665" w:type="dxa"/>
          </w:tcPr>
          <w:p w14:paraId="26289E0D" w14:textId="1B10E772" w:rsidR="00606191" w:rsidRPr="002A4BDC" w:rsidRDefault="00606191" w:rsidP="0006309C">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r w:rsidR="00606191" w:rsidRPr="002A4BDC" w14:paraId="066BD1C8" w14:textId="77777777" w:rsidTr="00402142">
        <w:tc>
          <w:tcPr>
            <w:tcW w:w="1440" w:type="dxa"/>
          </w:tcPr>
          <w:p w14:paraId="71892734" w14:textId="77777777" w:rsidR="00606191" w:rsidRPr="002A4BDC" w:rsidRDefault="00606191" w:rsidP="0006309C">
            <w:pPr>
              <w:spacing w:after="0"/>
              <w:rPr>
                <w:rStyle w:val="text"/>
                <w:lang w:val="es-ES_tradnl"/>
              </w:rPr>
            </w:pPr>
            <w:r w:rsidRPr="002A4BDC">
              <w:rPr>
                <w:rStyle w:val="text"/>
                <w:lang w:val="es-ES_tradnl"/>
              </w:rPr>
              <w:t>US</w:t>
            </w:r>
          </w:p>
        </w:tc>
        <w:tc>
          <w:tcPr>
            <w:tcW w:w="7665" w:type="dxa"/>
          </w:tcPr>
          <w:p w14:paraId="35B1F0B3" w14:textId="77777777" w:rsidR="00606191" w:rsidRPr="002A4BDC" w:rsidRDefault="00606191" w:rsidP="0006309C">
            <w:pPr>
              <w:tabs>
                <w:tab w:val="left" w:pos="365"/>
              </w:tabs>
              <w:spacing w:after="0"/>
              <w:rPr>
                <w:rFonts w:asciiTheme="minorBidi" w:hAnsiTheme="minorBidi" w:cstheme="minorBidi"/>
                <w:lang w:val="es-ES_tradnl"/>
              </w:rPr>
            </w:pPr>
            <w:r w:rsidRPr="002A4BDC">
              <w:rPr>
                <w:rStyle w:val="text"/>
                <w:lang w:val="es-ES_tradnl"/>
              </w:rPr>
              <w:t xml:space="preserve">a. Acuerdo entre las oficinas de PI asociadas sobre proyectos comunes en los que colaborar </w:t>
            </w:r>
            <w:r w:rsidRPr="002A4BDC">
              <w:rPr>
                <w:rStyle w:val="text"/>
                <w:lang w:val="es-ES_tradnl"/>
              </w:rPr>
              <w:br/>
              <w:t xml:space="preserve">b. Diferencias en los ciclos de planificación de la hoja de ruta de TI, lo que dificulta la alineación de recursos/prioridades </w:t>
            </w:r>
            <w:r w:rsidRPr="002A4BDC">
              <w:rPr>
                <w:rStyle w:val="text"/>
                <w:lang w:val="es-ES_tradnl"/>
              </w:rPr>
              <w:br/>
              <w:t xml:space="preserve">c. Distancia (las diferencias horarias crean problemas en la disponibilidad de reuniones) </w:t>
            </w:r>
            <w:r w:rsidRPr="002A4BDC">
              <w:rPr>
                <w:rStyle w:val="text"/>
                <w:lang w:val="es-ES_tradnl"/>
              </w:rPr>
              <w:br/>
              <w:t>d. *Asegurar la alineación en materia de ciberseguridad e infraestructura de TI/paquetes tecnológicos</w:t>
            </w:r>
            <w:r w:rsidRPr="002A4BDC">
              <w:rPr>
                <w:rStyle w:val="text"/>
                <w:lang w:val="es-ES_tradnl"/>
              </w:rPr>
              <w:br/>
              <w:t xml:space="preserve">e. *Diferencias en los marcos jurídicos </w:t>
            </w:r>
          </w:p>
        </w:tc>
      </w:tr>
    </w:tbl>
    <w:p w14:paraId="5B518418"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511"/>
      </w:tblGrid>
      <w:tr w:rsidR="00606191" w:rsidRPr="002A4BDC" w14:paraId="4A388793" w14:textId="77777777" w:rsidTr="0006309C">
        <w:tc>
          <w:tcPr>
            <w:tcW w:w="1440" w:type="dxa"/>
            <w:shd w:val="clear" w:color="auto" w:fill="1F497D" w:themeFill="text2"/>
          </w:tcPr>
          <w:p w14:paraId="46A7C132" w14:textId="77777777" w:rsidR="00606191" w:rsidRPr="001E1FE3" w:rsidRDefault="00606191" w:rsidP="0006309C">
            <w:pPr>
              <w:spacing w:after="0"/>
              <w:rPr>
                <w:rStyle w:val="text"/>
                <w:b/>
                <w:bCs/>
                <w:color w:val="FFFFFF" w:themeColor="background1"/>
                <w:lang w:val="es-ES_tradnl"/>
              </w:rPr>
            </w:pPr>
            <w:r w:rsidRPr="001E1FE3">
              <w:rPr>
                <w:rStyle w:val="text"/>
                <w:b/>
                <w:bCs/>
                <w:color w:val="FFFFFF" w:themeColor="background1"/>
                <w:lang w:val="es-ES_tradnl"/>
              </w:rPr>
              <w:t>Código de la Norma ST.3</w:t>
            </w:r>
          </w:p>
        </w:tc>
        <w:tc>
          <w:tcPr>
            <w:tcW w:w="7665" w:type="dxa"/>
            <w:shd w:val="clear" w:color="auto" w:fill="1F497D" w:themeFill="text2"/>
          </w:tcPr>
          <w:p w14:paraId="2CAB7F1F" w14:textId="77777777" w:rsidR="00606191" w:rsidRPr="001E1FE3" w:rsidRDefault="00606191" w:rsidP="0006309C">
            <w:pPr>
              <w:spacing w:after="0"/>
              <w:rPr>
                <w:rFonts w:asciiTheme="minorBidi" w:hAnsiTheme="minorBidi" w:cstheme="minorBidi"/>
                <w:b/>
                <w:bCs/>
                <w:color w:val="FFFFFF" w:themeColor="background1"/>
                <w:lang w:val="es-ES_tradnl"/>
              </w:rPr>
            </w:pPr>
            <w:r w:rsidRPr="001E1FE3">
              <w:rPr>
                <w:rStyle w:val="text"/>
                <w:b/>
                <w:bCs/>
                <w:color w:val="FFFFFF" w:themeColor="background1"/>
                <w:lang w:val="es-ES_tradnl"/>
              </w:rPr>
              <w:t xml:space="preserve">Rec: 7 </w:t>
            </w:r>
          </w:p>
        </w:tc>
      </w:tr>
      <w:tr w:rsidR="00606191" w:rsidRPr="002A4BDC" w14:paraId="4BD3CE67" w14:textId="77777777" w:rsidTr="0006309C">
        <w:tc>
          <w:tcPr>
            <w:tcW w:w="1440" w:type="dxa"/>
          </w:tcPr>
          <w:p w14:paraId="75B5FEE5" w14:textId="77777777" w:rsidR="00606191" w:rsidRPr="002A4BDC" w:rsidRDefault="00606191" w:rsidP="0006309C">
            <w:pPr>
              <w:spacing w:after="0"/>
              <w:rPr>
                <w:rStyle w:val="text"/>
                <w:lang w:val="es-ES_tradnl"/>
              </w:rPr>
            </w:pPr>
            <w:r w:rsidRPr="002A4BDC">
              <w:rPr>
                <w:rStyle w:val="text"/>
                <w:lang w:val="es-ES_tradnl"/>
              </w:rPr>
              <w:t>AU</w:t>
            </w:r>
          </w:p>
        </w:tc>
        <w:tc>
          <w:tcPr>
            <w:tcW w:w="7665" w:type="dxa"/>
          </w:tcPr>
          <w:p w14:paraId="620097FE"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Aunque consideramos que cumplimos efectivamente las principales normas de la OMPI, en algunos casos seguir aplicándolas supone dificultades importantes, ya que puede haber razones empresariales, legislativas o estratégicas que nos impiden comprometernos a cumplir plenamente determinadas normas. </w:t>
            </w:r>
          </w:p>
        </w:tc>
      </w:tr>
      <w:tr w:rsidR="00606191" w:rsidRPr="002A4BDC" w14:paraId="2F2C9650" w14:textId="77777777" w:rsidTr="0006309C">
        <w:tc>
          <w:tcPr>
            <w:tcW w:w="1440" w:type="dxa"/>
          </w:tcPr>
          <w:p w14:paraId="17A22B2C" w14:textId="77777777" w:rsidR="00606191" w:rsidRPr="002A4BDC" w:rsidRDefault="00606191" w:rsidP="0006309C">
            <w:pPr>
              <w:spacing w:after="0"/>
              <w:rPr>
                <w:rStyle w:val="text"/>
                <w:lang w:val="es-ES_tradnl"/>
              </w:rPr>
            </w:pPr>
            <w:r w:rsidRPr="002A4BDC">
              <w:rPr>
                <w:rStyle w:val="text"/>
                <w:lang w:val="es-ES_tradnl"/>
              </w:rPr>
              <w:t>BR</w:t>
            </w:r>
          </w:p>
        </w:tc>
        <w:tc>
          <w:tcPr>
            <w:tcW w:w="7665" w:type="dxa"/>
          </w:tcPr>
          <w:p w14:paraId="435F0416"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A pesar de estas dificultades, el INPI del Brasil ha realizado muchos avances en relación con esta recomendación. </w:t>
            </w:r>
          </w:p>
        </w:tc>
      </w:tr>
      <w:tr w:rsidR="00606191" w:rsidRPr="002A4BDC" w14:paraId="45C6EB3B" w14:textId="77777777" w:rsidTr="0006309C">
        <w:tc>
          <w:tcPr>
            <w:tcW w:w="1440" w:type="dxa"/>
          </w:tcPr>
          <w:p w14:paraId="5C8F3821" w14:textId="77777777" w:rsidR="00606191" w:rsidRPr="002A4BDC" w:rsidRDefault="00606191" w:rsidP="0006309C">
            <w:pPr>
              <w:spacing w:after="0"/>
              <w:rPr>
                <w:rStyle w:val="text"/>
                <w:lang w:val="es-ES_tradnl"/>
              </w:rPr>
            </w:pPr>
            <w:r w:rsidRPr="002A4BDC">
              <w:rPr>
                <w:rStyle w:val="text"/>
                <w:lang w:val="es-ES_tradnl"/>
              </w:rPr>
              <w:t>NO</w:t>
            </w:r>
          </w:p>
        </w:tc>
        <w:tc>
          <w:tcPr>
            <w:tcW w:w="7665" w:type="dxa"/>
          </w:tcPr>
          <w:p w14:paraId="7D69253F"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Debido a la complejidad </w:t>
            </w:r>
          </w:p>
        </w:tc>
      </w:tr>
      <w:tr w:rsidR="00606191" w:rsidRPr="002A4BDC" w14:paraId="014B40AF" w14:textId="77777777" w:rsidTr="0006309C">
        <w:tc>
          <w:tcPr>
            <w:tcW w:w="1440" w:type="dxa"/>
          </w:tcPr>
          <w:p w14:paraId="7B3B0E52" w14:textId="77777777" w:rsidR="00606191" w:rsidRPr="002A4BDC" w:rsidRDefault="00606191" w:rsidP="0006309C">
            <w:pPr>
              <w:spacing w:after="0"/>
              <w:rPr>
                <w:rStyle w:val="text"/>
                <w:lang w:val="es-ES_tradnl"/>
              </w:rPr>
            </w:pPr>
            <w:r w:rsidRPr="002A4BDC">
              <w:rPr>
                <w:rStyle w:val="text"/>
                <w:lang w:val="es-ES_tradnl"/>
              </w:rPr>
              <w:t>PY</w:t>
            </w:r>
          </w:p>
        </w:tc>
        <w:tc>
          <w:tcPr>
            <w:tcW w:w="7665" w:type="dxa"/>
          </w:tcPr>
          <w:p w14:paraId="23A16277" w14:textId="73FFA951" w:rsidR="00606191" w:rsidRPr="002A4BDC" w:rsidRDefault="00606191" w:rsidP="0006309C">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r w:rsidR="00606191" w:rsidRPr="002A4BDC" w14:paraId="4E2EADB5" w14:textId="77777777" w:rsidTr="0006309C">
        <w:tc>
          <w:tcPr>
            <w:tcW w:w="1440" w:type="dxa"/>
          </w:tcPr>
          <w:p w14:paraId="3EFD17B2" w14:textId="77777777" w:rsidR="00606191" w:rsidRPr="002A4BDC" w:rsidRDefault="00606191" w:rsidP="0006309C">
            <w:pPr>
              <w:spacing w:after="0"/>
              <w:rPr>
                <w:rStyle w:val="text"/>
                <w:lang w:val="es-ES_tradnl"/>
              </w:rPr>
            </w:pPr>
            <w:r w:rsidRPr="002A4BDC">
              <w:rPr>
                <w:rStyle w:val="text"/>
                <w:lang w:val="es-ES_tradnl"/>
              </w:rPr>
              <w:t>US</w:t>
            </w:r>
          </w:p>
        </w:tc>
        <w:tc>
          <w:tcPr>
            <w:tcW w:w="7665" w:type="dxa"/>
          </w:tcPr>
          <w:p w14:paraId="280FB133" w14:textId="10E6DC12" w:rsidR="00711442" w:rsidRPr="002A4BDC" w:rsidRDefault="00711442" w:rsidP="0006309C">
            <w:pPr>
              <w:pStyle w:val="ListParagraph"/>
              <w:numPr>
                <w:ilvl w:val="0"/>
                <w:numId w:val="3"/>
              </w:numPr>
              <w:spacing w:after="0"/>
              <w:ind w:left="365"/>
              <w:rPr>
                <w:rStyle w:val="text"/>
                <w:rFonts w:eastAsia="Arial"/>
                <w:lang w:val="es-ES_tradnl"/>
              </w:rPr>
            </w:pPr>
            <w:r w:rsidRPr="002A4BDC">
              <w:rPr>
                <w:rStyle w:val="text"/>
                <w:lang w:val="es-ES_tradnl"/>
              </w:rPr>
              <w:t>Alineación con las prioridades empresariales</w:t>
            </w:r>
          </w:p>
          <w:p w14:paraId="1BF19839" w14:textId="77777777" w:rsidR="00711442" w:rsidRPr="002A4BDC" w:rsidRDefault="00606191" w:rsidP="0006309C">
            <w:pPr>
              <w:pStyle w:val="ListParagraph"/>
              <w:numPr>
                <w:ilvl w:val="0"/>
                <w:numId w:val="3"/>
              </w:numPr>
              <w:spacing w:after="0"/>
              <w:ind w:left="365"/>
              <w:rPr>
                <w:rStyle w:val="text"/>
                <w:rFonts w:eastAsia="Arial"/>
                <w:lang w:val="es-ES_tradnl"/>
              </w:rPr>
            </w:pPr>
            <w:r w:rsidRPr="002A4BDC">
              <w:rPr>
                <w:rStyle w:val="text"/>
                <w:lang w:val="es-ES_tradnl"/>
              </w:rPr>
              <w:t>Limitaciones presupuestarias</w:t>
            </w:r>
          </w:p>
          <w:p w14:paraId="0E82E242" w14:textId="17F6A5E1" w:rsidR="00606191" w:rsidRPr="002A4BDC" w:rsidRDefault="00606191" w:rsidP="0006309C">
            <w:pPr>
              <w:pStyle w:val="ListParagraph"/>
              <w:numPr>
                <w:ilvl w:val="0"/>
                <w:numId w:val="3"/>
              </w:numPr>
              <w:spacing w:after="0"/>
              <w:ind w:left="365"/>
              <w:rPr>
                <w:rFonts w:asciiTheme="minorBidi" w:hAnsiTheme="minorBidi" w:cstheme="minorBidi"/>
                <w:lang w:val="es-ES_tradnl"/>
              </w:rPr>
            </w:pPr>
            <w:r w:rsidRPr="002A4BDC">
              <w:rPr>
                <w:rStyle w:val="text"/>
                <w:lang w:val="es-ES_tradnl"/>
              </w:rPr>
              <w:t>Compromiso y adopción de asociados de PI (incluidas otras oficinas de PI)</w:t>
            </w:r>
            <w:r w:rsidR="003A2C82" w:rsidRPr="002A4BDC">
              <w:rPr>
                <w:rStyle w:val="text"/>
                <w:lang w:val="es-ES_tradnl"/>
              </w:rPr>
              <w:t xml:space="preserve"> </w:t>
            </w:r>
          </w:p>
        </w:tc>
      </w:tr>
    </w:tbl>
    <w:p w14:paraId="78A1E321" w14:textId="77777777" w:rsidR="00A10BF7" w:rsidRPr="002A4BDC" w:rsidRDefault="00A10BF7">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7512"/>
      </w:tblGrid>
      <w:tr w:rsidR="00606191" w:rsidRPr="002A4BDC" w14:paraId="60F224CA" w14:textId="77777777" w:rsidTr="003A2C82">
        <w:trPr>
          <w:tblHeader/>
        </w:trPr>
        <w:tc>
          <w:tcPr>
            <w:tcW w:w="1440" w:type="dxa"/>
            <w:shd w:val="clear" w:color="auto" w:fill="1F497D" w:themeFill="text2"/>
          </w:tcPr>
          <w:p w14:paraId="66043D92" w14:textId="77777777" w:rsidR="00606191" w:rsidRPr="002A4BDC" w:rsidRDefault="00606191" w:rsidP="0006309C">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4BBB066B" w14:textId="77777777" w:rsidR="00606191" w:rsidRPr="002A4BDC" w:rsidRDefault="00606191"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8 </w:t>
            </w:r>
          </w:p>
        </w:tc>
      </w:tr>
      <w:tr w:rsidR="00606191" w:rsidRPr="002A4BDC" w14:paraId="19DBB580" w14:textId="77777777" w:rsidTr="00402142">
        <w:tc>
          <w:tcPr>
            <w:tcW w:w="1440" w:type="dxa"/>
          </w:tcPr>
          <w:p w14:paraId="447A4521" w14:textId="77777777" w:rsidR="00606191" w:rsidRPr="002A4BDC" w:rsidRDefault="00606191" w:rsidP="0006309C">
            <w:pPr>
              <w:spacing w:after="0"/>
              <w:rPr>
                <w:rStyle w:val="text"/>
                <w:lang w:val="es-ES_tradnl"/>
              </w:rPr>
            </w:pPr>
            <w:r w:rsidRPr="002A4BDC">
              <w:rPr>
                <w:rStyle w:val="text"/>
                <w:lang w:val="es-ES_tradnl"/>
              </w:rPr>
              <w:t>AU</w:t>
            </w:r>
          </w:p>
        </w:tc>
        <w:tc>
          <w:tcPr>
            <w:tcW w:w="7665" w:type="dxa"/>
          </w:tcPr>
          <w:p w14:paraId="21BAE479"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Aunque contar con arquitecturas de referencia será útil, el objetivo de disponer de arquitecturas de referencia comunes en materia de TIC, desarrolladas y en uso a escala multilateral, supone grandes dificultades, ya que es poco probable que las oficinas de PI acuerden plenamente qué arquitecturas utilizar en cada situación debido a las diferentes prácticas históricas/actuales y al importante trabajo que sería necesario para cambiar dichas prácticas. </w:t>
            </w:r>
          </w:p>
        </w:tc>
      </w:tr>
      <w:tr w:rsidR="00606191" w:rsidRPr="002A4BDC" w14:paraId="6151B369" w14:textId="77777777" w:rsidTr="00402142">
        <w:tc>
          <w:tcPr>
            <w:tcW w:w="1440" w:type="dxa"/>
          </w:tcPr>
          <w:p w14:paraId="1CCEA42D" w14:textId="77777777" w:rsidR="00606191" w:rsidRPr="002A4BDC" w:rsidRDefault="00606191" w:rsidP="0006309C">
            <w:pPr>
              <w:spacing w:after="0"/>
              <w:rPr>
                <w:rStyle w:val="text"/>
                <w:lang w:val="es-ES_tradnl"/>
              </w:rPr>
            </w:pPr>
            <w:r w:rsidRPr="002A4BDC">
              <w:rPr>
                <w:rStyle w:val="text"/>
                <w:lang w:val="es-ES_tradnl"/>
              </w:rPr>
              <w:t>CA</w:t>
            </w:r>
          </w:p>
        </w:tc>
        <w:tc>
          <w:tcPr>
            <w:tcW w:w="7665" w:type="dxa"/>
          </w:tcPr>
          <w:p w14:paraId="3E7D206C"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Recomendación 8 - La arquitectura común de referencia sería la más difícil. Esto se debe a que el departamento de TI de cada organización/país tendría paquetes tecnológicos que se ven favorecidos. </w:t>
            </w:r>
          </w:p>
        </w:tc>
      </w:tr>
      <w:tr w:rsidR="00606191" w:rsidRPr="002A4BDC" w14:paraId="0EA89CF5" w14:textId="77777777" w:rsidTr="00402142">
        <w:tc>
          <w:tcPr>
            <w:tcW w:w="1440" w:type="dxa"/>
          </w:tcPr>
          <w:p w14:paraId="165CBDBB" w14:textId="77777777" w:rsidR="00606191" w:rsidRPr="002A4BDC" w:rsidRDefault="00606191" w:rsidP="0006309C">
            <w:pPr>
              <w:spacing w:after="0"/>
              <w:rPr>
                <w:rStyle w:val="text"/>
                <w:lang w:val="es-ES_tradnl"/>
              </w:rPr>
            </w:pPr>
            <w:r w:rsidRPr="002A4BDC">
              <w:rPr>
                <w:rStyle w:val="text"/>
                <w:lang w:val="es-ES_tradnl"/>
              </w:rPr>
              <w:t>PY</w:t>
            </w:r>
          </w:p>
        </w:tc>
        <w:tc>
          <w:tcPr>
            <w:tcW w:w="7665" w:type="dxa"/>
          </w:tcPr>
          <w:p w14:paraId="7EE768B3" w14:textId="615DE662" w:rsidR="00606191" w:rsidRPr="002A4BDC" w:rsidRDefault="00606191" w:rsidP="0006309C">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r w:rsidR="00606191" w:rsidRPr="002A4BDC" w14:paraId="67FFD686" w14:textId="77777777" w:rsidTr="00402142">
        <w:tc>
          <w:tcPr>
            <w:tcW w:w="1440" w:type="dxa"/>
          </w:tcPr>
          <w:p w14:paraId="759A1547" w14:textId="77777777" w:rsidR="00606191" w:rsidRPr="002A4BDC" w:rsidRDefault="00606191" w:rsidP="0006309C">
            <w:pPr>
              <w:spacing w:after="0"/>
              <w:rPr>
                <w:rStyle w:val="text"/>
                <w:lang w:val="es-ES_tradnl"/>
              </w:rPr>
            </w:pPr>
            <w:r w:rsidRPr="002A4BDC">
              <w:rPr>
                <w:rStyle w:val="text"/>
                <w:lang w:val="es-ES_tradnl"/>
              </w:rPr>
              <w:t>US</w:t>
            </w:r>
          </w:p>
        </w:tc>
        <w:tc>
          <w:tcPr>
            <w:tcW w:w="7665" w:type="dxa"/>
          </w:tcPr>
          <w:p w14:paraId="332F406D" w14:textId="23C70828" w:rsidR="00606191" w:rsidRPr="002A4BDC" w:rsidRDefault="00606191" w:rsidP="0006309C">
            <w:pPr>
              <w:pStyle w:val="ListParagraph"/>
              <w:numPr>
                <w:ilvl w:val="0"/>
                <w:numId w:val="1"/>
              </w:numPr>
              <w:spacing w:after="0"/>
              <w:ind w:left="365"/>
              <w:rPr>
                <w:rStyle w:val="text"/>
                <w:rFonts w:eastAsia="Arial"/>
                <w:lang w:val="es-ES_tradnl"/>
              </w:rPr>
            </w:pPr>
            <w:r w:rsidRPr="002A4BDC">
              <w:rPr>
                <w:rStyle w:val="text"/>
                <w:lang w:val="es-ES_tradnl"/>
              </w:rPr>
              <w:t xml:space="preserve">Acuerdo entre las oficinas de PI asociadas sobre proyectos comunes en los que colaborar </w:t>
            </w:r>
          </w:p>
          <w:p w14:paraId="36C76459" w14:textId="2590B030" w:rsidR="00606191" w:rsidRPr="002A4BDC" w:rsidRDefault="00606191" w:rsidP="0006309C">
            <w:pPr>
              <w:pStyle w:val="ListParagraph"/>
              <w:numPr>
                <w:ilvl w:val="0"/>
                <w:numId w:val="1"/>
              </w:numPr>
              <w:spacing w:after="0"/>
              <w:ind w:left="365"/>
              <w:rPr>
                <w:rStyle w:val="text"/>
                <w:rFonts w:eastAsia="Arial"/>
                <w:lang w:val="es-ES_tradnl"/>
              </w:rPr>
            </w:pPr>
            <w:r w:rsidRPr="002A4BDC">
              <w:rPr>
                <w:rStyle w:val="text"/>
                <w:lang w:val="es-ES_tradnl"/>
              </w:rPr>
              <w:t xml:space="preserve">Diferencias en los ciclos de planificación de las hojas de ruta de TI, lo que dificulta la alineación de recursos/prioridades </w:t>
            </w:r>
          </w:p>
          <w:p w14:paraId="1A618081" w14:textId="3AC3EA1E" w:rsidR="00606191" w:rsidRPr="002A4BDC" w:rsidRDefault="00606191" w:rsidP="0006309C">
            <w:pPr>
              <w:pStyle w:val="ListParagraph"/>
              <w:numPr>
                <w:ilvl w:val="0"/>
                <w:numId w:val="1"/>
              </w:numPr>
              <w:spacing w:after="0"/>
              <w:ind w:left="365"/>
              <w:rPr>
                <w:rStyle w:val="text"/>
                <w:rFonts w:eastAsia="Arial"/>
                <w:lang w:val="es-ES_tradnl"/>
              </w:rPr>
            </w:pPr>
            <w:r w:rsidRPr="002A4BDC">
              <w:rPr>
                <w:rStyle w:val="text"/>
                <w:lang w:val="es-ES_tradnl"/>
              </w:rPr>
              <w:t xml:space="preserve">Distancia (las diferencias horarias crean problemas de disponibilidad para las reuniones) </w:t>
            </w:r>
          </w:p>
          <w:p w14:paraId="298B83FF" w14:textId="08F96216" w:rsidR="00606191" w:rsidRPr="002A4BDC" w:rsidRDefault="00606191" w:rsidP="0006309C">
            <w:pPr>
              <w:pStyle w:val="ListParagraph"/>
              <w:numPr>
                <w:ilvl w:val="0"/>
                <w:numId w:val="1"/>
              </w:numPr>
              <w:spacing w:after="0"/>
              <w:ind w:left="365"/>
              <w:rPr>
                <w:rStyle w:val="text"/>
                <w:rFonts w:eastAsia="Arial"/>
                <w:lang w:val="es-ES_tradnl"/>
              </w:rPr>
            </w:pPr>
            <w:r w:rsidRPr="002A4BDC">
              <w:rPr>
                <w:rStyle w:val="text"/>
                <w:lang w:val="es-ES_tradnl"/>
              </w:rPr>
              <w:t xml:space="preserve">Garantizar la alineación en materia de ciberseguridad e infraestructura y paquetes tecnológicos de TI </w:t>
            </w:r>
          </w:p>
          <w:p w14:paraId="68538AC7" w14:textId="77777777" w:rsidR="00606191" w:rsidRPr="002A4BDC" w:rsidRDefault="00606191" w:rsidP="0006309C">
            <w:pPr>
              <w:pStyle w:val="ListParagraph"/>
              <w:numPr>
                <w:ilvl w:val="0"/>
                <w:numId w:val="1"/>
              </w:numPr>
              <w:spacing w:after="0"/>
              <w:ind w:left="365"/>
              <w:rPr>
                <w:rFonts w:asciiTheme="minorBidi" w:hAnsiTheme="minorBidi" w:cstheme="minorBidi"/>
                <w:lang w:val="es-ES_tradnl"/>
              </w:rPr>
            </w:pPr>
            <w:r w:rsidRPr="002A4BDC">
              <w:rPr>
                <w:rStyle w:val="text"/>
                <w:lang w:val="es-ES_tradnl"/>
              </w:rPr>
              <w:t xml:space="preserve">Diferencias en los marcos jurídicos </w:t>
            </w:r>
          </w:p>
        </w:tc>
      </w:tr>
    </w:tbl>
    <w:p w14:paraId="627A7C71" w14:textId="77777777" w:rsidR="00A10BF7" w:rsidRPr="002A4BDC" w:rsidRDefault="00A10BF7">
      <w:pPr>
        <w:rPr>
          <w:rFonts w:asciiTheme="minorBidi" w:hAnsiTheme="minorBidi" w:cstheme="minorBidi"/>
          <w:lang w:val="es-ES_tradnl"/>
        </w:rPr>
      </w:pPr>
    </w:p>
    <w:p w14:paraId="085930E3" w14:textId="77777777" w:rsidR="001E1FE3" w:rsidRDefault="001E1FE3">
      <w:r>
        <w:br w:type="page"/>
      </w: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511"/>
      </w:tblGrid>
      <w:tr w:rsidR="00606191" w:rsidRPr="002A4BDC" w14:paraId="6B2DF9F1" w14:textId="77777777" w:rsidTr="00402142">
        <w:tc>
          <w:tcPr>
            <w:tcW w:w="1440" w:type="dxa"/>
            <w:shd w:val="clear" w:color="auto" w:fill="1F497D" w:themeFill="text2"/>
          </w:tcPr>
          <w:p w14:paraId="61A592FF" w14:textId="54C4435D" w:rsidR="00606191" w:rsidRPr="002A4BDC" w:rsidRDefault="00606191" w:rsidP="0006309C">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2805377A" w14:textId="77777777" w:rsidR="00606191" w:rsidRPr="002A4BDC" w:rsidRDefault="00606191"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9 </w:t>
            </w:r>
          </w:p>
        </w:tc>
      </w:tr>
      <w:tr w:rsidR="00606191" w:rsidRPr="002A4BDC" w14:paraId="5B8B9619" w14:textId="77777777" w:rsidTr="00402142">
        <w:tc>
          <w:tcPr>
            <w:tcW w:w="1440" w:type="dxa"/>
          </w:tcPr>
          <w:p w14:paraId="5DDA7C59" w14:textId="77777777" w:rsidR="00606191" w:rsidRPr="002A4BDC" w:rsidRDefault="00606191" w:rsidP="0006309C">
            <w:pPr>
              <w:spacing w:after="0"/>
              <w:rPr>
                <w:rStyle w:val="text"/>
                <w:lang w:val="es-ES_tradnl"/>
              </w:rPr>
            </w:pPr>
            <w:r w:rsidRPr="002A4BDC">
              <w:rPr>
                <w:rStyle w:val="text"/>
                <w:lang w:val="es-ES_tradnl"/>
              </w:rPr>
              <w:t>PY</w:t>
            </w:r>
          </w:p>
        </w:tc>
        <w:tc>
          <w:tcPr>
            <w:tcW w:w="7665" w:type="dxa"/>
          </w:tcPr>
          <w:p w14:paraId="21E14E75" w14:textId="6F31DFB6" w:rsidR="00606191" w:rsidRPr="002A4BDC" w:rsidRDefault="00606191" w:rsidP="0006309C">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r w:rsidR="00606191" w:rsidRPr="002A4BDC" w14:paraId="753968A7" w14:textId="77777777" w:rsidTr="00402142">
        <w:tc>
          <w:tcPr>
            <w:tcW w:w="1440" w:type="dxa"/>
          </w:tcPr>
          <w:p w14:paraId="150A34BF" w14:textId="77777777" w:rsidR="00606191" w:rsidRPr="002A4BDC" w:rsidRDefault="00606191" w:rsidP="0006309C">
            <w:pPr>
              <w:spacing w:after="0"/>
              <w:rPr>
                <w:rStyle w:val="text"/>
                <w:lang w:val="es-ES_tradnl"/>
              </w:rPr>
            </w:pPr>
            <w:r w:rsidRPr="002A4BDC">
              <w:rPr>
                <w:rStyle w:val="text"/>
                <w:lang w:val="es-ES_tradnl"/>
              </w:rPr>
              <w:t>US</w:t>
            </w:r>
          </w:p>
        </w:tc>
        <w:tc>
          <w:tcPr>
            <w:tcW w:w="7665" w:type="dxa"/>
          </w:tcPr>
          <w:p w14:paraId="439639EF" w14:textId="1491DD8E"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Encontrar tiempo para establecer contactos con las distintas oficinas de PI y comprender su entorno (desde el punto de vista de ciberseguridad, jurídico y de recursos informáticos) con miras a entender las decisiones que ha tomado </w:t>
            </w:r>
          </w:p>
        </w:tc>
      </w:tr>
    </w:tbl>
    <w:p w14:paraId="26EB7F0B" w14:textId="31300AD3" w:rsidR="009D4634" w:rsidRPr="002A4BDC" w:rsidRDefault="009D4634">
      <w:pPr>
        <w:rPr>
          <w:rFonts w:asciiTheme="minorBidi" w:hAnsiTheme="minorBidi" w:cstheme="minorBidi"/>
          <w:lang w:val="es-ES_tradnl"/>
        </w:rPr>
      </w:pPr>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511"/>
      </w:tblGrid>
      <w:tr w:rsidR="00606191" w:rsidRPr="002A4BDC" w14:paraId="1A83E10A" w14:textId="77777777" w:rsidTr="00402142">
        <w:tc>
          <w:tcPr>
            <w:tcW w:w="1440" w:type="dxa"/>
            <w:shd w:val="clear" w:color="auto" w:fill="1F497D" w:themeFill="text2"/>
          </w:tcPr>
          <w:p w14:paraId="2055D705" w14:textId="2EDB1CC5" w:rsidR="00606191" w:rsidRPr="002A4BDC" w:rsidRDefault="00606191" w:rsidP="0006309C">
            <w:pPr>
              <w:spacing w:after="0"/>
              <w:rPr>
                <w:rStyle w:val="text"/>
                <w:b/>
                <w:bCs/>
                <w:color w:val="FFFFFF" w:themeColor="background1"/>
                <w:lang w:val="es-ES_tradnl"/>
              </w:rPr>
            </w:pPr>
            <w:r w:rsidRPr="002A4BDC">
              <w:rPr>
                <w:rStyle w:val="text"/>
                <w:b/>
                <w:color w:val="FFFFFF" w:themeColor="background1"/>
                <w:lang w:val="es-ES_tradnl"/>
              </w:rPr>
              <w:t>Código de la Norma ST.3</w:t>
            </w:r>
          </w:p>
        </w:tc>
        <w:tc>
          <w:tcPr>
            <w:tcW w:w="7665" w:type="dxa"/>
            <w:shd w:val="clear" w:color="auto" w:fill="1F497D" w:themeFill="text2"/>
          </w:tcPr>
          <w:p w14:paraId="1826908B" w14:textId="77777777" w:rsidR="00606191" w:rsidRPr="002A4BDC" w:rsidRDefault="00606191"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Rec: 10 </w:t>
            </w:r>
          </w:p>
        </w:tc>
      </w:tr>
      <w:tr w:rsidR="00606191" w:rsidRPr="002A4BDC" w14:paraId="18C7E400" w14:textId="77777777" w:rsidTr="00402142">
        <w:tc>
          <w:tcPr>
            <w:tcW w:w="1440" w:type="dxa"/>
          </w:tcPr>
          <w:p w14:paraId="505D0D7B" w14:textId="77777777" w:rsidR="00606191" w:rsidRPr="002A4BDC" w:rsidRDefault="00606191" w:rsidP="0006309C">
            <w:pPr>
              <w:spacing w:after="0"/>
              <w:rPr>
                <w:rStyle w:val="text"/>
                <w:lang w:val="es-ES_tradnl"/>
              </w:rPr>
            </w:pPr>
            <w:r w:rsidRPr="002A4BDC">
              <w:rPr>
                <w:rStyle w:val="text"/>
                <w:lang w:val="es-ES_tradnl"/>
              </w:rPr>
              <w:t>AU</w:t>
            </w:r>
          </w:p>
        </w:tc>
        <w:tc>
          <w:tcPr>
            <w:tcW w:w="7665" w:type="dxa"/>
          </w:tcPr>
          <w:p w14:paraId="1CDB0127"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Esto sigue suponiendo una dificultad sin resolver, simplemente debido a la rápida evolución de esas tecnologías. </w:t>
            </w:r>
          </w:p>
        </w:tc>
      </w:tr>
      <w:tr w:rsidR="00606191" w:rsidRPr="002A4BDC" w14:paraId="2F594241" w14:textId="77777777" w:rsidTr="00402142">
        <w:tc>
          <w:tcPr>
            <w:tcW w:w="1440" w:type="dxa"/>
          </w:tcPr>
          <w:p w14:paraId="47829BA2" w14:textId="77777777" w:rsidR="00606191" w:rsidRPr="002A4BDC" w:rsidRDefault="00606191" w:rsidP="0006309C">
            <w:pPr>
              <w:spacing w:after="0"/>
              <w:rPr>
                <w:rStyle w:val="text"/>
                <w:lang w:val="es-ES_tradnl"/>
              </w:rPr>
            </w:pPr>
            <w:r w:rsidRPr="002A4BDC">
              <w:rPr>
                <w:rStyle w:val="text"/>
                <w:lang w:val="es-ES_tradnl"/>
              </w:rPr>
              <w:t>BR</w:t>
            </w:r>
          </w:p>
        </w:tc>
        <w:tc>
          <w:tcPr>
            <w:tcW w:w="7665" w:type="dxa"/>
          </w:tcPr>
          <w:p w14:paraId="78996233"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Falta de formación y de priorización entre las diversas actividades del departamento de TIC de la institución. </w:t>
            </w:r>
          </w:p>
        </w:tc>
      </w:tr>
      <w:tr w:rsidR="00606191" w:rsidRPr="002A4BDC" w14:paraId="6B9E1A90" w14:textId="77777777" w:rsidTr="00402142">
        <w:tc>
          <w:tcPr>
            <w:tcW w:w="1440" w:type="dxa"/>
          </w:tcPr>
          <w:p w14:paraId="0E4F77AE" w14:textId="77777777" w:rsidR="00606191" w:rsidRPr="002A4BDC" w:rsidRDefault="00606191" w:rsidP="0006309C">
            <w:pPr>
              <w:spacing w:after="0"/>
              <w:rPr>
                <w:rStyle w:val="text"/>
                <w:lang w:val="es-ES_tradnl"/>
              </w:rPr>
            </w:pPr>
            <w:r w:rsidRPr="002A4BDC">
              <w:rPr>
                <w:rStyle w:val="text"/>
                <w:lang w:val="es-ES_tradnl"/>
              </w:rPr>
              <w:t>EP</w:t>
            </w:r>
          </w:p>
        </w:tc>
        <w:tc>
          <w:tcPr>
            <w:tcW w:w="7665" w:type="dxa"/>
          </w:tcPr>
          <w:p w14:paraId="19AF0D4E"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Rápidos cambios tecnológicos; consideraciones éticas; requisitos y preocupaciones en materia de seguridad y confidencialidad de datos </w:t>
            </w:r>
          </w:p>
        </w:tc>
      </w:tr>
      <w:tr w:rsidR="00606191" w:rsidRPr="002A4BDC" w14:paraId="1344E595" w14:textId="77777777" w:rsidTr="00402142">
        <w:tc>
          <w:tcPr>
            <w:tcW w:w="1440" w:type="dxa"/>
          </w:tcPr>
          <w:p w14:paraId="2B6DED1E" w14:textId="77777777" w:rsidR="00606191" w:rsidRPr="002A4BDC" w:rsidRDefault="00606191" w:rsidP="0006309C">
            <w:pPr>
              <w:spacing w:after="0"/>
              <w:rPr>
                <w:rStyle w:val="text"/>
                <w:lang w:val="es-ES_tradnl"/>
              </w:rPr>
            </w:pPr>
            <w:r w:rsidRPr="002A4BDC">
              <w:rPr>
                <w:rStyle w:val="text"/>
                <w:lang w:val="es-ES_tradnl"/>
              </w:rPr>
              <w:t>ES</w:t>
            </w:r>
          </w:p>
        </w:tc>
        <w:tc>
          <w:tcPr>
            <w:tcW w:w="7665" w:type="dxa"/>
          </w:tcPr>
          <w:p w14:paraId="332E5378" w14:textId="6C7ED50D"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Nuestra actividad habitual y la falta de recursos dificultan nuestro objetivo de invertir tiempo en estos asuntos tan importantes </w:t>
            </w:r>
          </w:p>
        </w:tc>
      </w:tr>
      <w:tr w:rsidR="00606191" w:rsidRPr="002A4BDC" w14:paraId="714E53EC" w14:textId="77777777" w:rsidTr="00402142">
        <w:tc>
          <w:tcPr>
            <w:tcW w:w="1440" w:type="dxa"/>
          </w:tcPr>
          <w:p w14:paraId="55284771" w14:textId="77777777" w:rsidR="00606191" w:rsidRPr="002A4BDC" w:rsidRDefault="00606191" w:rsidP="0006309C">
            <w:pPr>
              <w:spacing w:after="0"/>
              <w:rPr>
                <w:rStyle w:val="text"/>
                <w:lang w:val="es-ES_tradnl"/>
              </w:rPr>
            </w:pPr>
            <w:r w:rsidRPr="002A4BDC">
              <w:rPr>
                <w:rStyle w:val="text"/>
                <w:lang w:val="es-ES_tradnl"/>
              </w:rPr>
              <w:t>IE</w:t>
            </w:r>
          </w:p>
        </w:tc>
        <w:tc>
          <w:tcPr>
            <w:tcW w:w="7665" w:type="dxa"/>
          </w:tcPr>
          <w:p w14:paraId="05498A61" w14:textId="3AED5D2A"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Recursos limitados </w:t>
            </w:r>
          </w:p>
        </w:tc>
      </w:tr>
      <w:tr w:rsidR="00606191" w:rsidRPr="002A4BDC" w14:paraId="10A1AFB8" w14:textId="77777777" w:rsidTr="00402142">
        <w:tc>
          <w:tcPr>
            <w:tcW w:w="1440" w:type="dxa"/>
          </w:tcPr>
          <w:p w14:paraId="64F676C6" w14:textId="77777777" w:rsidR="00606191" w:rsidRPr="002A4BDC" w:rsidRDefault="00606191" w:rsidP="0006309C">
            <w:pPr>
              <w:spacing w:after="0"/>
              <w:rPr>
                <w:rStyle w:val="text"/>
                <w:lang w:val="es-ES_tradnl"/>
              </w:rPr>
            </w:pPr>
            <w:r w:rsidRPr="002A4BDC">
              <w:rPr>
                <w:rStyle w:val="text"/>
                <w:lang w:val="es-ES_tradnl"/>
              </w:rPr>
              <w:t>PL</w:t>
            </w:r>
          </w:p>
        </w:tc>
        <w:tc>
          <w:tcPr>
            <w:tcW w:w="7665" w:type="dxa"/>
          </w:tcPr>
          <w:p w14:paraId="5E377573" w14:textId="77777777" w:rsidR="00606191" w:rsidRPr="002A4BDC" w:rsidRDefault="00606191" w:rsidP="0006309C">
            <w:pPr>
              <w:spacing w:after="0"/>
              <w:rPr>
                <w:rFonts w:asciiTheme="minorBidi" w:hAnsiTheme="minorBidi" w:cstheme="minorBidi"/>
                <w:lang w:val="es-ES_tradnl"/>
              </w:rPr>
            </w:pPr>
            <w:r w:rsidRPr="002A4BDC">
              <w:rPr>
                <w:rStyle w:val="text"/>
                <w:lang w:val="es-ES_tradnl"/>
              </w:rPr>
              <w:t xml:space="preserve">Estamos trabajando en un nuevo proyecto, el portal de jurisprudencia, que proporcionará acceso directo a la base de datos de decisiones anonimizadas. El uso de inteligencia artificial en el propio sistema permitirá generar resúmenes de decisiones y mejorará la preparación de publicaciones de decisiones mediante su anonimización automática y la preparación de metadatos. Hemos enviado una carta de intenciones a la OEP para unirnos al proyecto de plataforma interactiva jurídica y actualmente estamos utilizando el sistema Ansera para preparar un informe sobre el estado de la técnica. Tenemos previsto ampliar las competencias en el ámbito de la IA y la cadena de bloques internamente en el equipo de PPO. </w:t>
            </w:r>
          </w:p>
        </w:tc>
      </w:tr>
      <w:tr w:rsidR="00606191" w:rsidRPr="002A4BDC" w14:paraId="4417909D" w14:textId="77777777" w:rsidTr="00402142">
        <w:tc>
          <w:tcPr>
            <w:tcW w:w="1440" w:type="dxa"/>
          </w:tcPr>
          <w:p w14:paraId="25DEF1BF" w14:textId="77777777" w:rsidR="00606191" w:rsidRPr="002A4BDC" w:rsidRDefault="00606191" w:rsidP="0006309C">
            <w:pPr>
              <w:spacing w:after="0"/>
              <w:rPr>
                <w:rStyle w:val="text"/>
                <w:lang w:val="es-ES_tradnl"/>
              </w:rPr>
            </w:pPr>
            <w:r w:rsidRPr="002A4BDC">
              <w:rPr>
                <w:rStyle w:val="text"/>
                <w:lang w:val="es-ES_tradnl"/>
              </w:rPr>
              <w:t>PY</w:t>
            </w:r>
          </w:p>
        </w:tc>
        <w:tc>
          <w:tcPr>
            <w:tcW w:w="7665" w:type="dxa"/>
          </w:tcPr>
          <w:p w14:paraId="74ED064C" w14:textId="74BE56F6" w:rsidR="00606191" w:rsidRPr="002A4BDC" w:rsidRDefault="00606191" w:rsidP="0006309C">
            <w:pPr>
              <w:spacing w:after="0"/>
              <w:rPr>
                <w:rFonts w:asciiTheme="minorBidi" w:hAnsiTheme="minorBidi" w:cstheme="minorBidi"/>
                <w:lang w:val="es-ES_tradnl"/>
              </w:rPr>
            </w:pPr>
            <w:r w:rsidRPr="002A4BDC">
              <w:rPr>
                <w:rStyle w:val="text"/>
                <w:lang w:val="es-ES_tradnl"/>
              </w:rPr>
              <w:t>En todas las recomendaciones siempre existen dificultades, pero para estas recomendaciones, en nuestra situación actual y dada la coyuntura a nivel país, la mayor dificultad es el "tiempo".</w:t>
            </w:r>
            <w:r w:rsidR="003A2C82" w:rsidRPr="002A4BDC">
              <w:rPr>
                <w:rStyle w:val="text"/>
                <w:lang w:val="es-ES_tradnl"/>
              </w:rPr>
              <w:t xml:space="preserve"> </w:t>
            </w:r>
          </w:p>
        </w:tc>
      </w:tr>
      <w:tr w:rsidR="00606191" w:rsidRPr="002A4BDC" w14:paraId="3C7EFB4F" w14:textId="77777777" w:rsidTr="00402142">
        <w:tc>
          <w:tcPr>
            <w:tcW w:w="1440" w:type="dxa"/>
          </w:tcPr>
          <w:p w14:paraId="5713AC61" w14:textId="77777777" w:rsidR="00606191" w:rsidRPr="002A4BDC" w:rsidRDefault="00606191" w:rsidP="0006309C">
            <w:pPr>
              <w:spacing w:after="0"/>
              <w:rPr>
                <w:rStyle w:val="text"/>
                <w:lang w:val="es-ES_tradnl"/>
              </w:rPr>
            </w:pPr>
            <w:r w:rsidRPr="002A4BDC">
              <w:rPr>
                <w:rStyle w:val="text"/>
                <w:lang w:val="es-ES_tradnl"/>
              </w:rPr>
              <w:t>US</w:t>
            </w:r>
          </w:p>
        </w:tc>
        <w:tc>
          <w:tcPr>
            <w:tcW w:w="7665" w:type="dxa"/>
          </w:tcPr>
          <w:p w14:paraId="669EAFBC" w14:textId="77777777" w:rsidR="004C55AD" w:rsidRPr="002A4BDC" w:rsidRDefault="00606191" w:rsidP="004C55AD">
            <w:pPr>
              <w:pStyle w:val="ListParagraph"/>
              <w:numPr>
                <w:ilvl w:val="0"/>
                <w:numId w:val="6"/>
              </w:numPr>
              <w:spacing w:after="0"/>
              <w:ind w:left="376"/>
              <w:rPr>
                <w:rStyle w:val="text"/>
                <w:rFonts w:eastAsia="Arial"/>
                <w:lang w:val="es-ES_tradnl"/>
              </w:rPr>
            </w:pPr>
            <w:r w:rsidRPr="002A4BDC">
              <w:rPr>
                <w:rStyle w:val="text"/>
                <w:lang w:val="es-ES_tradnl"/>
              </w:rPr>
              <w:t>privacidad de los datos</w:t>
            </w:r>
          </w:p>
          <w:p w14:paraId="29AAE897" w14:textId="77777777" w:rsidR="004C55AD" w:rsidRPr="002A4BDC" w:rsidRDefault="00606191" w:rsidP="004C55AD">
            <w:pPr>
              <w:pStyle w:val="ListParagraph"/>
              <w:numPr>
                <w:ilvl w:val="0"/>
                <w:numId w:val="6"/>
              </w:numPr>
              <w:spacing w:after="0"/>
              <w:ind w:left="376"/>
              <w:rPr>
                <w:rStyle w:val="text"/>
                <w:rFonts w:eastAsia="Arial"/>
                <w:lang w:val="es-ES_tradnl"/>
              </w:rPr>
            </w:pPr>
            <w:r w:rsidRPr="002A4BDC">
              <w:rPr>
                <w:rStyle w:val="text"/>
                <w:lang w:val="es-ES_tradnl"/>
              </w:rPr>
              <w:t>interoperabilidad</w:t>
            </w:r>
          </w:p>
          <w:p w14:paraId="28C8DACF" w14:textId="42F41A8A" w:rsidR="00606191" w:rsidRPr="002A4BDC" w:rsidRDefault="00606191" w:rsidP="004C55AD">
            <w:pPr>
              <w:pStyle w:val="ListParagraph"/>
              <w:numPr>
                <w:ilvl w:val="0"/>
                <w:numId w:val="6"/>
              </w:numPr>
              <w:spacing w:after="0"/>
              <w:ind w:left="376"/>
              <w:rPr>
                <w:rFonts w:asciiTheme="minorBidi" w:hAnsiTheme="minorBidi" w:cstheme="minorBidi"/>
                <w:lang w:val="es-ES_tradnl"/>
              </w:rPr>
            </w:pPr>
            <w:r w:rsidRPr="002A4BDC">
              <w:rPr>
                <w:rStyle w:val="text"/>
                <w:lang w:val="es-ES_tradnl"/>
              </w:rPr>
              <w:t>Cambios en la normativa federal</w:t>
            </w:r>
          </w:p>
        </w:tc>
      </w:tr>
    </w:tbl>
    <w:p w14:paraId="0B1234FC" w14:textId="77777777" w:rsidR="00A10BF7" w:rsidRPr="002A4BDC" w:rsidRDefault="00A10BF7">
      <w:pPr>
        <w:rPr>
          <w:rFonts w:asciiTheme="minorBidi" w:hAnsiTheme="minorBidi" w:cstheme="minorBidi"/>
          <w:lang w:val="es-ES_tradnl"/>
        </w:rPr>
        <w:sectPr w:rsidR="00A10BF7" w:rsidRPr="002A4BDC">
          <w:pgSz w:w="11905" w:h="16837"/>
          <w:pgMar w:top="1440" w:right="1440" w:bottom="1440" w:left="1440" w:header="720" w:footer="720" w:gutter="0"/>
          <w:cols w:space="720"/>
        </w:sectPr>
      </w:pPr>
    </w:p>
    <w:bookmarkStart w:id="7" w:name="_Toc10"/>
    <w:p w14:paraId="548757E0" w14:textId="64F2F3E9" w:rsidR="00A10BF7" w:rsidRPr="002A4BDC" w:rsidRDefault="00F01C34" w:rsidP="002A4BDC">
      <w:pPr>
        <w:pStyle w:val="headingsubHeader"/>
        <w:tabs>
          <w:tab w:val="left" w:pos="567"/>
        </w:tabs>
        <w:rPr>
          <w:lang w:val="es-ES_tradnl"/>
        </w:rPr>
      </w:pPr>
      <w:r w:rsidRPr="002A4BDC">
        <w:rPr>
          <w:lang w:val="es-ES_tradnl"/>
        </w:rPr>
        <w:fldChar w:fldCharType="begin"/>
      </w:r>
      <w:r w:rsidRPr="002A4BDC">
        <w:rPr>
          <w:lang w:val="es-ES_tradnl"/>
        </w:rPr>
        <w:instrText xml:space="preserve"> AUTONUM  </w:instrText>
      </w:r>
      <w:r w:rsidRPr="002A4BDC">
        <w:rPr>
          <w:lang w:val="es-ES_tradnl"/>
        </w:rPr>
        <w:fldChar w:fldCharType="end"/>
      </w:r>
      <w:r w:rsidRPr="002A4BDC">
        <w:rPr>
          <w:lang w:val="es-ES_tradnl"/>
        </w:rPr>
        <w:tab/>
        <w:t>¿Tiene su Oficina alguna propuesta para mejorar o actualizar las recomendaciones sobre las TIC y la administración de la PI?</w:t>
      </w:r>
      <w:bookmarkEnd w:id="7"/>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7339"/>
      </w:tblGrid>
      <w:tr w:rsidR="000A5AD3" w:rsidRPr="002A4BDC" w14:paraId="3D9C1868" w14:textId="77777777" w:rsidTr="002A4BDC">
        <w:tc>
          <w:tcPr>
            <w:tcW w:w="1596" w:type="dxa"/>
            <w:shd w:val="clear" w:color="auto" w:fill="1F497D" w:themeFill="text2"/>
          </w:tcPr>
          <w:p w14:paraId="182038F1" w14:textId="77777777" w:rsidR="000A5AD3" w:rsidRPr="002A4BDC" w:rsidRDefault="000A5AD3"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Código de la Norma ST.3</w:t>
            </w:r>
          </w:p>
        </w:tc>
        <w:tc>
          <w:tcPr>
            <w:tcW w:w="7339" w:type="dxa"/>
            <w:shd w:val="clear" w:color="auto" w:fill="1F497D" w:themeFill="text2"/>
          </w:tcPr>
          <w:p w14:paraId="27352A14" w14:textId="77777777" w:rsidR="000A5AD3" w:rsidRPr="002A4BDC" w:rsidRDefault="000A5AD3"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Respuesta </w:t>
            </w:r>
          </w:p>
        </w:tc>
      </w:tr>
      <w:tr w:rsidR="000A5AD3" w:rsidRPr="002A4BDC" w14:paraId="23EC93D4" w14:textId="77777777" w:rsidTr="002A4BDC">
        <w:tc>
          <w:tcPr>
            <w:tcW w:w="1596" w:type="dxa"/>
          </w:tcPr>
          <w:p w14:paraId="28613123"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AU</w:t>
            </w:r>
          </w:p>
        </w:tc>
        <w:tc>
          <w:tcPr>
            <w:tcW w:w="7339" w:type="dxa"/>
          </w:tcPr>
          <w:p w14:paraId="33A6E003"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n. a. </w:t>
            </w:r>
          </w:p>
        </w:tc>
      </w:tr>
      <w:tr w:rsidR="000A5AD3" w:rsidRPr="002A4BDC" w14:paraId="50339852" w14:textId="77777777" w:rsidTr="002A4BDC">
        <w:tc>
          <w:tcPr>
            <w:tcW w:w="1596" w:type="dxa"/>
          </w:tcPr>
          <w:p w14:paraId="45F00375"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BR</w:t>
            </w:r>
          </w:p>
        </w:tc>
        <w:tc>
          <w:tcPr>
            <w:tcW w:w="7339" w:type="dxa"/>
          </w:tcPr>
          <w:p w14:paraId="23C1785F"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Evalúe si es apropiado incluir una política de ciclo de vida del desarrollo de programas informáticos (SDLC) como requisito dentro de alguna de las recomendaciones. </w:t>
            </w:r>
          </w:p>
        </w:tc>
      </w:tr>
      <w:tr w:rsidR="000A5AD3" w:rsidRPr="002A4BDC" w14:paraId="69EFD7BE" w14:textId="77777777" w:rsidTr="002A4BDC">
        <w:tc>
          <w:tcPr>
            <w:tcW w:w="1596" w:type="dxa"/>
          </w:tcPr>
          <w:p w14:paraId="66676A63"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CA</w:t>
            </w:r>
          </w:p>
        </w:tc>
        <w:tc>
          <w:tcPr>
            <w:tcW w:w="7339" w:type="dxa"/>
          </w:tcPr>
          <w:p w14:paraId="286947AF"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No, no hay mejoras que puedan proponerse en este momento. </w:t>
            </w:r>
          </w:p>
        </w:tc>
      </w:tr>
      <w:tr w:rsidR="000A5AD3" w:rsidRPr="002A4BDC" w14:paraId="7175819F" w14:textId="77777777" w:rsidTr="002A4BDC">
        <w:tc>
          <w:tcPr>
            <w:tcW w:w="1596" w:type="dxa"/>
          </w:tcPr>
          <w:p w14:paraId="313485B1"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EM</w:t>
            </w:r>
          </w:p>
        </w:tc>
        <w:tc>
          <w:tcPr>
            <w:tcW w:w="7339" w:type="dxa"/>
          </w:tcPr>
          <w:p w14:paraId="46F99FD5"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No </w:t>
            </w:r>
          </w:p>
        </w:tc>
      </w:tr>
      <w:tr w:rsidR="000A5AD3" w:rsidRPr="002A4BDC" w14:paraId="23D6D298" w14:textId="77777777" w:rsidTr="002A4BDC">
        <w:tc>
          <w:tcPr>
            <w:tcW w:w="1596" w:type="dxa"/>
          </w:tcPr>
          <w:p w14:paraId="43FAA965"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EP</w:t>
            </w:r>
          </w:p>
        </w:tc>
        <w:tc>
          <w:tcPr>
            <w:tcW w:w="7339" w:type="dxa"/>
          </w:tcPr>
          <w:p w14:paraId="0241729E" w14:textId="3D425319" w:rsidR="000A5AD3" w:rsidRPr="002A4BDC" w:rsidRDefault="000A5AD3" w:rsidP="0006309C">
            <w:pPr>
              <w:spacing w:after="0"/>
              <w:rPr>
                <w:rFonts w:asciiTheme="minorBidi" w:hAnsiTheme="minorBidi" w:cstheme="minorBidi"/>
                <w:lang w:val="es-ES_tradnl"/>
              </w:rPr>
            </w:pPr>
            <w:r w:rsidRPr="002A4BDC">
              <w:rPr>
                <w:rStyle w:val="text"/>
                <w:lang w:val="es-ES_tradnl"/>
              </w:rPr>
              <w:t>No disponible en la actualidad.</w:t>
            </w:r>
            <w:r w:rsidR="003A2C82" w:rsidRPr="002A4BDC">
              <w:rPr>
                <w:rStyle w:val="text"/>
                <w:lang w:val="es-ES_tradnl"/>
              </w:rPr>
              <w:t xml:space="preserve"> </w:t>
            </w:r>
            <w:r w:rsidRPr="002A4BDC">
              <w:rPr>
                <w:rStyle w:val="text"/>
                <w:lang w:val="es-ES_tradnl"/>
              </w:rPr>
              <w:t xml:space="preserve">Notas extraídas de P.7 - Plan Estratégico OEP 2028 : https://link.epo.org/web/about-us/office/en-epo-strategic-plan-2028.pdf Plan Estratégico 2028 Objetivo general: Sostenibilidad a través de 5 factores impulsores clave 1: Personas; 2: Tecnología; 3: Productos y servicios puntuales y de alta calidad; 4: Alianzas; 5: Sostenibilidad financiera </w:t>
            </w:r>
          </w:p>
        </w:tc>
      </w:tr>
      <w:tr w:rsidR="000A5AD3" w:rsidRPr="002A4BDC" w14:paraId="65A4EF28" w14:textId="77777777" w:rsidTr="002A4BDC">
        <w:tc>
          <w:tcPr>
            <w:tcW w:w="1596" w:type="dxa"/>
          </w:tcPr>
          <w:p w14:paraId="0359D7BC"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ES</w:t>
            </w:r>
          </w:p>
        </w:tc>
        <w:tc>
          <w:tcPr>
            <w:tcW w:w="7339" w:type="dxa"/>
          </w:tcPr>
          <w:p w14:paraId="28B5E87E"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Hemos participado en la elaboración de las diez recomendaciones y creemos que están bien. </w:t>
            </w:r>
          </w:p>
        </w:tc>
      </w:tr>
      <w:tr w:rsidR="000A5AD3" w:rsidRPr="002A4BDC" w14:paraId="0F3E6E51" w14:textId="77777777" w:rsidTr="002A4BDC">
        <w:tc>
          <w:tcPr>
            <w:tcW w:w="1596" w:type="dxa"/>
          </w:tcPr>
          <w:p w14:paraId="0377B304"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FI</w:t>
            </w:r>
          </w:p>
        </w:tc>
        <w:tc>
          <w:tcPr>
            <w:tcW w:w="7339" w:type="dxa"/>
          </w:tcPr>
          <w:p w14:paraId="221B5FFF" w14:textId="63443C5D" w:rsidR="000A5AD3" w:rsidRPr="002A4BDC" w:rsidRDefault="000A5AD3" w:rsidP="0006309C">
            <w:pPr>
              <w:spacing w:after="0"/>
              <w:rPr>
                <w:rFonts w:asciiTheme="minorBidi" w:hAnsiTheme="minorBidi" w:cstheme="minorBidi"/>
                <w:lang w:val="es-ES_tradnl"/>
              </w:rPr>
            </w:pPr>
            <w:r w:rsidRPr="002A4BDC">
              <w:rPr>
                <w:rStyle w:val="text"/>
                <w:lang w:val="es-ES_tradnl"/>
              </w:rPr>
              <w:t>No en este momento.</w:t>
            </w:r>
            <w:r w:rsidR="003A2C82" w:rsidRPr="002A4BDC">
              <w:rPr>
                <w:rStyle w:val="text"/>
                <w:lang w:val="es-ES_tradnl"/>
              </w:rPr>
              <w:t xml:space="preserve"> </w:t>
            </w:r>
          </w:p>
        </w:tc>
      </w:tr>
      <w:tr w:rsidR="000A5AD3" w:rsidRPr="002A4BDC" w14:paraId="67500869" w14:textId="77777777" w:rsidTr="002A4BDC">
        <w:tc>
          <w:tcPr>
            <w:tcW w:w="1596" w:type="dxa"/>
          </w:tcPr>
          <w:p w14:paraId="691AC123"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GM</w:t>
            </w:r>
          </w:p>
        </w:tc>
        <w:tc>
          <w:tcPr>
            <w:tcW w:w="7339" w:type="dxa"/>
          </w:tcPr>
          <w:p w14:paraId="42703FE5" w14:textId="3DD737BB"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Sí. Estamos trabajando en la aplicación de algunas de las recomendaciones. El apoyo de IPAS de la OMPI y del equipo de la base de datos mundial de marcas está ayudando a remediar la mayoría de nuestros procesos de aplicación. </w:t>
            </w:r>
          </w:p>
        </w:tc>
      </w:tr>
      <w:tr w:rsidR="000A5AD3" w:rsidRPr="002A4BDC" w14:paraId="5EF0428C" w14:textId="77777777" w:rsidTr="002A4BDC">
        <w:tc>
          <w:tcPr>
            <w:tcW w:w="1596" w:type="dxa"/>
          </w:tcPr>
          <w:p w14:paraId="045F8448"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IE</w:t>
            </w:r>
          </w:p>
        </w:tc>
        <w:tc>
          <w:tcPr>
            <w:tcW w:w="7339" w:type="dxa"/>
          </w:tcPr>
          <w:p w14:paraId="5F62735B"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n. a. </w:t>
            </w:r>
          </w:p>
        </w:tc>
      </w:tr>
      <w:tr w:rsidR="000A5AD3" w:rsidRPr="002A4BDC" w14:paraId="691E9B71" w14:textId="77777777" w:rsidTr="002A4BDC">
        <w:tc>
          <w:tcPr>
            <w:tcW w:w="1596" w:type="dxa"/>
          </w:tcPr>
          <w:p w14:paraId="4235E28E"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PE</w:t>
            </w:r>
          </w:p>
        </w:tc>
        <w:tc>
          <w:tcPr>
            <w:tcW w:w="7339" w:type="dxa"/>
          </w:tcPr>
          <w:p w14:paraId="2841386E" w14:textId="4D171504" w:rsidR="000A5AD3" w:rsidRPr="002A4BDC" w:rsidRDefault="00097F4F" w:rsidP="0006309C">
            <w:pPr>
              <w:spacing w:after="0"/>
              <w:rPr>
                <w:rStyle w:val="text"/>
                <w:lang w:val="es-ES_tradnl"/>
              </w:rPr>
            </w:pPr>
            <w:r w:rsidRPr="002A4BDC">
              <w:rPr>
                <w:rStyle w:val="text"/>
                <w:lang w:val="es-ES_tradnl"/>
              </w:rPr>
              <w:t>No</w:t>
            </w:r>
          </w:p>
        </w:tc>
      </w:tr>
      <w:tr w:rsidR="000A5AD3" w:rsidRPr="002A4BDC" w14:paraId="0F7D06EE" w14:textId="77777777" w:rsidTr="002A4BDC">
        <w:tc>
          <w:tcPr>
            <w:tcW w:w="1596" w:type="dxa"/>
          </w:tcPr>
          <w:p w14:paraId="563E22D4"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PY</w:t>
            </w:r>
          </w:p>
        </w:tc>
        <w:tc>
          <w:tcPr>
            <w:tcW w:w="7339" w:type="dxa"/>
          </w:tcPr>
          <w:p w14:paraId="28CB049F" w14:textId="38EAFBF5" w:rsidR="000A5AD3" w:rsidRPr="002A4BDC" w:rsidRDefault="000A5AD3" w:rsidP="0006309C">
            <w:pPr>
              <w:spacing w:after="0"/>
              <w:rPr>
                <w:rFonts w:asciiTheme="minorBidi" w:hAnsiTheme="minorBidi" w:cstheme="minorBidi"/>
                <w:lang w:val="es-ES_tradnl"/>
              </w:rPr>
            </w:pPr>
            <w:r w:rsidRPr="002A4BDC">
              <w:rPr>
                <w:rStyle w:val="text"/>
                <w:lang w:val="es-ES_tradnl"/>
              </w:rPr>
              <w:t>Ninguna propuesta.</w:t>
            </w:r>
          </w:p>
        </w:tc>
      </w:tr>
      <w:tr w:rsidR="000A5AD3" w:rsidRPr="002A4BDC" w14:paraId="39ADAB6C" w14:textId="77777777" w:rsidTr="002A4BDC">
        <w:tc>
          <w:tcPr>
            <w:tcW w:w="1596" w:type="dxa"/>
          </w:tcPr>
          <w:p w14:paraId="4A7F90A8"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RU</w:t>
            </w:r>
          </w:p>
        </w:tc>
        <w:tc>
          <w:tcPr>
            <w:tcW w:w="7339" w:type="dxa"/>
          </w:tcPr>
          <w:p w14:paraId="1ADD5FB7"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De momento no tenemos ninguna propuesta. </w:t>
            </w:r>
          </w:p>
        </w:tc>
      </w:tr>
      <w:tr w:rsidR="000A5AD3" w:rsidRPr="002A4BDC" w14:paraId="5E7F394C" w14:textId="77777777" w:rsidTr="002A4BDC">
        <w:tc>
          <w:tcPr>
            <w:tcW w:w="1596" w:type="dxa"/>
          </w:tcPr>
          <w:p w14:paraId="56963410"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US</w:t>
            </w:r>
          </w:p>
        </w:tc>
        <w:tc>
          <w:tcPr>
            <w:tcW w:w="7339" w:type="dxa"/>
          </w:tcPr>
          <w:p w14:paraId="5B581DE1"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No en este momento </w:t>
            </w:r>
          </w:p>
        </w:tc>
      </w:tr>
    </w:tbl>
    <w:p w14:paraId="2F4482F8" w14:textId="77777777" w:rsidR="00A10BF7" w:rsidRPr="002A4BDC" w:rsidRDefault="00A10BF7">
      <w:pPr>
        <w:rPr>
          <w:rFonts w:asciiTheme="minorBidi" w:hAnsiTheme="minorBidi" w:cstheme="minorBidi"/>
          <w:lang w:val="es-ES_tradnl"/>
        </w:rPr>
        <w:sectPr w:rsidR="00A10BF7" w:rsidRPr="002A4BDC">
          <w:pgSz w:w="11905" w:h="16837"/>
          <w:pgMar w:top="1440" w:right="1440" w:bottom="1440" w:left="1440" w:header="720" w:footer="720" w:gutter="0"/>
          <w:cols w:space="720"/>
        </w:sectPr>
      </w:pPr>
    </w:p>
    <w:bookmarkStart w:id="8" w:name="_Toc11"/>
    <w:p w14:paraId="72612B93" w14:textId="04133B9A" w:rsidR="00A10BF7" w:rsidRPr="002A4BDC" w:rsidRDefault="00F01C34" w:rsidP="002A4BDC">
      <w:pPr>
        <w:pStyle w:val="headingsubHeader"/>
        <w:tabs>
          <w:tab w:val="left" w:pos="567"/>
        </w:tabs>
        <w:rPr>
          <w:lang w:val="es-ES_tradnl"/>
        </w:rPr>
      </w:pPr>
      <w:r w:rsidRPr="002A4BDC">
        <w:rPr>
          <w:lang w:val="es-ES_tradnl"/>
        </w:rPr>
        <w:fldChar w:fldCharType="begin"/>
      </w:r>
      <w:r w:rsidRPr="002A4BDC">
        <w:rPr>
          <w:lang w:val="es-ES_tradnl"/>
        </w:rPr>
        <w:instrText xml:space="preserve"> AUTONUM  </w:instrText>
      </w:r>
      <w:r w:rsidRPr="002A4BDC">
        <w:rPr>
          <w:lang w:val="es-ES_tradnl"/>
        </w:rPr>
        <w:fldChar w:fldCharType="end"/>
      </w:r>
      <w:r w:rsidRPr="002A4BDC">
        <w:rPr>
          <w:lang w:val="es-ES_tradnl"/>
        </w:rPr>
        <w:tab/>
        <w:t>¿Cuál de las diez recomendaciones actuales le gustaría más que se debatiera y presentara en futuras reuniones del grupo de trabajo?</w:t>
      </w:r>
      <w:r w:rsidR="003A2C82" w:rsidRPr="002A4BDC">
        <w:rPr>
          <w:lang w:val="es-ES_tradnl"/>
        </w:rPr>
        <w:t xml:space="preserve"> </w:t>
      </w:r>
      <w:r w:rsidRPr="002A4BDC">
        <w:rPr>
          <w:lang w:val="es-ES_tradnl"/>
        </w:rPr>
        <w:t>Puede incluir demostraciones u otras actividades.</w:t>
      </w:r>
      <w:bookmarkEnd w:id="8"/>
    </w:p>
    <w:tbl>
      <w:tblPr>
        <w:tblStyle w:val="table"/>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423"/>
      </w:tblGrid>
      <w:tr w:rsidR="000A5AD3" w:rsidRPr="002A4BDC" w14:paraId="1AB077AD" w14:textId="77777777" w:rsidTr="002A4BDC">
        <w:tc>
          <w:tcPr>
            <w:tcW w:w="1512" w:type="dxa"/>
            <w:shd w:val="clear" w:color="auto" w:fill="1F497D" w:themeFill="text2"/>
          </w:tcPr>
          <w:p w14:paraId="1E6487F4" w14:textId="77777777" w:rsidR="000A5AD3" w:rsidRPr="002A4BDC" w:rsidRDefault="000A5AD3"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Código de la Norma ST.3</w:t>
            </w:r>
          </w:p>
        </w:tc>
        <w:tc>
          <w:tcPr>
            <w:tcW w:w="7423" w:type="dxa"/>
            <w:shd w:val="clear" w:color="auto" w:fill="1F497D" w:themeFill="text2"/>
          </w:tcPr>
          <w:p w14:paraId="11C05603" w14:textId="77777777" w:rsidR="000A5AD3" w:rsidRPr="002A4BDC" w:rsidRDefault="000A5AD3" w:rsidP="0006309C">
            <w:pPr>
              <w:spacing w:after="0"/>
              <w:rPr>
                <w:rFonts w:asciiTheme="minorBidi" w:hAnsiTheme="minorBidi" w:cstheme="minorBidi"/>
                <w:b/>
                <w:bCs/>
                <w:color w:val="FFFFFF" w:themeColor="background1"/>
                <w:lang w:val="es-ES_tradnl"/>
              </w:rPr>
            </w:pPr>
            <w:r w:rsidRPr="002A4BDC">
              <w:rPr>
                <w:rStyle w:val="text"/>
                <w:b/>
                <w:color w:val="FFFFFF" w:themeColor="background1"/>
                <w:lang w:val="es-ES_tradnl"/>
              </w:rPr>
              <w:t xml:space="preserve">Respuesta </w:t>
            </w:r>
          </w:p>
        </w:tc>
      </w:tr>
      <w:tr w:rsidR="000A5AD3" w:rsidRPr="002A4BDC" w14:paraId="22B75E24" w14:textId="77777777" w:rsidTr="002A4BDC">
        <w:tc>
          <w:tcPr>
            <w:tcW w:w="1512" w:type="dxa"/>
          </w:tcPr>
          <w:p w14:paraId="7EEBDF5E"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AU</w:t>
            </w:r>
          </w:p>
        </w:tc>
        <w:tc>
          <w:tcPr>
            <w:tcW w:w="7423" w:type="dxa"/>
          </w:tcPr>
          <w:p w14:paraId="39E509D7"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Rec: 10 : A IP Australia le interesaría saber cómo enfocan otras Oficinas de PI las tecnologías emergentes y en rápida evolución, dado el abanico de oportunidades y riesgos que presentan. </w:t>
            </w:r>
          </w:p>
        </w:tc>
      </w:tr>
      <w:tr w:rsidR="000A5AD3" w:rsidRPr="002A4BDC" w14:paraId="7DC311DD" w14:textId="77777777" w:rsidTr="002A4BDC">
        <w:tc>
          <w:tcPr>
            <w:tcW w:w="1512" w:type="dxa"/>
          </w:tcPr>
          <w:p w14:paraId="6FA3472B"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BR</w:t>
            </w:r>
          </w:p>
        </w:tc>
        <w:tc>
          <w:tcPr>
            <w:tcW w:w="7423" w:type="dxa"/>
          </w:tcPr>
          <w:p w14:paraId="65EE3062"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Le agradeceríamos que nos presentara recomendaciones: 3, 7, 8 y 10. </w:t>
            </w:r>
          </w:p>
        </w:tc>
      </w:tr>
      <w:tr w:rsidR="000A5AD3" w:rsidRPr="002A4BDC" w14:paraId="352D84E9" w14:textId="77777777" w:rsidTr="002A4BDC">
        <w:tc>
          <w:tcPr>
            <w:tcW w:w="1512" w:type="dxa"/>
          </w:tcPr>
          <w:p w14:paraId="3F914B90"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CA</w:t>
            </w:r>
          </w:p>
        </w:tc>
        <w:tc>
          <w:tcPr>
            <w:tcW w:w="7423" w:type="dxa"/>
          </w:tcPr>
          <w:p w14:paraId="440CABF4"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Recomendación 9 - El intercambio de experiencias es de gran valor para ISED/CIPO y probablemente para todos los participantes en las TIC de la OMPI. </w:t>
            </w:r>
          </w:p>
        </w:tc>
      </w:tr>
      <w:tr w:rsidR="000A5AD3" w:rsidRPr="002A4BDC" w14:paraId="3EAAE6A2" w14:textId="77777777" w:rsidTr="002A4BDC">
        <w:tc>
          <w:tcPr>
            <w:tcW w:w="1512" w:type="dxa"/>
          </w:tcPr>
          <w:p w14:paraId="2E50AD3F"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EM</w:t>
            </w:r>
          </w:p>
        </w:tc>
        <w:tc>
          <w:tcPr>
            <w:tcW w:w="7423" w:type="dxa"/>
          </w:tcPr>
          <w:p w14:paraId="6813121E" w14:textId="5951E1F0" w:rsidR="000A5AD3" w:rsidRPr="002A4BDC" w:rsidRDefault="000A5AD3" w:rsidP="0006309C">
            <w:pPr>
              <w:spacing w:after="0"/>
              <w:rPr>
                <w:rFonts w:asciiTheme="minorBidi" w:hAnsiTheme="minorBidi" w:cstheme="minorBidi"/>
                <w:lang w:val="es-ES_tradnl"/>
              </w:rPr>
            </w:pPr>
            <w:r w:rsidRPr="002A4BDC">
              <w:rPr>
                <w:rStyle w:val="text"/>
                <w:lang w:val="es-ES_tradnl"/>
              </w:rPr>
              <w:t>Ciberseguridad, evolución de las herramientas de IA, estrategias de migración a la nube,</w:t>
            </w:r>
            <w:r w:rsidR="003A2C82" w:rsidRPr="002A4BDC">
              <w:rPr>
                <w:rStyle w:val="text"/>
                <w:lang w:val="es-ES_tradnl"/>
              </w:rPr>
              <w:t xml:space="preserve"> </w:t>
            </w:r>
          </w:p>
        </w:tc>
      </w:tr>
      <w:tr w:rsidR="000A5AD3" w:rsidRPr="002A4BDC" w14:paraId="79EE9BD5" w14:textId="77777777" w:rsidTr="002A4BDC">
        <w:tc>
          <w:tcPr>
            <w:tcW w:w="1512" w:type="dxa"/>
          </w:tcPr>
          <w:p w14:paraId="3D5EB79C"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EP</w:t>
            </w:r>
          </w:p>
        </w:tc>
        <w:tc>
          <w:tcPr>
            <w:tcW w:w="7423" w:type="dxa"/>
          </w:tcPr>
          <w:p w14:paraId="75B69E94"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Recomendaciones: 2, 4, 8 10. </w:t>
            </w:r>
          </w:p>
        </w:tc>
      </w:tr>
      <w:tr w:rsidR="000A5AD3" w:rsidRPr="002A4BDC" w14:paraId="0B27A49C" w14:textId="77777777" w:rsidTr="002A4BDC">
        <w:tc>
          <w:tcPr>
            <w:tcW w:w="1512" w:type="dxa"/>
          </w:tcPr>
          <w:p w14:paraId="51DD3530"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ES</w:t>
            </w:r>
          </w:p>
        </w:tc>
        <w:tc>
          <w:tcPr>
            <w:tcW w:w="7423" w:type="dxa"/>
          </w:tcPr>
          <w:p w14:paraId="2E4E4130" w14:textId="29D0C8C3"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Rec.10, con especial atención a la gobernanza y la gestión y evaluación de riesgos. </w:t>
            </w:r>
          </w:p>
        </w:tc>
      </w:tr>
      <w:tr w:rsidR="000A5AD3" w:rsidRPr="002A4BDC" w14:paraId="6E54A30C" w14:textId="77777777" w:rsidTr="002A4BDC">
        <w:tc>
          <w:tcPr>
            <w:tcW w:w="1512" w:type="dxa"/>
          </w:tcPr>
          <w:p w14:paraId="0AE2A3CE"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FI</w:t>
            </w:r>
          </w:p>
        </w:tc>
        <w:tc>
          <w:tcPr>
            <w:tcW w:w="7423" w:type="dxa"/>
          </w:tcPr>
          <w:p w14:paraId="33B2D2FA"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Recomendaciones 8 y 9 </w:t>
            </w:r>
          </w:p>
        </w:tc>
      </w:tr>
      <w:tr w:rsidR="000A5AD3" w:rsidRPr="002A4BDC" w14:paraId="6D5C1F5A" w14:textId="77777777" w:rsidTr="002A4BDC">
        <w:tc>
          <w:tcPr>
            <w:tcW w:w="1512" w:type="dxa"/>
          </w:tcPr>
          <w:p w14:paraId="40000895"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GE</w:t>
            </w:r>
          </w:p>
        </w:tc>
        <w:tc>
          <w:tcPr>
            <w:tcW w:w="7423" w:type="dxa"/>
          </w:tcPr>
          <w:p w14:paraId="5C561478" w14:textId="21285E2F"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Dado que la DPMA ya ha aplicado estas diez recomendaciones, no vemos la necesidad de seguir actualizándolas o debatiéndolas. Dejamos en manos de las oficinas de PI, que están en vías de aplicar estas recomendaciones, la selección de los temas que se debatirán en el futuro. </w:t>
            </w:r>
          </w:p>
        </w:tc>
      </w:tr>
      <w:tr w:rsidR="000A5AD3" w:rsidRPr="002A4BDC" w14:paraId="1BE512AA" w14:textId="77777777" w:rsidTr="002A4BDC">
        <w:tc>
          <w:tcPr>
            <w:tcW w:w="1512" w:type="dxa"/>
          </w:tcPr>
          <w:p w14:paraId="022B9EC9"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GM</w:t>
            </w:r>
          </w:p>
        </w:tc>
        <w:tc>
          <w:tcPr>
            <w:tcW w:w="7423" w:type="dxa"/>
          </w:tcPr>
          <w:p w14:paraId="5E772576"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Rec: 9. Esta es nuestra esfera de interés. Queremos aprender, por influencia de compañeros, de la experiencia e información de otras oficinas sobre planificación, gestión, ejecución y evaluación de proyectos TIC. </w:t>
            </w:r>
          </w:p>
        </w:tc>
      </w:tr>
      <w:tr w:rsidR="000A5AD3" w:rsidRPr="002A4BDC" w14:paraId="199FD418" w14:textId="77777777" w:rsidTr="002A4BDC">
        <w:tc>
          <w:tcPr>
            <w:tcW w:w="1512" w:type="dxa"/>
          </w:tcPr>
          <w:p w14:paraId="3E09B25D"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HR</w:t>
            </w:r>
          </w:p>
        </w:tc>
        <w:tc>
          <w:tcPr>
            <w:tcW w:w="7423" w:type="dxa"/>
          </w:tcPr>
          <w:p w14:paraId="150C72E1" w14:textId="49B2A3C0"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Recomendaciones 3, 5 y 10. </w:t>
            </w:r>
          </w:p>
        </w:tc>
      </w:tr>
      <w:tr w:rsidR="000A5AD3" w:rsidRPr="002A4BDC" w14:paraId="53BBAAA2" w14:textId="77777777" w:rsidTr="002A4BDC">
        <w:tc>
          <w:tcPr>
            <w:tcW w:w="1512" w:type="dxa"/>
          </w:tcPr>
          <w:p w14:paraId="23985298"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IE</w:t>
            </w:r>
          </w:p>
        </w:tc>
        <w:tc>
          <w:tcPr>
            <w:tcW w:w="7423" w:type="dxa"/>
          </w:tcPr>
          <w:p w14:paraId="25A55BB3" w14:textId="2D397F99" w:rsidR="000A5AD3" w:rsidRPr="002A4BDC" w:rsidRDefault="000A5AD3" w:rsidP="0006309C">
            <w:pPr>
              <w:spacing w:after="0"/>
              <w:rPr>
                <w:rFonts w:asciiTheme="minorBidi" w:hAnsiTheme="minorBidi" w:cstheme="minorBidi"/>
                <w:lang w:val="es-ES_tradnl"/>
              </w:rPr>
            </w:pPr>
            <w:r w:rsidRPr="002A4BDC">
              <w:rPr>
                <w:rStyle w:val="text"/>
                <w:lang w:val="es-ES_tradnl"/>
              </w:rPr>
              <w:t>Recomendación 5, por la que las oficinas de PI compartirían sus experiencias y soluciones de digitalización.</w:t>
            </w:r>
            <w:r w:rsidR="003A2C82" w:rsidRPr="002A4BDC">
              <w:rPr>
                <w:rStyle w:val="text"/>
                <w:lang w:val="es-ES_tradnl"/>
              </w:rPr>
              <w:t xml:space="preserve"> </w:t>
            </w:r>
          </w:p>
        </w:tc>
      </w:tr>
      <w:tr w:rsidR="000A5AD3" w:rsidRPr="002A4BDC" w14:paraId="6D07484C" w14:textId="77777777" w:rsidTr="002A4BDC">
        <w:tc>
          <w:tcPr>
            <w:tcW w:w="1512" w:type="dxa"/>
          </w:tcPr>
          <w:p w14:paraId="618DE310"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IL</w:t>
            </w:r>
          </w:p>
        </w:tc>
        <w:tc>
          <w:tcPr>
            <w:tcW w:w="7423" w:type="dxa"/>
          </w:tcPr>
          <w:p w14:paraId="1B4CD154" w14:textId="7957E7E4" w:rsidR="000A5AD3" w:rsidRPr="002A4BDC" w:rsidRDefault="000A5AD3" w:rsidP="0006309C">
            <w:pPr>
              <w:spacing w:after="0"/>
              <w:rPr>
                <w:rFonts w:asciiTheme="minorBidi" w:hAnsiTheme="minorBidi" w:cstheme="minorBidi"/>
                <w:lang w:val="es-ES_tradnl"/>
              </w:rPr>
            </w:pPr>
            <w:r w:rsidRPr="002A4BDC">
              <w:rPr>
                <w:rStyle w:val="text"/>
                <w:lang w:val="es-ES_tradnl"/>
              </w:rPr>
              <w:t>Recomendación 10</w:t>
            </w:r>
            <w:r w:rsidR="003A2C82" w:rsidRPr="002A4BDC">
              <w:rPr>
                <w:rStyle w:val="text"/>
                <w:lang w:val="es-ES_tradnl"/>
              </w:rPr>
              <w:t xml:space="preserve"> </w:t>
            </w:r>
          </w:p>
        </w:tc>
      </w:tr>
      <w:tr w:rsidR="000A5AD3" w:rsidRPr="002A4BDC" w14:paraId="4F80FD45" w14:textId="77777777" w:rsidTr="002A4BDC">
        <w:tc>
          <w:tcPr>
            <w:tcW w:w="1512" w:type="dxa"/>
          </w:tcPr>
          <w:p w14:paraId="4B6D8212"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PE</w:t>
            </w:r>
          </w:p>
        </w:tc>
        <w:tc>
          <w:tcPr>
            <w:tcW w:w="7423" w:type="dxa"/>
          </w:tcPr>
          <w:p w14:paraId="4323CD1F"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Recomendación 5 </w:t>
            </w:r>
          </w:p>
        </w:tc>
      </w:tr>
      <w:tr w:rsidR="000A5AD3" w:rsidRPr="002A4BDC" w14:paraId="3E860219" w14:textId="77777777" w:rsidTr="002A4BDC">
        <w:tc>
          <w:tcPr>
            <w:tcW w:w="1512" w:type="dxa"/>
          </w:tcPr>
          <w:p w14:paraId="22812632"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PY</w:t>
            </w:r>
          </w:p>
        </w:tc>
        <w:tc>
          <w:tcPr>
            <w:tcW w:w="7423" w:type="dxa"/>
          </w:tcPr>
          <w:p w14:paraId="4FA315BE" w14:textId="7CB4F2F3" w:rsidR="000A5AD3" w:rsidRPr="002A4BDC" w:rsidRDefault="000A5AD3" w:rsidP="0006309C">
            <w:pPr>
              <w:spacing w:after="0"/>
              <w:rPr>
                <w:rFonts w:asciiTheme="minorBidi" w:hAnsiTheme="minorBidi" w:cstheme="minorBidi"/>
                <w:lang w:val="es-ES_tradnl"/>
              </w:rPr>
            </w:pPr>
            <w:r w:rsidRPr="002A4BDC">
              <w:rPr>
                <w:rStyle w:val="text"/>
                <w:lang w:val="es-ES_tradnl"/>
              </w:rPr>
              <w:t>Hay tres: Recomendación 1, Recomendación 10, Recomendación 2.</w:t>
            </w:r>
          </w:p>
        </w:tc>
      </w:tr>
      <w:tr w:rsidR="000A5AD3" w:rsidRPr="002A4BDC" w14:paraId="031A2D72" w14:textId="77777777" w:rsidTr="002A4BDC">
        <w:tc>
          <w:tcPr>
            <w:tcW w:w="1512" w:type="dxa"/>
          </w:tcPr>
          <w:p w14:paraId="360B5E63"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RU</w:t>
            </w:r>
          </w:p>
        </w:tc>
        <w:tc>
          <w:tcPr>
            <w:tcW w:w="7423" w:type="dxa"/>
          </w:tcPr>
          <w:p w14:paraId="6D30C59E"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2, 3, 10 </w:t>
            </w:r>
          </w:p>
        </w:tc>
      </w:tr>
      <w:tr w:rsidR="000A5AD3" w:rsidRPr="002A4BDC" w14:paraId="20CFF0F6" w14:textId="77777777" w:rsidTr="002A4BDC">
        <w:tc>
          <w:tcPr>
            <w:tcW w:w="1512" w:type="dxa"/>
          </w:tcPr>
          <w:p w14:paraId="1E4E2963" w14:textId="77777777" w:rsidR="000A5AD3" w:rsidRPr="002A4BDC" w:rsidRDefault="000A5AD3" w:rsidP="0006309C">
            <w:pPr>
              <w:spacing w:after="0"/>
              <w:rPr>
                <w:rFonts w:asciiTheme="minorBidi" w:hAnsiTheme="minorBidi" w:cstheme="minorBidi"/>
                <w:lang w:val="es-ES_tradnl"/>
              </w:rPr>
            </w:pPr>
            <w:r w:rsidRPr="002A4BDC">
              <w:rPr>
                <w:rFonts w:asciiTheme="minorBidi" w:hAnsiTheme="minorBidi"/>
                <w:lang w:val="es-ES_tradnl"/>
              </w:rPr>
              <w:t>US</w:t>
            </w:r>
          </w:p>
        </w:tc>
        <w:tc>
          <w:tcPr>
            <w:tcW w:w="7423" w:type="dxa"/>
          </w:tcPr>
          <w:p w14:paraId="37966C92" w14:textId="77777777" w:rsidR="000A5AD3" w:rsidRPr="002A4BDC" w:rsidRDefault="000A5AD3" w:rsidP="0006309C">
            <w:pPr>
              <w:spacing w:after="0"/>
              <w:rPr>
                <w:rFonts w:asciiTheme="minorBidi" w:hAnsiTheme="minorBidi" w:cstheme="minorBidi"/>
                <w:lang w:val="es-ES_tradnl"/>
              </w:rPr>
            </w:pPr>
            <w:r w:rsidRPr="002A4BDC">
              <w:rPr>
                <w:rStyle w:val="text"/>
                <w:lang w:val="es-ES_tradnl"/>
              </w:rPr>
              <w:t xml:space="preserve">Interesados en todas las recomendaciones, especialmente las recomendaciones 2, 3, 4,8,9,10 </w:t>
            </w:r>
          </w:p>
        </w:tc>
      </w:tr>
    </w:tbl>
    <w:p w14:paraId="21F50CC6" w14:textId="77777777" w:rsidR="001E1FE3" w:rsidRDefault="001E1FE3" w:rsidP="001E1FE3">
      <w:pPr>
        <w:spacing w:before="300" w:after="0" w:line="240" w:lineRule="auto"/>
        <w:ind w:left="5528"/>
        <w:rPr>
          <w:lang w:val="es-ES_tradnl"/>
        </w:rPr>
      </w:pPr>
    </w:p>
    <w:p w14:paraId="3B18D753" w14:textId="60B52FBB" w:rsidR="0008117B" w:rsidRPr="002A4BDC" w:rsidRDefault="00452AF6" w:rsidP="003A2C82">
      <w:pPr>
        <w:spacing w:before="600" w:after="0" w:line="240" w:lineRule="auto"/>
        <w:ind w:left="5528"/>
        <w:rPr>
          <w:lang w:val="es-ES_tradnl"/>
        </w:rPr>
      </w:pPr>
      <w:r w:rsidRPr="002A4BDC">
        <w:rPr>
          <w:lang w:val="es-ES_tradnl"/>
        </w:rPr>
        <w:t>[Fin del Anexo y del documento]</w:t>
      </w:r>
    </w:p>
    <w:sectPr w:rsidR="0008117B" w:rsidRPr="002A4BDC">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EA40" w14:textId="77777777" w:rsidR="00BB1FC9" w:rsidRDefault="00BB1FC9" w:rsidP="00DA0A53">
      <w:pPr>
        <w:spacing w:after="0" w:line="240" w:lineRule="auto"/>
      </w:pPr>
      <w:r>
        <w:separator/>
      </w:r>
    </w:p>
  </w:endnote>
  <w:endnote w:type="continuationSeparator" w:id="0">
    <w:p w14:paraId="52380A1B" w14:textId="77777777" w:rsidR="00BB1FC9" w:rsidRDefault="00BB1FC9" w:rsidP="00DA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B3E4" w14:textId="77777777" w:rsidR="00BB1FC9" w:rsidRDefault="00BB1FC9" w:rsidP="00DA0A53">
      <w:pPr>
        <w:spacing w:after="0" w:line="240" w:lineRule="auto"/>
      </w:pPr>
      <w:r>
        <w:separator/>
      </w:r>
    </w:p>
  </w:footnote>
  <w:footnote w:type="continuationSeparator" w:id="0">
    <w:p w14:paraId="727B306B" w14:textId="77777777" w:rsidR="00BB1FC9" w:rsidRDefault="00BB1FC9" w:rsidP="00DA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0FDF" w14:textId="77777777" w:rsidR="00EA1614" w:rsidRPr="007B19D2" w:rsidRDefault="00EA1614" w:rsidP="00EA1614">
    <w:pPr>
      <w:pStyle w:val="Header"/>
      <w:jc w:val="right"/>
      <w:rPr>
        <w:sz w:val="22"/>
        <w:szCs w:val="22"/>
      </w:rPr>
    </w:pPr>
    <w:r>
      <w:rPr>
        <w:sz w:val="22"/>
      </w:rPr>
      <w:t>CWS/13/26</w:t>
    </w:r>
  </w:p>
  <w:p w14:paraId="1164B41C" w14:textId="77777777" w:rsidR="00EA1614" w:rsidRPr="007B19D2" w:rsidRDefault="00EA1614" w:rsidP="00EA1614">
    <w:pPr>
      <w:pStyle w:val="Header"/>
      <w:jc w:val="right"/>
      <w:rPr>
        <w:sz w:val="22"/>
        <w:szCs w:val="22"/>
      </w:rPr>
    </w:pPr>
    <w:r>
      <w:rPr>
        <w:sz w:val="22"/>
      </w:rPr>
      <w:t xml:space="preserve">Anexo, página </w:t>
    </w:r>
    <w:r w:rsidRPr="007B19D2">
      <w:rPr>
        <w:sz w:val="22"/>
      </w:rPr>
      <w:fldChar w:fldCharType="begin"/>
    </w:r>
    <w:r w:rsidRPr="007B19D2">
      <w:rPr>
        <w:sz w:val="22"/>
      </w:rPr>
      <w:instrText xml:space="preserve"> PAGE   \* MERGEFORMAT </w:instrText>
    </w:r>
    <w:r w:rsidRPr="007B19D2">
      <w:rPr>
        <w:sz w:val="22"/>
      </w:rPr>
      <w:fldChar w:fldCharType="separate"/>
    </w:r>
    <w:r>
      <w:rPr>
        <w:sz w:val="22"/>
      </w:rPr>
      <w:t>1</w:t>
    </w:r>
    <w:r w:rsidRPr="007B19D2">
      <w:rPr>
        <w:sz w:val="22"/>
      </w:rPr>
      <w:fldChar w:fldCharType="end"/>
    </w:r>
  </w:p>
  <w:p w14:paraId="5F5E3E55" w14:textId="77777777" w:rsidR="00EA1614" w:rsidRPr="007B19D2" w:rsidRDefault="00EA1614" w:rsidP="00EA1614">
    <w:pPr>
      <w:pStyle w:val="Header"/>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83C" w14:textId="77777777" w:rsidR="00414EAA" w:rsidRPr="007B19D2" w:rsidRDefault="00414EAA" w:rsidP="00BB190D">
    <w:pPr>
      <w:pStyle w:val="Header"/>
      <w:jc w:val="right"/>
      <w:rPr>
        <w:sz w:val="22"/>
        <w:szCs w:val="22"/>
      </w:rPr>
    </w:pPr>
    <w:r>
      <w:rPr>
        <w:sz w:val="22"/>
      </w:rPr>
      <w:t>CWS/13/26</w:t>
    </w:r>
  </w:p>
  <w:p w14:paraId="504E53AD" w14:textId="04493490" w:rsidR="00414EAA" w:rsidRPr="007B19D2" w:rsidRDefault="00EA1614" w:rsidP="00BB190D">
    <w:pPr>
      <w:pStyle w:val="Header"/>
      <w:jc w:val="right"/>
      <w:rPr>
        <w:sz w:val="22"/>
        <w:szCs w:val="22"/>
      </w:rPr>
    </w:pPr>
    <w:r>
      <w:rPr>
        <w:sz w:val="22"/>
      </w:rPr>
      <w:t>ANEXO</w:t>
    </w:r>
  </w:p>
  <w:p w14:paraId="67ECF3AE" w14:textId="77777777" w:rsidR="00414EAA" w:rsidRPr="007B19D2" w:rsidRDefault="00414EAA" w:rsidP="00BB190D">
    <w:pPr>
      <w:pStyle w:val="Header"/>
      <w:jc w:val="right"/>
      <w:rPr>
        <w:sz w:val="22"/>
        <w:szCs w:val="22"/>
      </w:rPr>
    </w:pPr>
  </w:p>
  <w:p w14:paraId="084D4044" w14:textId="77777777" w:rsidR="00414EAA" w:rsidRDefault="00414EAA" w:rsidP="00A067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73F0"/>
    <w:multiLevelType w:val="hybridMultilevel"/>
    <w:tmpl w:val="B766581E"/>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F0E50"/>
    <w:multiLevelType w:val="hybridMultilevel"/>
    <w:tmpl w:val="AB4AA6EE"/>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A349A"/>
    <w:multiLevelType w:val="hybridMultilevel"/>
    <w:tmpl w:val="6158E976"/>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75A1E"/>
    <w:multiLevelType w:val="hybridMultilevel"/>
    <w:tmpl w:val="19D4633A"/>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05E7E"/>
    <w:multiLevelType w:val="hybridMultilevel"/>
    <w:tmpl w:val="860A9290"/>
    <w:lvl w:ilvl="0" w:tplc="8574444E">
      <w:start w:val="7"/>
      <w:numFmt w:val="bullet"/>
      <w:lvlText w:val="-"/>
      <w:lvlJc w:val="left"/>
      <w:pPr>
        <w:ind w:left="1265" w:hanging="360"/>
      </w:pPr>
      <w:rPr>
        <w:rFonts w:ascii="Arial Unicode MS" w:eastAsia="Arial Unicode MS" w:hAnsi="Arial Unicode MS" w:cs="Arial Unicode MS"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5" w15:restartNumberingAfterBreak="0">
    <w:nsid w:val="76C70ACF"/>
    <w:multiLevelType w:val="hybridMultilevel"/>
    <w:tmpl w:val="8B0CC24C"/>
    <w:lvl w:ilvl="0" w:tplc="8574444E">
      <w:start w:val="7"/>
      <w:numFmt w:val="bullet"/>
      <w:lvlText w:val="-"/>
      <w:lvlJc w:val="left"/>
      <w:pPr>
        <w:ind w:left="720" w:hanging="360"/>
      </w:pPr>
      <w:rPr>
        <w:rFonts w:ascii="Arial Unicode MS" w:eastAsia="Arial Unicode MS" w:hAnsi="Arial Unicode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95F1D"/>
    <w:multiLevelType w:val="hybridMultilevel"/>
    <w:tmpl w:val="D2E40458"/>
    <w:lvl w:ilvl="0" w:tplc="5726C21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468662404">
    <w:abstractNumId w:val="0"/>
  </w:num>
  <w:num w:numId="2" w16cid:durableId="354310317">
    <w:abstractNumId w:val="6"/>
  </w:num>
  <w:num w:numId="3" w16cid:durableId="1764764032">
    <w:abstractNumId w:val="4"/>
  </w:num>
  <w:num w:numId="4" w16cid:durableId="105662182">
    <w:abstractNumId w:val="3"/>
  </w:num>
  <w:num w:numId="5" w16cid:durableId="985860370">
    <w:abstractNumId w:val="2"/>
  </w:num>
  <w:num w:numId="6" w16cid:durableId="1971130651">
    <w:abstractNumId w:val="5"/>
  </w:num>
  <w:num w:numId="7" w16cid:durableId="1960723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F7"/>
    <w:rsid w:val="00001509"/>
    <w:rsid w:val="000070FD"/>
    <w:rsid w:val="00007EC0"/>
    <w:rsid w:val="00030700"/>
    <w:rsid w:val="0006309C"/>
    <w:rsid w:val="00067CA1"/>
    <w:rsid w:val="000739BA"/>
    <w:rsid w:val="00080D99"/>
    <w:rsid w:val="0008117B"/>
    <w:rsid w:val="000853AE"/>
    <w:rsid w:val="00086917"/>
    <w:rsid w:val="000911BC"/>
    <w:rsid w:val="00097F4F"/>
    <w:rsid w:val="000A1A86"/>
    <w:rsid w:val="000A5AD3"/>
    <w:rsid w:val="000B70B6"/>
    <w:rsid w:val="000B7192"/>
    <w:rsid w:val="000B764A"/>
    <w:rsid w:val="000B7F67"/>
    <w:rsid w:val="000C5FAA"/>
    <w:rsid w:val="000E0200"/>
    <w:rsid w:val="000E58BA"/>
    <w:rsid w:val="000F4568"/>
    <w:rsid w:val="000F4FF4"/>
    <w:rsid w:val="000F7F50"/>
    <w:rsid w:val="001048D2"/>
    <w:rsid w:val="0011160F"/>
    <w:rsid w:val="00145F5B"/>
    <w:rsid w:val="0016301C"/>
    <w:rsid w:val="00163983"/>
    <w:rsid w:val="00167736"/>
    <w:rsid w:val="00167D8D"/>
    <w:rsid w:val="00172851"/>
    <w:rsid w:val="0018386A"/>
    <w:rsid w:val="001901F1"/>
    <w:rsid w:val="00195BB4"/>
    <w:rsid w:val="001A4DEA"/>
    <w:rsid w:val="001C1698"/>
    <w:rsid w:val="001C4043"/>
    <w:rsid w:val="001C7526"/>
    <w:rsid w:val="001D6306"/>
    <w:rsid w:val="001E1FE3"/>
    <w:rsid w:val="001E423E"/>
    <w:rsid w:val="001E5D14"/>
    <w:rsid w:val="001F0374"/>
    <w:rsid w:val="001F3B29"/>
    <w:rsid w:val="00204F22"/>
    <w:rsid w:val="00205095"/>
    <w:rsid w:val="00213DA3"/>
    <w:rsid w:val="00231344"/>
    <w:rsid w:val="00250CA8"/>
    <w:rsid w:val="00273364"/>
    <w:rsid w:val="002748D6"/>
    <w:rsid w:val="00276EE9"/>
    <w:rsid w:val="00283FD2"/>
    <w:rsid w:val="002A1E3B"/>
    <w:rsid w:val="002A4BDC"/>
    <w:rsid w:val="002A62F4"/>
    <w:rsid w:val="002D05F2"/>
    <w:rsid w:val="002D1F54"/>
    <w:rsid w:val="002D62E3"/>
    <w:rsid w:val="002F00A3"/>
    <w:rsid w:val="003119A2"/>
    <w:rsid w:val="00314E2D"/>
    <w:rsid w:val="00315974"/>
    <w:rsid w:val="00342785"/>
    <w:rsid w:val="00344F99"/>
    <w:rsid w:val="00352745"/>
    <w:rsid w:val="00355E16"/>
    <w:rsid w:val="00357B75"/>
    <w:rsid w:val="00357E43"/>
    <w:rsid w:val="0037046A"/>
    <w:rsid w:val="00380E3B"/>
    <w:rsid w:val="00387BEB"/>
    <w:rsid w:val="00395771"/>
    <w:rsid w:val="003A2677"/>
    <w:rsid w:val="003A2C82"/>
    <w:rsid w:val="003A3CEF"/>
    <w:rsid w:val="003B6558"/>
    <w:rsid w:val="003C3E93"/>
    <w:rsid w:val="003C69B7"/>
    <w:rsid w:val="003D612F"/>
    <w:rsid w:val="003E1D80"/>
    <w:rsid w:val="003E7497"/>
    <w:rsid w:val="003F2CB0"/>
    <w:rsid w:val="004010EC"/>
    <w:rsid w:val="00402142"/>
    <w:rsid w:val="00406552"/>
    <w:rsid w:val="00410A04"/>
    <w:rsid w:val="00413DDD"/>
    <w:rsid w:val="00414EAA"/>
    <w:rsid w:val="004233DA"/>
    <w:rsid w:val="00424632"/>
    <w:rsid w:val="00431320"/>
    <w:rsid w:val="00435429"/>
    <w:rsid w:val="00446885"/>
    <w:rsid w:val="004469D3"/>
    <w:rsid w:val="00452AF6"/>
    <w:rsid w:val="00455476"/>
    <w:rsid w:val="004566D1"/>
    <w:rsid w:val="00475650"/>
    <w:rsid w:val="004758D2"/>
    <w:rsid w:val="00476C3B"/>
    <w:rsid w:val="004803E6"/>
    <w:rsid w:val="004915CA"/>
    <w:rsid w:val="004930B4"/>
    <w:rsid w:val="0049391F"/>
    <w:rsid w:val="004A5986"/>
    <w:rsid w:val="004A66A0"/>
    <w:rsid w:val="004B2095"/>
    <w:rsid w:val="004B2833"/>
    <w:rsid w:val="004B6532"/>
    <w:rsid w:val="004B67A5"/>
    <w:rsid w:val="004C55AD"/>
    <w:rsid w:val="004D2764"/>
    <w:rsid w:val="004F4F57"/>
    <w:rsid w:val="004F5E58"/>
    <w:rsid w:val="00504D65"/>
    <w:rsid w:val="00511379"/>
    <w:rsid w:val="00515280"/>
    <w:rsid w:val="0051640A"/>
    <w:rsid w:val="00522E2B"/>
    <w:rsid w:val="00527E1A"/>
    <w:rsid w:val="00534962"/>
    <w:rsid w:val="00535ADB"/>
    <w:rsid w:val="00583443"/>
    <w:rsid w:val="00585710"/>
    <w:rsid w:val="00591C65"/>
    <w:rsid w:val="005920AB"/>
    <w:rsid w:val="005A0A47"/>
    <w:rsid w:val="005A1C5C"/>
    <w:rsid w:val="005B0D58"/>
    <w:rsid w:val="005B1DE4"/>
    <w:rsid w:val="005B3F65"/>
    <w:rsid w:val="005D1BB3"/>
    <w:rsid w:val="005D5D06"/>
    <w:rsid w:val="005F695D"/>
    <w:rsid w:val="00600123"/>
    <w:rsid w:val="00601545"/>
    <w:rsid w:val="00606191"/>
    <w:rsid w:val="00606E0C"/>
    <w:rsid w:val="0060754A"/>
    <w:rsid w:val="006125A2"/>
    <w:rsid w:val="006137C0"/>
    <w:rsid w:val="00640EE0"/>
    <w:rsid w:val="00642054"/>
    <w:rsid w:val="00660281"/>
    <w:rsid w:val="00660624"/>
    <w:rsid w:val="00662C54"/>
    <w:rsid w:val="00664616"/>
    <w:rsid w:val="00671554"/>
    <w:rsid w:val="006776AB"/>
    <w:rsid w:val="006844D4"/>
    <w:rsid w:val="00684B78"/>
    <w:rsid w:val="006A05C6"/>
    <w:rsid w:val="006A2C29"/>
    <w:rsid w:val="006B36A5"/>
    <w:rsid w:val="006E3D55"/>
    <w:rsid w:val="006E63FE"/>
    <w:rsid w:val="006F77B7"/>
    <w:rsid w:val="007007D2"/>
    <w:rsid w:val="00700B6E"/>
    <w:rsid w:val="0070648B"/>
    <w:rsid w:val="00711442"/>
    <w:rsid w:val="00714797"/>
    <w:rsid w:val="00717E5F"/>
    <w:rsid w:val="00717E6A"/>
    <w:rsid w:val="00720051"/>
    <w:rsid w:val="007338CD"/>
    <w:rsid w:val="00752A71"/>
    <w:rsid w:val="0075323D"/>
    <w:rsid w:val="007545D0"/>
    <w:rsid w:val="00766B90"/>
    <w:rsid w:val="007711F4"/>
    <w:rsid w:val="007775FF"/>
    <w:rsid w:val="007B10EC"/>
    <w:rsid w:val="007B19D2"/>
    <w:rsid w:val="007B63BB"/>
    <w:rsid w:val="007C11E7"/>
    <w:rsid w:val="007C1369"/>
    <w:rsid w:val="007C6726"/>
    <w:rsid w:val="007C6C7B"/>
    <w:rsid w:val="007C7D17"/>
    <w:rsid w:val="007D6D88"/>
    <w:rsid w:val="00800B9D"/>
    <w:rsid w:val="00804FAD"/>
    <w:rsid w:val="008179B6"/>
    <w:rsid w:val="0082272A"/>
    <w:rsid w:val="00823807"/>
    <w:rsid w:val="00823D2F"/>
    <w:rsid w:val="00830A7B"/>
    <w:rsid w:val="00833EA8"/>
    <w:rsid w:val="00840D62"/>
    <w:rsid w:val="0084142F"/>
    <w:rsid w:val="00842A65"/>
    <w:rsid w:val="0086145A"/>
    <w:rsid w:val="008624A9"/>
    <w:rsid w:val="008643E3"/>
    <w:rsid w:val="00864BC3"/>
    <w:rsid w:val="00865F56"/>
    <w:rsid w:val="00873A68"/>
    <w:rsid w:val="0087674D"/>
    <w:rsid w:val="00876854"/>
    <w:rsid w:val="00882CE5"/>
    <w:rsid w:val="00882E58"/>
    <w:rsid w:val="008A2AF3"/>
    <w:rsid w:val="008A4CC2"/>
    <w:rsid w:val="008A7369"/>
    <w:rsid w:val="008B02EC"/>
    <w:rsid w:val="008B1F9E"/>
    <w:rsid w:val="008B5A53"/>
    <w:rsid w:val="008B61B8"/>
    <w:rsid w:val="008B690D"/>
    <w:rsid w:val="008B76B8"/>
    <w:rsid w:val="008C24A6"/>
    <w:rsid w:val="008C504E"/>
    <w:rsid w:val="008D185F"/>
    <w:rsid w:val="008D1F03"/>
    <w:rsid w:val="008E30A3"/>
    <w:rsid w:val="008E73E4"/>
    <w:rsid w:val="00900B42"/>
    <w:rsid w:val="00902CB6"/>
    <w:rsid w:val="009045DE"/>
    <w:rsid w:val="00915F18"/>
    <w:rsid w:val="00923705"/>
    <w:rsid w:val="00923A7E"/>
    <w:rsid w:val="00965CAF"/>
    <w:rsid w:val="0099644C"/>
    <w:rsid w:val="009A0207"/>
    <w:rsid w:val="009A5A6C"/>
    <w:rsid w:val="009C1884"/>
    <w:rsid w:val="009C3476"/>
    <w:rsid w:val="009D0FA7"/>
    <w:rsid w:val="009D4634"/>
    <w:rsid w:val="009E3961"/>
    <w:rsid w:val="009E5FF1"/>
    <w:rsid w:val="009E6B82"/>
    <w:rsid w:val="009E7EB6"/>
    <w:rsid w:val="009F492B"/>
    <w:rsid w:val="00A00A0A"/>
    <w:rsid w:val="00A0390F"/>
    <w:rsid w:val="00A03EAA"/>
    <w:rsid w:val="00A067F0"/>
    <w:rsid w:val="00A10BF7"/>
    <w:rsid w:val="00A11361"/>
    <w:rsid w:val="00A138AB"/>
    <w:rsid w:val="00A15D19"/>
    <w:rsid w:val="00A46C20"/>
    <w:rsid w:val="00A50BCA"/>
    <w:rsid w:val="00A53D35"/>
    <w:rsid w:val="00A54F79"/>
    <w:rsid w:val="00A61453"/>
    <w:rsid w:val="00A6269D"/>
    <w:rsid w:val="00A636FC"/>
    <w:rsid w:val="00A6643A"/>
    <w:rsid w:val="00A665E6"/>
    <w:rsid w:val="00A66818"/>
    <w:rsid w:val="00A6703B"/>
    <w:rsid w:val="00A801F9"/>
    <w:rsid w:val="00A8361D"/>
    <w:rsid w:val="00AA559F"/>
    <w:rsid w:val="00AA6910"/>
    <w:rsid w:val="00AB005A"/>
    <w:rsid w:val="00AD7840"/>
    <w:rsid w:val="00AE09CE"/>
    <w:rsid w:val="00AE1AED"/>
    <w:rsid w:val="00AE2E8F"/>
    <w:rsid w:val="00AF5450"/>
    <w:rsid w:val="00AF6884"/>
    <w:rsid w:val="00AF6ED9"/>
    <w:rsid w:val="00AF6FB0"/>
    <w:rsid w:val="00B1618B"/>
    <w:rsid w:val="00B209FA"/>
    <w:rsid w:val="00B26D59"/>
    <w:rsid w:val="00B3548E"/>
    <w:rsid w:val="00B36B89"/>
    <w:rsid w:val="00B40606"/>
    <w:rsid w:val="00B42CC3"/>
    <w:rsid w:val="00B45C6C"/>
    <w:rsid w:val="00B46DE3"/>
    <w:rsid w:val="00B56B18"/>
    <w:rsid w:val="00B643C6"/>
    <w:rsid w:val="00B717D9"/>
    <w:rsid w:val="00B83D9C"/>
    <w:rsid w:val="00BA157D"/>
    <w:rsid w:val="00BA3B32"/>
    <w:rsid w:val="00BB190D"/>
    <w:rsid w:val="00BB1FC9"/>
    <w:rsid w:val="00BB33D4"/>
    <w:rsid w:val="00BB34CE"/>
    <w:rsid w:val="00BB4655"/>
    <w:rsid w:val="00BD6E20"/>
    <w:rsid w:val="00BE101D"/>
    <w:rsid w:val="00BE6607"/>
    <w:rsid w:val="00BE7AD3"/>
    <w:rsid w:val="00BF1689"/>
    <w:rsid w:val="00C04DD9"/>
    <w:rsid w:val="00C05A6F"/>
    <w:rsid w:val="00C135EB"/>
    <w:rsid w:val="00C15254"/>
    <w:rsid w:val="00C2326F"/>
    <w:rsid w:val="00C277F6"/>
    <w:rsid w:val="00C37361"/>
    <w:rsid w:val="00C42D8A"/>
    <w:rsid w:val="00C66393"/>
    <w:rsid w:val="00C702EB"/>
    <w:rsid w:val="00C72E38"/>
    <w:rsid w:val="00C8103B"/>
    <w:rsid w:val="00C91C21"/>
    <w:rsid w:val="00C9635F"/>
    <w:rsid w:val="00C97D97"/>
    <w:rsid w:val="00CB6BA1"/>
    <w:rsid w:val="00CD3A9A"/>
    <w:rsid w:val="00CE3441"/>
    <w:rsid w:val="00CE44AA"/>
    <w:rsid w:val="00CF670F"/>
    <w:rsid w:val="00D1012C"/>
    <w:rsid w:val="00D1103E"/>
    <w:rsid w:val="00D151B7"/>
    <w:rsid w:val="00D17A7C"/>
    <w:rsid w:val="00D250F9"/>
    <w:rsid w:val="00D25D17"/>
    <w:rsid w:val="00D2777B"/>
    <w:rsid w:val="00D30511"/>
    <w:rsid w:val="00D313F7"/>
    <w:rsid w:val="00D36DF8"/>
    <w:rsid w:val="00D41076"/>
    <w:rsid w:val="00D41FB8"/>
    <w:rsid w:val="00D50E5B"/>
    <w:rsid w:val="00D70ABA"/>
    <w:rsid w:val="00D72B8F"/>
    <w:rsid w:val="00D81414"/>
    <w:rsid w:val="00D81E91"/>
    <w:rsid w:val="00D960BA"/>
    <w:rsid w:val="00D96A46"/>
    <w:rsid w:val="00DA0A53"/>
    <w:rsid w:val="00DA77C7"/>
    <w:rsid w:val="00DB081B"/>
    <w:rsid w:val="00DC01C1"/>
    <w:rsid w:val="00DC4964"/>
    <w:rsid w:val="00DC73FE"/>
    <w:rsid w:val="00DD1952"/>
    <w:rsid w:val="00DD53CF"/>
    <w:rsid w:val="00E02A66"/>
    <w:rsid w:val="00E10567"/>
    <w:rsid w:val="00E1769D"/>
    <w:rsid w:val="00E2238D"/>
    <w:rsid w:val="00E25CB8"/>
    <w:rsid w:val="00E31AD3"/>
    <w:rsid w:val="00E36B80"/>
    <w:rsid w:val="00E46E48"/>
    <w:rsid w:val="00E60BCB"/>
    <w:rsid w:val="00E658BD"/>
    <w:rsid w:val="00E665A6"/>
    <w:rsid w:val="00E66AE1"/>
    <w:rsid w:val="00E703EB"/>
    <w:rsid w:val="00E71713"/>
    <w:rsid w:val="00E82010"/>
    <w:rsid w:val="00E872D4"/>
    <w:rsid w:val="00E97AC3"/>
    <w:rsid w:val="00EA1614"/>
    <w:rsid w:val="00EC096D"/>
    <w:rsid w:val="00EC2FAD"/>
    <w:rsid w:val="00ED09A9"/>
    <w:rsid w:val="00ED1773"/>
    <w:rsid w:val="00EE1021"/>
    <w:rsid w:val="00EE7D99"/>
    <w:rsid w:val="00EF368C"/>
    <w:rsid w:val="00EF6146"/>
    <w:rsid w:val="00F01C34"/>
    <w:rsid w:val="00F15859"/>
    <w:rsid w:val="00F366BA"/>
    <w:rsid w:val="00F36EF3"/>
    <w:rsid w:val="00F42648"/>
    <w:rsid w:val="00F47DC5"/>
    <w:rsid w:val="00F549A5"/>
    <w:rsid w:val="00F54A87"/>
    <w:rsid w:val="00F67727"/>
    <w:rsid w:val="00F729EF"/>
    <w:rsid w:val="00F8198F"/>
    <w:rsid w:val="00F85487"/>
    <w:rsid w:val="00F85EAC"/>
    <w:rsid w:val="00F86227"/>
    <w:rsid w:val="00F93491"/>
    <w:rsid w:val="00FA0363"/>
    <w:rsid w:val="00FA1D50"/>
    <w:rsid w:val="00FA66A2"/>
    <w:rsid w:val="00FB3FC0"/>
    <w:rsid w:val="00FD22C9"/>
    <w:rsid w:val="00FE0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1F3F"/>
  <w15:docId w15:val="{F31548D0-2B38-43E5-ABE0-21D968E0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header">
    <w:name w:val="heading header"/>
    <w:rsid w:val="007C1369"/>
    <w:rPr>
      <w:rFonts w:eastAsia="Arial Unicode MS" w:cs="Arial Unicode MS"/>
      <w:b/>
      <w:bCs/>
      <w:sz w:val="28"/>
      <w:szCs w:val="44"/>
    </w:rPr>
  </w:style>
  <w:style w:type="paragraph" w:customStyle="1" w:styleId="headingquestionTitle">
    <w:name w:val="heading questionTitle"/>
    <w:rPr>
      <w:rFonts w:ascii="Arial Unicode MS" w:eastAsia="Arial Unicode MS" w:hAnsi="Arial Unicode MS" w:cs="Arial Unicode MS"/>
      <w:b/>
      <w:bCs/>
      <w:sz w:val="32"/>
      <w:szCs w:val="32"/>
    </w:rPr>
  </w:style>
  <w:style w:type="paragraph" w:customStyle="1" w:styleId="headingsubHeader">
    <w:name w:val="heading subHeader"/>
    <w:rsid w:val="000739BA"/>
    <w:rPr>
      <w:rFonts w:asciiTheme="minorBidi" w:eastAsia="Arial Unicode MS" w:hAnsiTheme="minorBidi" w:cstheme="minorBidi"/>
      <w:b/>
      <w:bCs/>
    </w:rPr>
  </w:style>
  <w:style w:type="character" w:customStyle="1" w:styleId="text">
    <w:name w:val="text"/>
    <w:rsid w:val="00527E1A"/>
    <w:rPr>
      <w:rFonts w:asciiTheme="minorBidi" w:eastAsia="Arial Unicode MS" w:hAnsiTheme="minorBidi" w:cstheme="minorBidi"/>
    </w:rPr>
  </w:style>
  <w:style w:type="character" w:customStyle="1" w:styleId="bold">
    <w:name w:val="bold"/>
    <w:rPr>
      <w:rFonts w:ascii="Arial Unicode MS" w:eastAsia="Arial Unicode MS" w:hAnsi="Arial Unicode MS" w:cs="Arial Unicode MS"/>
      <w:b/>
      <w:bCs/>
      <w:sz w:val="20"/>
      <w:szCs w:val="20"/>
    </w:rPr>
  </w:style>
  <w:style w:type="character" w:customStyle="1" w:styleId="grey">
    <w:name w:val="grey"/>
    <w:rPr>
      <w:rFonts w:ascii="Arial Unicode MS" w:eastAsia="Arial Unicode MS" w:hAnsi="Arial Unicode MS" w:cs="Arial Unicode MS"/>
      <w:color w:val="999999"/>
      <w:sz w:val="20"/>
      <w:szCs w:val="20"/>
    </w:rPr>
  </w:style>
  <w:style w:type="table" w:customStyle="1" w:styleId="table">
    <w:name w:val="table"/>
    <w:uiPriority w:val="99"/>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styleId="Footer">
    <w:name w:val="footer"/>
    <w:basedOn w:val="Normal"/>
    <w:link w:val="FooterChar"/>
    <w:uiPriority w:val="99"/>
    <w:unhideWhenUsed/>
    <w:rsid w:val="00DA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A53"/>
  </w:style>
  <w:style w:type="paragraph" w:styleId="Revision">
    <w:name w:val="Revision"/>
    <w:hidden/>
    <w:uiPriority w:val="99"/>
    <w:semiHidden/>
    <w:rsid w:val="004D2764"/>
    <w:pPr>
      <w:spacing w:after="0" w:line="240" w:lineRule="auto"/>
    </w:pPr>
  </w:style>
  <w:style w:type="paragraph" w:styleId="Header">
    <w:name w:val="header"/>
    <w:basedOn w:val="Normal"/>
    <w:link w:val="HeaderChar"/>
    <w:uiPriority w:val="99"/>
    <w:unhideWhenUsed/>
    <w:rsid w:val="00720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9E"/>
  </w:style>
  <w:style w:type="character" w:styleId="CommentReference">
    <w:name w:val="annotation reference"/>
    <w:basedOn w:val="DefaultParagraphFont"/>
    <w:uiPriority w:val="99"/>
    <w:semiHidden/>
    <w:unhideWhenUsed/>
    <w:rsid w:val="00BE101D"/>
    <w:rPr>
      <w:sz w:val="16"/>
      <w:szCs w:val="16"/>
    </w:rPr>
  </w:style>
  <w:style w:type="paragraph" w:styleId="CommentText">
    <w:name w:val="annotation text"/>
    <w:basedOn w:val="Normal"/>
    <w:link w:val="CommentTextChar"/>
    <w:uiPriority w:val="99"/>
    <w:unhideWhenUsed/>
    <w:rsid w:val="00BE101D"/>
    <w:pPr>
      <w:spacing w:line="240" w:lineRule="auto"/>
    </w:pPr>
  </w:style>
  <w:style w:type="character" w:customStyle="1" w:styleId="CommentTextChar">
    <w:name w:val="Comment Text Char"/>
    <w:basedOn w:val="DefaultParagraphFont"/>
    <w:link w:val="CommentText"/>
    <w:uiPriority w:val="99"/>
    <w:rsid w:val="00BE101D"/>
  </w:style>
  <w:style w:type="paragraph" w:styleId="CommentSubject">
    <w:name w:val="annotation subject"/>
    <w:basedOn w:val="CommentText"/>
    <w:next w:val="CommentText"/>
    <w:link w:val="CommentSubjectChar"/>
    <w:uiPriority w:val="99"/>
    <w:semiHidden/>
    <w:unhideWhenUsed/>
    <w:rsid w:val="00BE101D"/>
    <w:rPr>
      <w:b/>
      <w:bCs/>
    </w:rPr>
  </w:style>
  <w:style w:type="character" w:customStyle="1" w:styleId="CommentSubjectChar">
    <w:name w:val="Comment Subject Char"/>
    <w:basedOn w:val="CommentTextChar"/>
    <w:link w:val="CommentSubject"/>
    <w:uiPriority w:val="99"/>
    <w:semiHidden/>
    <w:rsid w:val="00BE101D"/>
    <w:rPr>
      <w:b/>
      <w:bCs/>
    </w:rPr>
  </w:style>
  <w:style w:type="paragraph" w:styleId="ListParagraph">
    <w:name w:val="List Paragraph"/>
    <w:basedOn w:val="Normal"/>
    <w:uiPriority w:val="34"/>
    <w:qFormat/>
    <w:rsid w:val="00E10567"/>
    <w:pPr>
      <w:ind w:left="720"/>
      <w:contextualSpacing/>
    </w:pPr>
  </w:style>
  <w:style w:type="paragraph" w:styleId="Subtitle">
    <w:name w:val="Subtitle"/>
    <w:basedOn w:val="Normal"/>
    <w:next w:val="Normal"/>
    <w:link w:val="SubtitleChar"/>
    <w:uiPriority w:val="11"/>
    <w:qFormat/>
    <w:rsid w:val="003A2C82"/>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A2C82"/>
    <w:rPr>
      <w:rFonts w:asciiTheme="minorHAnsi" w:eastAsiaTheme="minorEastAsia" w:hAnsiTheme="minorHAnsi" w:cstheme="minorBidi"/>
      <w:color w:val="5A5A5A" w:themeColor="text1" w:themeTint="A5"/>
      <w:spacing w:val="15"/>
      <w:sz w:val="22"/>
      <w:szCs w:val="22"/>
    </w:rPr>
  </w:style>
  <w:style w:type="table" w:styleId="TableGrid">
    <w:name w:val="Table Grid"/>
    <w:basedOn w:val="TableNormal"/>
    <w:uiPriority w:val="39"/>
    <w:rsid w:val="006E3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18385357526664E-2"/>
          <c:y val="3.5251689744528879E-2"/>
          <c:w val="0.89665872191188167"/>
          <c:h val="0.75729005853947573"/>
        </c:manualLayout>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0165-41BF-B6B9-97B7E93A0F7A}"/>
              </c:ext>
            </c:extLst>
          </c:dPt>
          <c:dPt>
            <c:idx val="1"/>
            <c:invertIfNegative val="1"/>
            <c:bubble3D val="0"/>
            <c:spPr>
              <a:solidFill>
                <a:srgbClr val="002F6C"/>
              </a:solidFill>
            </c:spPr>
            <c:extLst>
              <c:ext xmlns:c16="http://schemas.microsoft.com/office/drawing/2014/chart" uri="{C3380CC4-5D6E-409C-BE32-E72D297353CC}">
                <c16:uniqueId val="{00000003-0165-41BF-B6B9-97B7E93A0F7A}"/>
              </c:ext>
            </c:extLst>
          </c:dPt>
          <c:dPt>
            <c:idx val="2"/>
            <c:invertIfNegative val="1"/>
            <c:bubble3D val="0"/>
            <c:spPr>
              <a:solidFill>
                <a:srgbClr val="69B3E7"/>
              </a:solidFill>
            </c:spPr>
            <c:extLst>
              <c:ext xmlns:c16="http://schemas.microsoft.com/office/drawing/2014/chart" uri="{C3380CC4-5D6E-409C-BE32-E72D297353CC}">
                <c16:uniqueId val="{00000005-0165-41BF-B6B9-97B7E93A0F7A}"/>
              </c:ext>
            </c:extLst>
          </c:dPt>
          <c:dPt>
            <c:idx val="3"/>
            <c:invertIfNegative val="1"/>
            <c:bubble3D val="0"/>
            <c:spPr>
              <a:solidFill>
                <a:srgbClr val="0868AC"/>
              </a:solidFill>
            </c:spPr>
            <c:extLst>
              <c:ext xmlns:c16="http://schemas.microsoft.com/office/drawing/2014/chart" uri="{C3380CC4-5D6E-409C-BE32-E72D297353CC}">
                <c16:uniqueId val="{00000007-0165-41BF-B6B9-97B7E93A0F7A}"/>
              </c:ext>
            </c:extLst>
          </c:dPt>
          <c:dPt>
            <c:idx val="4"/>
            <c:invertIfNegative val="1"/>
            <c:bubble3D val="0"/>
            <c:spPr>
              <a:solidFill>
                <a:srgbClr val="2B8CBE"/>
              </a:solidFill>
            </c:spPr>
            <c:extLst>
              <c:ext xmlns:c16="http://schemas.microsoft.com/office/drawing/2014/chart" uri="{C3380CC4-5D6E-409C-BE32-E72D297353CC}">
                <c16:uniqueId val="{00000009-0165-41BF-B6B9-97B7E93A0F7A}"/>
              </c:ext>
            </c:extLst>
          </c:dPt>
          <c:dPt>
            <c:idx val="5"/>
            <c:invertIfNegative val="1"/>
            <c:bubble3D val="0"/>
            <c:spPr>
              <a:solidFill>
                <a:srgbClr val="4EB3D3"/>
              </a:solidFill>
            </c:spPr>
            <c:extLst>
              <c:ext xmlns:c16="http://schemas.microsoft.com/office/drawing/2014/chart" uri="{C3380CC4-5D6E-409C-BE32-E72D297353CC}">
                <c16:uniqueId val="{0000000B-0165-41BF-B6B9-97B7E93A0F7A}"/>
              </c:ext>
            </c:extLst>
          </c:dPt>
          <c:dPt>
            <c:idx val="6"/>
            <c:invertIfNegative val="1"/>
            <c:bubble3D val="0"/>
            <c:spPr>
              <a:solidFill>
                <a:srgbClr val="7BCCC4"/>
              </a:solidFill>
            </c:spPr>
            <c:extLst>
              <c:ext xmlns:c16="http://schemas.microsoft.com/office/drawing/2014/chart" uri="{C3380CC4-5D6E-409C-BE32-E72D297353CC}">
                <c16:uniqueId val="{0000000D-0165-41BF-B6B9-97B7E93A0F7A}"/>
              </c:ext>
            </c:extLst>
          </c:dPt>
          <c:dPt>
            <c:idx val="7"/>
            <c:invertIfNegative val="1"/>
            <c:bubble3D val="0"/>
            <c:spPr>
              <a:solidFill>
                <a:srgbClr val="A8DDB5"/>
              </a:solidFill>
            </c:spPr>
            <c:extLst>
              <c:ext xmlns:c16="http://schemas.microsoft.com/office/drawing/2014/chart" uri="{C3380CC4-5D6E-409C-BE32-E72D297353CC}">
                <c16:uniqueId val="{0000000F-0165-41BF-B6B9-97B7E93A0F7A}"/>
              </c:ext>
            </c:extLst>
          </c:dPt>
          <c:dPt>
            <c:idx val="8"/>
            <c:invertIfNegative val="1"/>
            <c:bubble3D val="0"/>
            <c:spPr>
              <a:solidFill>
                <a:srgbClr val="CCEBC5"/>
              </a:solidFill>
            </c:spPr>
            <c:extLst>
              <c:ext xmlns:c16="http://schemas.microsoft.com/office/drawing/2014/chart" uri="{C3380CC4-5D6E-409C-BE32-E72D297353CC}">
                <c16:uniqueId val="{00000011-0165-41BF-B6B9-97B7E93A0F7A}"/>
              </c:ext>
            </c:extLst>
          </c:dPt>
          <c:dPt>
            <c:idx val="9"/>
            <c:invertIfNegative val="1"/>
            <c:bubble3D val="0"/>
            <c:spPr>
              <a:solidFill>
                <a:srgbClr val="4F758B"/>
              </a:solidFill>
            </c:spPr>
            <c:extLst>
              <c:ext xmlns:c16="http://schemas.microsoft.com/office/drawing/2014/chart" uri="{C3380CC4-5D6E-409C-BE32-E72D297353CC}">
                <c16:uniqueId val="{00000013-0165-41BF-B6B9-97B7E93A0F7A}"/>
              </c:ext>
            </c:extLst>
          </c:dPt>
          <c:dPt>
            <c:idx val="10"/>
            <c:invertIfNegative val="1"/>
            <c:bubble3D val="0"/>
            <c:spPr>
              <a:solidFill>
                <a:srgbClr val="002F6C"/>
              </a:solidFill>
            </c:spPr>
            <c:extLst>
              <c:ext xmlns:c16="http://schemas.microsoft.com/office/drawing/2014/chart" uri="{C3380CC4-5D6E-409C-BE32-E72D297353CC}">
                <c16:uniqueId val="{00000015-0165-41BF-B6B9-97B7E93A0F7A}"/>
              </c:ext>
            </c:extLst>
          </c:dPt>
          <c:dLbls>
            <c:dLbl>
              <c:idx val="0"/>
              <c:tx>
                <c:rich>
                  <a:bodyPr/>
                  <a:lstStyle/>
                  <a:p>
                    <a:fld id="{76E622B8-E7AA-454A-8209-A9584AF23256}"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165-41BF-B6B9-97B7E93A0F7A}"/>
                </c:ext>
              </c:extLst>
            </c:dLbl>
            <c:dLbl>
              <c:idx val="1"/>
              <c:tx>
                <c:rich>
                  <a:bodyPr/>
                  <a:lstStyle/>
                  <a:p>
                    <a:fld id="{C066E1FD-9AF1-4847-8EE2-A4996E5FB3E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65-41BF-B6B9-97B7E93A0F7A}"/>
                </c:ext>
              </c:extLst>
            </c:dLbl>
            <c:dLbl>
              <c:idx val="2"/>
              <c:tx>
                <c:rich>
                  <a:bodyPr/>
                  <a:lstStyle/>
                  <a:p>
                    <a:fld id="{F4D9259A-A741-48D3-8E32-198776E25CF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65-41BF-B6B9-97B7E93A0F7A}"/>
                </c:ext>
              </c:extLst>
            </c:dLbl>
            <c:dLbl>
              <c:idx val="3"/>
              <c:tx>
                <c:rich>
                  <a:bodyPr/>
                  <a:lstStyle/>
                  <a:p>
                    <a:fld id="{D511A6CB-6D87-4E8D-AD75-B8911C3AE5A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65-41BF-B6B9-97B7E93A0F7A}"/>
                </c:ext>
              </c:extLst>
            </c:dLbl>
            <c:dLbl>
              <c:idx val="4"/>
              <c:tx>
                <c:rich>
                  <a:bodyPr/>
                  <a:lstStyle/>
                  <a:p>
                    <a:fld id="{D68F4DBE-E8E5-42DE-9ED9-6966E28827A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165-41BF-B6B9-97B7E93A0F7A}"/>
                </c:ext>
              </c:extLst>
            </c:dLbl>
            <c:dLbl>
              <c:idx val="5"/>
              <c:tx>
                <c:rich>
                  <a:bodyPr/>
                  <a:lstStyle/>
                  <a:p>
                    <a:fld id="{999EC9C7-7F19-4245-A652-BA8CFD7BB6EC}"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165-41BF-B6B9-97B7E93A0F7A}"/>
                </c:ext>
              </c:extLst>
            </c:dLbl>
            <c:dLbl>
              <c:idx val="6"/>
              <c:tx>
                <c:rich>
                  <a:bodyPr/>
                  <a:lstStyle/>
                  <a:p>
                    <a:fld id="{30088947-ABEE-481C-9B0A-EDD3AED829D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0165-41BF-B6B9-97B7E93A0F7A}"/>
                </c:ext>
              </c:extLst>
            </c:dLbl>
            <c:dLbl>
              <c:idx val="7"/>
              <c:tx>
                <c:rich>
                  <a:bodyPr/>
                  <a:lstStyle/>
                  <a:p>
                    <a:fld id="{EFC7C801-A71B-4944-8620-8D61DF39EDDA}"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0165-41BF-B6B9-97B7E93A0F7A}"/>
                </c:ext>
              </c:extLst>
            </c:dLbl>
            <c:dLbl>
              <c:idx val="8"/>
              <c:tx>
                <c:rich>
                  <a:bodyPr/>
                  <a:lstStyle/>
                  <a:p>
                    <a:fld id="{247D539D-5AC8-49AC-AFA6-4753DE3D3BE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0165-41BF-B6B9-97B7E93A0F7A}"/>
                </c:ext>
              </c:extLst>
            </c:dLbl>
            <c:dLbl>
              <c:idx val="9"/>
              <c:tx>
                <c:rich>
                  <a:bodyPr/>
                  <a:lstStyle/>
                  <a:p>
                    <a:fld id="{D2D4BA6A-6452-4676-AFFB-8C2D28E3D104}"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0165-41BF-B6B9-97B7E93A0F7A}"/>
                </c:ext>
              </c:extLst>
            </c:dLbl>
            <c:dLbl>
              <c:idx val="10"/>
              <c:tx>
                <c:rich>
                  <a:bodyPr/>
                  <a:lstStyle/>
                  <a:p>
                    <a:r>
                      <a:rPr lang="en-US" baseline="0"/>
                      <a:t> </a:t>
                    </a:r>
                    <a:fld id="{8B28F789-4895-41EB-83EC-FE690AAB0556}"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0165-41BF-B6B9-97B7E93A0F7A}"/>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Sheet1!$A$1:$A$11</c:f>
              <c:strCache>
                <c:ptCount val="11"/>
                <c:pt idx="0">
                  <c:v>Rec: 1 </c:v>
                </c:pt>
                <c:pt idx="1">
                  <c:v>Rec: 2 </c:v>
                </c:pt>
                <c:pt idx="2">
                  <c:v>Rec: 3 </c:v>
                </c:pt>
                <c:pt idx="3">
                  <c:v>Rec: 4 </c:v>
                </c:pt>
                <c:pt idx="4">
                  <c:v>Rec: 5 </c:v>
                </c:pt>
                <c:pt idx="5">
                  <c:v>Rec: 6 </c:v>
                </c:pt>
                <c:pt idx="6">
                  <c:v>Rec: 7 </c:v>
                </c:pt>
                <c:pt idx="7">
                  <c:v>Rec: 8 </c:v>
                </c:pt>
                <c:pt idx="8">
                  <c:v>Rec: 9 </c:v>
                </c:pt>
                <c:pt idx="9">
                  <c:v>Rec: 10 </c:v>
                </c:pt>
                <c:pt idx="10">
                  <c:v>No se aplica </c:v>
                </c:pt>
              </c:strCache>
            </c:strRef>
          </c:cat>
          <c:val>
            <c:numRef>
              <c:f>Sheet1!$B$1:$B$11</c:f>
              <c:numCache>
                <c:formatCode>General</c:formatCode>
                <c:ptCount val="11"/>
                <c:pt idx="0">
                  <c:v>14</c:v>
                </c:pt>
                <c:pt idx="1">
                  <c:v>7</c:v>
                </c:pt>
                <c:pt idx="2">
                  <c:v>7</c:v>
                </c:pt>
                <c:pt idx="3">
                  <c:v>8</c:v>
                </c:pt>
                <c:pt idx="4">
                  <c:v>12</c:v>
                </c:pt>
                <c:pt idx="5">
                  <c:v>8</c:v>
                </c:pt>
                <c:pt idx="6">
                  <c:v>9</c:v>
                </c:pt>
                <c:pt idx="7">
                  <c:v>5</c:v>
                </c:pt>
                <c:pt idx="8">
                  <c:v>3</c:v>
                </c:pt>
                <c:pt idx="9">
                  <c:v>12</c:v>
                </c:pt>
                <c:pt idx="10">
                  <c:v>2</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6-0165-41BF-B6B9-97B7E93A0F7A}"/>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s-ES"/>
                  <a:t>Número</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3413-4DCF-8B32-B1807B17DD55}"/>
              </c:ext>
            </c:extLst>
          </c:dPt>
          <c:dPt>
            <c:idx val="1"/>
            <c:invertIfNegative val="1"/>
            <c:bubble3D val="0"/>
            <c:spPr>
              <a:solidFill>
                <a:srgbClr val="002F6C"/>
              </a:solidFill>
            </c:spPr>
            <c:extLst>
              <c:ext xmlns:c16="http://schemas.microsoft.com/office/drawing/2014/chart" uri="{C3380CC4-5D6E-409C-BE32-E72D297353CC}">
                <c16:uniqueId val="{00000003-3413-4DCF-8B32-B1807B17DD55}"/>
              </c:ext>
            </c:extLst>
          </c:dPt>
          <c:dPt>
            <c:idx val="2"/>
            <c:invertIfNegative val="1"/>
            <c:bubble3D val="0"/>
            <c:spPr>
              <a:solidFill>
                <a:srgbClr val="69B3E7"/>
              </a:solidFill>
            </c:spPr>
            <c:extLst>
              <c:ext xmlns:c16="http://schemas.microsoft.com/office/drawing/2014/chart" uri="{C3380CC4-5D6E-409C-BE32-E72D297353CC}">
                <c16:uniqueId val="{00000005-3413-4DCF-8B32-B1807B17DD55}"/>
              </c:ext>
            </c:extLst>
          </c:dPt>
          <c:dPt>
            <c:idx val="3"/>
            <c:invertIfNegative val="1"/>
            <c:bubble3D val="0"/>
            <c:spPr>
              <a:solidFill>
                <a:srgbClr val="4EB3D3"/>
              </a:solidFill>
            </c:spPr>
            <c:extLst>
              <c:ext xmlns:c16="http://schemas.microsoft.com/office/drawing/2014/chart" uri="{C3380CC4-5D6E-409C-BE32-E72D297353CC}">
                <c16:uniqueId val="{00000007-3413-4DCF-8B32-B1807B17DD55}"/>
              </c:ext>
            </c:extLst>
          </c:dPt>
          <c:dPt>
            <c:idx val="4"/>
            <c:invertIfNegative val="1"/>
            <c:bubble3D val="0"/>
            <c:spPr>
              <a:solidFill>
                <a:srgbClr val="7BCCC4"/>
              </a:solidFill>
            </c:spPr>
            <c:extLst>
              <c:ext xmlns:c16="http://schemas.microsoft.com/office/drawing/2014/chart" uri="{C3380CC4-5D6E-409C-BE32-E72D297353CC}">
                <c16:uniqueId val="{00000009-3413-4DCF-8B32-B1807B17DD55}"/>
              </c:ext>
            </c:extLst>
          </c:dPt>
          <c:dPt>
            <c:idx val="5"/>
            <c:invertIfNegative val="1"/>
            <c:bubble3D val="0"/>
            <c:spPr>
              <a:solidFill>
                <a:srgbClr val="A8DDB5"/>
              </a:solidFill>
            </c:spPr>
            <c:extLst>
              <c:ext xmlns:c16="http://schemas.microsoft.com/office/drawing/2014/chart" uri="{C3380CC4-5D6E-409C-BE32-E72D297353CC}">
                <c16:uniqueId val="{0000000B-3413-4DCF-8B32-B1807B17DD55}"/>
              </c:ext>
            </c:extLst>
          </c:dPt>
          <c:dPt>
            <c:idx val="6"/>
            <c:invertIfNegative val="1"/>
            <c:bubble3D val="0"/>
            <c:spPr>
              <a:solidFill>
                <a:srgbClr val="CCEBC5"/>
              </a:solidFill>
            </c:spPr>
            <c:extLst>
              <c:ext xmlns:c16="http://schemas.microsoft.com/office/drawing/2014/chart" uri="{C3380CC4-5D6E-409C-BE32-E72D297353CC}">
                <c16:uniqueId val="{0000000D-3413-4DCF-8B32-B1807B17DD55}"/>
              </c:ext>
            </c:extLst>
          </c:dPt>
          <c:dPt>
            <c:idx val="7"/>
            <c:invertIfNegative val="1"/>
            <c:bubble3D val="0"/>
            <c:spPr>
              <a:solidFill>
                <a:srgbClr val="4F758B"/>
              </a:solidFill>
            </c:spPr>
            <c:extLst>
              <c:ext xmlns:c16="http://schemas.microsoft.com/office/drawing/2014/chart" uri="{C3380CC4-5D6E-409C-BE32-E72D297353CC}">
                <c16:uniqueId val="{0000000F-3413-4DCF-8B32-B1807B17DD55}"/>
              </c:ext>
            </c:extLst>
          </c:dPt>
          <c:dPt>
            <c:idx val="8"/>
            <c:invertIfNegative val="1"/>
            <c:bubble3D val="0"/>
            <c:spPr>
              <a:solidFill>
                <a:srgbClr val="002F6C"/>
              </a:solidFill>
            </c:spPr>
            <c:extLst>
              <c:ext xmlns:c16="http://schemas.microsoft.com/office/drawing/2014/chart" uri="{C3380CC4-5D6E-409C-BE32-E72D297353CC}">
                <c16:uniqueId val="{00000011-3413-4DCF-8B32-B1807B17DD55}"/>
              </c:ext>
            </c:extLst>
          </c:dPt>
          <c:dLbls>
            <c:dLbl>
              <c:idx val="0"/>
              <c:tx>
                <c:rich>
                  <a:bodyPr/>
                  <a:lstStyle/>
                  <a:p>
                    <a:fld id="{3F4D9C74-8222-4553-9F11-13052771E90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13-4DCF-8B32-B1807B17DD55}"/>
                </c:ext>
              </c:extLst>
            </c:dLbl>
            <c:dLbl>
              <c:idx val="1"/>
              <c:tx>
                <c:rich>
                  <a:bodyPr/>
                  <a:lstStyle/>
                  <a:p>
                    <a:fld id="{29F41E5B-9819-477E-ABD3-8ECC252305C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13-4DCF-8B32-B1807B17DD55}"/>
                </c:ext>
              </c:extLst>
            </c:dLbl>
            <c:dLbl>
              <c:idx val="2"/>
              <c:tx>
                <c:rich>
                  <a:bodyPr/>
                  <a:lstStyle/>
                  <a:p>
                    <a:fld id="{023E5394-BEE8-4AA6-BB92-ECF399768DD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13-4DCF-8B32-B1807B17DD55}"/>
                </c:ext>
              </c:extLst>
            </c:dLbl>
            <c:dLbl>
              <c:idx val="3"/>
              <c:tx>
                <c:rich>
                  <a:bodyPr/>
                  <a:lstStyle/>
                  <a:p>
                    <a:fld id="{DA305498-025A-4C22-9611-0A3CAA072142}"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413-4DCF-8B32-B1807B17DD55}"/>
                </c:ext>
              </c:extLst>
            </c:dLbl>
            <c:dLbl>
              <c:idx val="4"/>
              <c:tx>
                <c:rich>
                  <a:bodyPr/>
                  <a:lstStyle/>
                  <a:p>
                    <a:fld id="{DDEB7B62-9B23-4B72-886A-7F1EA04D23D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413-4DCF-8B32-B1807B17DD55}"/>
                </c:ext>
              </c:extLst>
            </c:dLbl>
            <c:dLbl>
              <c:idx val="5"/>
              <c:tx>
                <c:rich>
                  <a:bodyPr/>
                  <a:lstStyle/>
                  <a:p>
                    <a:fld id="{D1772AAE-3053-4152-BDFC-C881C80DC49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413-4DCF-8B32-B1807B17DD55}"/>
                </c:ext>
              </c:extLst>
            </c:dLbl>
            <c:dLbl>
              <c:idx val="6"/>
              <c:tx>
                <c:rich>
                  <a:bodyPr/>
                  <a:lstStyle/>
                  <a:p>
                    <a:fld id="{A25A9066-A46D-4811-833D-F2770148AA9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413-4DCF-8B32-B1807B17DD55}"/>
                </c:ext>
              </c:extLst>
            </c:dLbl>
            <c:dLbl>
              <c:idx val="7"/>
              <c:tx>
                <c:rich>
                  <a:bodyPr/>
                  <a:lstStyle/>
                  <a:p>
                    <a:fld id="{9BA592E8-E00D-4516-8A27-F3CEF074F36B}"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3413-4DCF-8B32-B1807B17DD55}"/>
                </c:ext>
              </c:extLst>
            </c:dLbl>
            <c:dLbl>
              <c:idx val="8"/>
              <c:tx>
                <c:rich>
                  <a:bodyPr/>
                  <a:lstStyle/>
                  <a:p>
                    <a:fld id="{2FAF5193-CA76-4FE5-9BA6-AA38935C3A7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413-4DCF-8B32-B1807B17DD55}"/>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Sheet1!$A$1:$A$9</c:f>
              <c:strCache>
                <c:ptCount val="9"/>
                <c:pt idx="0">
                  <c:v>Rec. 1 </c:v>
                </c:pt>
                <c:pt idx="1">
                  <c:v>Rec. 2 </c:v>
                </c:pt>
                <c:pt idx="2">
                  <c:v>Rec. 3 </c:v>
                </c:pt>
                <c:pt idx="3">
                  <c:v>Rec. 5 </c:v>
                </c:pt>
                <c:pt idx="4">
                  <c:v>Rec. 7 </c:v>
                </c:pt>
                <c:pt idx="5">
                  <c:v>Rec. 8 </c:v>
                </c:pt>
                <c:pt idx="6">
                  <c:v>Rec. 9 </c:v>
                </c:pt>
                <c:pt idx="7">
                  <c:v>Rec. 10 </c:v>
                </c:pt>
                <c:pt idx="8">
                  <c:v>No se aplica</c:v>
                </c:pt>
              </c:strCache>
            </c:strRef>
          </c:cat>
          <c:val>
            <c:numRef>
              <c:f>Sheet1!$B$1:$B$9</c:f>
              <c:numCache>
                <c:formatCode>General</c:formatCode>
                <c:ptCount val="9"/>
                <c:pt idx="0">
                  <c:v>1</c:v>
                </c:pt>
                <c:pt idx="1">
                  <c:v>1</c:v>
                </c:pt>
                <c:pt idx="2">
                  <c:v>1</c:v>
                </c:pt>
                <c:pt idx="3">
                  <c:v>1</c:v>
                </c:pt>
                <c:pt idx="4">
                  <c:v>1</c:v>
                </c:pt>
                <c:pt idx="5">
                  <c:v>1</c:v>
                </c:pt>
                <c:pt idx="6">
                  <c:v>4</c:v>
                </c:pt>
                <c:pt idx="7">
                  <c:v>1</c:v>
                </c:pt>
                <c:pt idx="8">
                  <c:v>15</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2-3413-4DCF-8B32-B1807B17DD55}"/>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s-ES"/>
                  <a:t>Número</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1"/>
          <c:dPt>
            <c:idx val="0"/>
            <c:invertIfNegative val="1"/>
            <c:bubble3D val="0"/>
            <c:spPr>
              <a:solidFill>
                <a:srgbClr val="4F758B"/>
              </a:solidFill>
            </c:spPr>
            <c:extLst>
              <c:ext xmlns:c16="http://schemas.microsoft.com/office/drawing/2014/chart" uri="{C3380CC4-5D6E-409C-BE32-E72D297353CC}">
                <c16:uniqueId val="{00000001-B538-4DCB-847F-1BE05B4B75EB}"/>
              </c:ext>
            </c:extLst>
          </c:dPt>
          <c:dPt>
            <c:idx val="1"/>
            <c:invertIfNegative val="1"/>
            <c:bubble3D val="0"/>
            <c:spPr>
              <a:solidFill>
                <a:srgbClr val="002F6C"/>
              </a:solidFill>
            </c:spPr>
            <c:extLst>
              <c:ext xmlns:c16="http://schemas.microsoft.com/office/drawing/2014/chart" uri="{C3380CC4-5D6E-409C-BE32-E72D297353CC}">
                <c16:uniqueId val="{00000003-B538-4DCB-847F-1BE05B4B75EB}"/>
              </c:ext>
            </c:extLst>
          </c:dPt>
          <c:dPt>
            <c:idx val="2"/>
            <c:invertIfNegative val="1"/>
            <c:bubble3D val="0"/>
            <c:spPr>
              <a:solidFill>
                <a:srgbClr val="69B3E7"/>
              </a:solidFill>
            </c:spPr>
            <c:extLst>
              <c:ext xmlns:c16="http://schemas.microsoft.com/office/drawing/2014/chart" uri="{C3380CC4-5D6E-409C-BE32-E72D297353CC}">
                <c16:uniqueId val="{00000005-B538-4DCB-847F-1BE05B4B75EB}"/>
              </c:ext>
            </c:extLst>
          </c:dPt>
          <c:dPt>
            <c:idx val="3"/>
            <c:invertIfNegative val="1"/>
            <c:bubble3D val="0"/>
            <c:spPr>
              <a:solidFill>
                <a:srgbClr val="0868AC"/>
              </a:solidFill>
            </c:spPr>
            <c:extLst>
              <c:ext xmlns:c16="http://schemas.microsoft.com/office/drawing/2014/chart" uri="{C3380CC4-5D6E-409C-BE32-E72D297353CC}">
                <c16:uniqueId val="{00000007-B538-4DCB-847F-1BE05B4B75EB}"/>
              </c:ext>
            </c:extLst>
          </c:dPt>
          <c:dPt>
            <c:idx val="4"/>
            <c:invertIfNegative val="1"/>
            <c:bubble3D val="0"/>
            <c:spPr>
              <a:solidFill>
                <a:srgbClr val="2B8CBE"/>
              </a:solidFill>
            </c:spPr>
            <c:extLst>
              <c:ext xmlns:c16="http://schemas.microsoft.com/office/drawing/2014/chart" uri="{C3380CC4-5D6E-409C-BE32-E72D297353CC}">
                <c16:uniqueId val="{00000009-B538-4DCB-847F-1BE05B4B75EB}"/>
              </c:ext>
            </c:extLst>
          </c:dPt>
          <c:dPt>
            <c:idx val="5"/>
            <c:invertIfNegative val="1"/>
            <c:bubble3D val="0"/>
            <c:spPr>
              <a:solidFill>
                <a:srgbClr val="4EB3D3"/>
              </a:solidFill>
            </c:spPr>
            <c:extLst>
              <c:ext xmlns:c16="http://schemas.microsoft.com/office/drawing/2014/chart" uri="{C3380CC4-5D6E-409C-BE32-E72D297353CC}">
                <c16:uniqueId val="{0000000B-B538-4DCB-847F-1BE05B4B75EB}"/>
              </c:ext>
            </c:extLst>
          </c:dPt>
          <c:dPt>
            <c:idx val="6"/>
            <c:invertIfNegative val="1"/>
            <c:bubble3D val="0"/>
            <c:spPr>
              <a:solidFill>
                <a:srgbClr val="7BCCC4"/>
              </a:solidFill>
            </c:spPr>
            <c:extLst>
              <c:ext xmlns:c16="http://schemas.microsoft.com/office/drawing/2014/chart" uri="{C3380CC4-5D6E-409C-BE32-E72D297353CC}">
                <c16:uniqueId val="{0000000D-B538-4DCB-847F-1BE05B4B75EB}"/>
              </c:ext>
            </c:extLst>
          </c:dPt>
          <c:dPt>
            <c:idx val="7"/>
            <c:invertIfNegative val="1"/>
            <c:bubble3D val="0"/>
            <c:spPr>
              <a:solidFill>
                <a:srgbClr val="A8DDB5"/>
              </a:solidFill>
            </c:spPr>
            <c:extLst>
              <c:ext xmlns:c16="http://schemas.microsoft.com/office/drawing/2014/chart" uri="{C3380CC4-5D6E-409C-BE32-E72D297353CC}">
                <c16:uniqueId val="{0000000F-B538-4DCB-847F-1BE05B4B75EB}"/>
              </c:ext>
            </c:extLst>
          </c:dPt>
          <c:dPt>
            <c:idx val="8"/>
            <c:invertIfNegative val="1"/>
            <c:bubble3D val="0"/>
            <c:spPr>
              <a:solidFill>
                <a:srgbClr val="CCEBC5"/>
              </a:solidFill>
            </c:spPr>
            <c:extLst>
              <c:ext xmlns:c16="http://schemas.microsoft.com/office/drawing/2014/chart" uri="{C3380CC4-5D6E-409C-BE32-E72D297353CC}">
                <c16:uniqueId val="{00000011-B538-4DCB-847F-1BE05B4B75EB}"/>
              </c:ext>
            </c:extLst>
          </c:dPt>
          <c:dPt>
            <c:idx val="9"/>
            <c:invertIfNegative val="1"/>
            <c:bubble3D val="0"/>
            <c:spPr>
              <a:solidFill>
                <a:srgbClr val="4F758B"/>
              </a:solidFill>
            </c:spPr>
            <c:extLst>
              <c:ext xmlns:c16="http://schemas.microsoft.com/office/drawing/2014/chart" uri="{C3380CC4-5D6E-409C-BE32-E72D297353CC}">
                <c16:uniqueId val="{00000013-B538-4DCB-847F-1BE05B4B75EB}"/>
              </c:ext>
            </c:extLst>
          </c:dPt>
          <c:dPt>
            <c:idx val="10"/>
            <c:invertIfNegative val="1"/>
            <c:bubble3D val="0"/>
            <c:spPr>
              <a:solidFill>
                <a:srgbClr val="002F6C"/>
              </a:solidFill>
            </c:spPr>
            <c:extLst>
              <c:ext xmlns:c16="http://schemas.microsoft.com/office/drawing/2014/chart" uri="{C3380CC4-5D6E-409C-BE32-E72D297353CC}">
                <c16:uniqueId val="{00000015-B538-4DCB-847F-1BE05B4B75EB}"/>
              </c:ext>
            </c:extLst>
          </c:dPt>
          <c:dLbls>
            <c:dLbl>
              <c:idx val="0"/>
              <c:tx>
                <c:rich>
                  <a:bodyPr/>
                  <a:lstStyle/>
                  <a:p>
                    <a:fld id="{1910B003-4C99-4C12-92F9-1000B4CEF2A6}"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38-4DCB-847F-1BE05B4B75EB}"/>
                </c:ext>
              </c:extLst>
            </c:dLbl>
            <c:dLbl>
              <c:idx val="1"/>
              <c:tx>
                <c:rich>
                  <a:bodyPr/>
                  <a:lstStyle/>
                  <a:p>
                    <a:fld id="{78AAB622-0199-4193-AC47-0DEFA827A4A8}"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38-4DCB-847F-1BE05B4B75EB}"/>
                </c:ext>
              </c:extLst>
            </c:dLbl>
            <c:dLbl>
              <c:idx val="2"/>
              <c:tx>
                <c:rich>
                  <a:bodyPr/>
                  <a:lstStyle/>
                  <a:p>
                    <a:fld id="{854F9DD0-0A71-43F4-8B52-B7DA913DE5B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538-4DCB-847F-1BE05B4B75EB}"/>
                </c:ext>
              </c:extLst>
            </c:dLbl>
            <c:dLbl>
              <c:idx val="3"/>
              <c:tx>
                <c:rich>
                  <a:bodyPr/>
                  <a:lstStyle/>
                  <a:p>
                    <a:fld id="{E8DF09D6-B66D-4249-80CD-61DF668D18B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538-4DCB-847F-1BE05B4B75EB}"/>
                </c:ext>
              </c:extLst>
            </c:dLbl>
            <c:dLbl>
              <c:idx val="4"/>
              <c:tx>
                <c:rich>
                  <a:bodyPr/>
                  <a:lstStyle/>
                  <a:p>
                    <a:fld id="{5C302EA1-32C4-44D6-AA95-AD7FF2C5C25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538-4DCB-847F-1BE05B4B75EB}"/>
                </c:ext>
              </c:extLst>
            </c:dLbl>
            <c:dLbl>
              <c:idx val="5"/>
              <c:tx>
                <c:rich>
                  <a:bodyPr/>
                  <a:lstStyle/>
                  <a:p>
                    <a:fld id="{869C648A-DFF1-43F1-A2ED-E327762E6FE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538-4DCB-847F-1BE05B4B75EB}"/>
                </c:ext>
              </c:extLst>
            </c:dLbl>
            <c:dLbl>
              <c:idx val="6"/>
              <c:tx>
                <c:rich>
                  <a:bodyPr/>
                  <a:lstStyle/>
                  <a:p>
                    <a:fld id="{54594B39-5F4C-4C26-8FB7-1F340A512A5E}"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538-4DCB-847F-1BE05B4B75EB}"/>
                </c:ext>
              </c:extLst>
            </c:dLbl>
            <c:dLbl>
              <c:idx val="7"/>
              <c:tx>
                <c:rich>
                  <a:bodyPr/>
                  <a:lstStyle/>
                  <a:p>
                    <a:fld id="{5A3BF372-F88B-4354-8FE0-65F2D5351B61}"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B538-4DCB-847F-1BE05B4B75EB}"/>
                </c:ext>
              </c:extLst>
            </c:dLbl>
            <c:dLbl>
              <c:idx val="8"/>
              <c:tx>
                <c:rich>
                  <a:bodyPr/>
                  <a:lstStyle/>
                  <a:p>
                    <a:fld id="{F0BB250F-4FAB-4154-B802-7DB3470F05DD}"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B538-4DCB-847F-1BE05B4B75EB}"/>
                </c:ext>
              </c:extLst>
            </c:dLbl>
            <c:dLbl>
              <c:idx val="9"/>
              <c:tx>
                <c:rich>
                  <a:bodyPr/>
                  <a:lstStyle/>
                  <a:p>
                    <a:fld id="{19CD61FE-8582-4C11-A149-8F7A4DE414B0}"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B538-4DCB-847F-1BE05B4B75EB}"/>
                </c:ext>
              </c:extLst>
            </c:dLbl>
            <c:dLbl>
              <c:idx val="10"/>
              <c:tx>
                <c:rich>
                  <a:bodyPr/>
                  <a:lstStyle/>
                  <a:p>
                    <a:fld id="{663B0ECA-A02C-4E16-8D9C-5D853D448E89}" type="VALUE">
                      <a:rPr lang="en-US" baseline="0"/>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B538-4DCB-847F-1BE05B4B75EB}"/>
                </c:ext>
              </c:extLst>
            </c:dLbl>
            <c:spPr>
              <a:noFill/>
              <a:ln>
                <a:noFill/>
              </a:ln>
              <a:effectLst/>
            </c:spPr>
            <c:showLegendKey val="0"/>
            <c:showVal val="1"/>
            <c:showCatName val="1"/>
            <c:showSerName val="0"/>
            <c:showPercent val="1"/>
            <c:showBubbleSize val="0"/>
            <c:showLeaderLines val="0"/>
            <c:extLst>
              <c:ext xmlns:c15="http://schemas.microsoft.com/office/drawing/2012/chart" uri="{CE6537A1-D6FC-4f65-9D91-7224C49458BB}">
                <c15:showLeaderLines val="0"/>
              </c:ext>
            </c:extLst>
          </c:dLbls>
          <c:cat>
            <c:strRef>
              <c:f>Sheet1!$A$1:$A$11</c:f>
              <c:strCache>
                <c:ptCount val="11"/>
                <c:pt idx="0">
                  <c:v>Rec. 1 </c:v>
                </c:pt>
                <c:pt idx="1">
                  <c:v>Rec. 2 </c:v>
                </c:pt>
                <c:pt idx="2">
                  <c:v>Rec. 3 </c:v>
                </c:pt>
                <c:pt idx="3">
                  <c:v>Rec. 4 </c:v>
                </c:pt>
                <c:pt idx="4">
                  <c:v>Rec. 5 </c:v>
                </c:pt>
                <c:pt idx="5">
                  <c:v>Rec. 6 </c:v>
                </c:pt>
                <c:pt idx="6">
                  <c:v>Rec. 7 </c:v>
                </c:pt>
                <c:pt idx="7">
                  <c:v>Rec. 8 </c:v>
                </c:pt>
                <c:pt idx="8">
                  <c:v>Rec. 9 </c:v>
                </c:pt>
                <c:pt idx="9">
                  <c:v>Rec. 10 </c:v>
                </c:pt>
                <c:pt idx="10">
                  <c:v>No se aplica </c:v>
                </c:pt>
              </c:strCache>
            </c:strRef>
          </c:cat>
          <c:val>
            <c:numRef>
              <c:f>Sheet1!$B$1:$B$11</c:f>
              <c:numCache>
                <c:formatCode>General</c:formatCode>
                <c:ptCount val="11"/>
                <c:pt idx="0">
                  <c:v>8</c:v>
                </c:pt>
                <c:pt idx="1">
                  <c:v>3</c:v>
                </c:pt>
                <c:pt idx="2">
                  <c:v>5</c:v>
                </c:pt>
                <c:pt idx="3">
                  <c:v>5</c:v>
                </c:pt>
                <c:pt idx="4">
                  <c:v>4</c:v>
                </c:pt>
                <c:pt idx="5">
                  <c:v>4</c:v>
                </c:pt>
                <c:pt idx="6">
                  <c:v>5</c:v>
                </c:pt>
                <c:pt idx="7">
                  <c:v>4</c:v>
                </c:pt>
                <c:pt idx="8">
                  <c:v>2</c:v>
                </c:pt>
                <c:pt idx="9">
                  <c:v>8</c:v>
                </c:pt>
                <c:pt idx="10">
                  <c:v>7</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16-B538-4DCB-847F-1BE05B4B75EB}"/>
            </c:ext>
          </c:extLst>
        </c:ser>
        <c:dLbls>
          <c:showLegendKey val="0"/>
          <c:showVal val="0"/>
          <c:showCatName val="0"/>
          <c:showSerName val="0"/>
          <c:showPercent val="0"/>
          <c:showBubbleSize val="0"/>
        </c:dLbls>
        <c:gapWidth val="150"/>
        <c:overlap val="100"/>
        <c:axId val="1"/>
        <c:axId val="2"/>
      </c:barChart>
      <c:catAx>
        <c:axId val="1"/>
        <c:scaling>
          <c:orientation val="minMax"/>
        </c:scaling>
        <c:delete val="0"/>
        <c:axPos val="b"/>
        <c:numFmt formatCode="General" sourceLinked="0"/>
        <c:majorTickMark val="in"/>
        <c:minorTickMark val="none"/>
        <c:tickLblPos val="nextTo"/>
        <c:spPr>
          <a:ln>
            <a:solidFill/>
          </a:ln>
        </c:spPr>
        <c:crossAx val="2"/>
        <c:crosses val="autoZero"/>
        <c:auto val="1"/>
        <c:lblAlgn val="ctr"/>
        <c:lblOffset val="100"/>
        <c:noMultiLvlLbl val="1"/>
      </c:catAx>
      <c:valAx>
        <c:axId val="2"/>
        <c:scaling>
          <c:orientation val="minMax"/>
        </c:scaling>
        <c:delete val="0"/>
        <c:axPos val="l"/>
        <c:title>
          <c:tx>
            <c:rich>
              <a:bodyPr/>
              <a:lstStyle/>
              <a:p>
                <a:pPr>
                  <a:defRPr/>
                </a:pPr>
                <a:r>
                  <a:rPr lang="es-ES"/>
                  <a:t>Número</a:t>
                </a:r>
              </a:p>
            </c:rich>
          </c:tx>
          <c:overlay val="0"/>
        </c:title>
        <c:numFmt formatCode="General" sourceLinked="1"/>
        <c:majorTickMark val="in"/>
        <c:minorTickMark val="none"/>
        <c:tickLblPos val="nextTo"/>
        <c:spPr>
          <a:ln>
            <a:solidFill/>
          </a:ln>
        </c:spPr>
        <c:crossAx val="1"/>
        <c:crosses val="autoZero"/>
        <c:crossBetween val="between"/>
      </c:valAx>
    </c:plotArea>
    <c:plotVisOnly val="1"/>
    <c:dispBlanksAs val="zero"/>
    <c:showDLblsOverMax val="1"/>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ICSDBFP-360348501-19318</_dlc_DocId>
    <_dlc_DocIdUrl xmlns="ec94eb93-2160-433d-bc9d-10bdc50beb83">
      <Url>https://wipoprod.sharepoint.com/sites/SPS-INT-BFP-ICSD-CWS/_layouts/15/DocIdRedir.aspx?ID=ICSDBFP-360348501-19318</Url>
      <Description>ICSDBFP-360348501-19318</Description>
    </_dlc_DocIdUrl>
  </documentManagement>
</p:properties>
</file>

<file path=customXml/itemProps1.xml><?xml version="1.0" encoding="utf-8"?>
<ds:datastoreItem xmlns:ds="http://schemas.openxmlformats.org/officeDocument/2006/customXml" ds:itemID="{2F7FCB60-6CCA-48E8-8212-976C42E6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25039-DA49-4733-9C72-C7942F099440}">
  <ds:schemaRefs>
    <ds:schemaRef ds:uri="http://schemas.microsoft.com/sharepoint/v3/contenttype/forms"/>
  </ds:schemaRefs>
</ds:datastoreItem>
</file>

<file path=customXml/itemProps3.xml><?xml version="1.0" encoding="utf-8"?>
<ds:datastoreItem xmlns:ds="http://schemas.openxmlformats.org/officeDocument/2006/customXml" ds:itemID="{D8A7ED0D-F6B2-46D0-A066-A00659224E76}">
  <ds:schemaRefs>
    <ds:schemaRef ds:uri="Microsoft.SharePoint.Taxonomy.ContentTypeSync"/>
  </ds:schemaRefs>
</ds:datastoreItem>
</file>

<file path=customXml/itemProps4.xml><?xml version="1.0" encoding="utf-8"?>
<ds:datastoreItem xmlns:ds="http://schemas.openxmlformats.org/officeDocument/2006/customXml" ds:itemID="{B13DD3BA-58EC-4F44-BD8C-01BBF7CCCE37}">
  <ds:schemaRefs>
    <ds:schemaRef ds:uri="http://schemas.openxmlformats.org/officeDocument/2006/bibliography"/>
  </ds:schemaRefs>
</ds:datastoreItem>
</file>

<file path=customXml/itemProps5.xml><?xml version="1.0" encoding="utf-8"?>
<ds:datastoreItem xmlns:ds="http://schemas.openxmlformats.org/officeDocument/2006/customXml" ds:itemID="{92816CB1-65D5-4CA7-8B24-8EA887973AC8}">
  <ds:schemaRefs>
    <ds:schemaRef ds:uri="http://schemas.microsoft.com/sharepoint/events"/>
  </ds:schemaRefs>
</ds:datastoreItem>
</file>

<file path=customXml/itemProps6.xml><?xml version="1.0" encoding="utf-8"?>
<ds:datastoreItem xmlns:ds="http://schemas.openxmlformats.org/officeDocument/2006/customXml" ds:itemID="{FE706B86-5634-4E23-AF10-E77B1819949B}">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5186</Words>
  <Characters>29566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CWS/13/26 Annex (Spanish)</vt:lpstr>
    </vt:vector>
  </TitlesOfParts>
  <Manager/>
  <Company>WIPO</Company>
  <LinksUpToDate>false</LinksUpToDate>
  <CharactersWithSpaces>34683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Annex (Spanish)</dc:title>
  <dc:subject>Aplicación de las recomendaciones sobre tecnologías de la información y las comunicaciones (TIC) para las Oficinas Anexo </dc:subject>
  <dc:creator>WIPO</dc:creator>
  <cp:keywords>WIPO CWS decimotercera sesión, Aplicación de las recomendaciones, tecnologías de la información y las comunicaciones (TIC) para las Oficinas, Anexo</cp:keywords>
  <dc:description/>
  <cp:lastModifiedBy>EMMETT Claudia</cp:lastModifiedBy>
  <cp:revision>8</cp:revision>
  <cp:lastPrinted>2025-10-21T15:21:00Z</cp:lastPrinted>
  <dcterms:created xsi:type="dcterms:W3CDTF">2025-09-30T06:54:00Z</dcterms:created>
  <dcterms:modified xsi:type="dcterms:W3CDTF">2025-10-21T15:23:00Z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2025-08-29T09:59:31Z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30db6030-8db7-4fac-be3b-61ce21d72de3</vt:lpwstr>
  </property>
  <property fmtid="{D5CDD505-2E9C-101B-9397-08002B2CF9AE}" pid="8" name="MSIP_Label_bfc084f7-b690-4c43-8ee6-d475b6d3461d_ContentBits">
    <vt:lpwstr>2</vt:lpwstr>
  </property>
  <property fmtid="{D5CDD505-2E9C-101B-9397-08002B2CF9AE}" pid="9" name="MSIP_Label_bfc084f7-b690-4c43-8ee6-d475b6d3461d_Tag">
    <vt:lpwstr>10, 3, 0, 1</vt:lpwstr>
  </property>
  <property fmtid="{D5CDD505-2E9C-101B-9397-08002B2CF9AE}" pid="10" name="ContentTypeId">
    <vt:lpwstr>0x01010043A0F979BE30A3469F998CB749C11FBD00E3EF1C0FCFA26B4087379DC2A12DE885</vt:lpwstr>
  </property>
  <property fmtid="{D5CDD505-2E9C-101B-9397-08002B2CF9AE}" pid="11" name="BusinessUnit">
    <vt:lpwstr>4;#International Classifications and Standards Division|1bda9d19-f2c0-4f24-b9f1-c91ec6b8f041</vt:lpwstr>
  </property>
  <property fmtid="{D5CDD505-2E9C-101B-9397-08002B2CF9AE}" pid="12" name="MediaServiceImageTags">
    <vt:lpwstr/>
  </property>
  <property fmtid="{D5CDD505-2E9C-101B-9397-08002B2CF9AE}" pid="13" name="m4535404f5974080b635c68c1acaf1ab">
    <vt:lpwstr/>
  </property>
  <property fmtid="{D5CDD505-2E9C-101B-9397-08002B2CF9AE}" pid="14" name="RMClassification">
    <vt:lpwstr>5;#05 Committee Files|55687a62-9585-44b6-9628-3304e4ff88e9</vt:lpwstr>
  </property>
  <property fmtid="{D5CDD505-2E9C-101B-9397-08002B2CF9AE}" pid="15" name="lcf76f155ced4ddcb4097134ff3c332f">
    <vt:lpwstr/>
  </property>
  <property fmtid="{D5CDD505-2E9C-101B-9397-08002B2CF9AE}" pid="16" name="Body1">
    <vt:lpwstr>3;#Committee on WIPO Standards|505ec630-c8e5-4e30-8a4a-e8d9be6ccbb1</vt:lpwstr>
  </property>
  <property fmtid="{D5CDD505-2E9C-101B-9397-08002B2CF9AE}" pid="17" name="ECCM_Year">
    <vt:lpwstr/>
  </property>
  <property fmtid="{D5CDD505-2E9C-101B-9397-08002B2CF9AE}" pid="18" name="k5f91d7f67f54ee29b509143279df90f">
    <vt:lpwstr/>
  </property>
  <property fmtid="{D5CDD505-2E9C-101B-9397-08002B2CF9AE}" pid="19" name="IPTopics">
    <vt:lpwstr/>
  </property>
  <property fmtid="{D5CDD505-2E9C-101B-9397-08002B2CF9AE}" pid="20" name="Languages">
    <vt:lpwstr>1;#English|950e6fa2-2df0-4983-a604-54e57c7a6d93</vt:lpwstr>
  </property>
  <property fmtid="{D5CDD505-2E9C-101B-9397-08002B2CF9AE}" pid="21" name="gbd88f87496145e58da10973a57b07b8">
    <vt:lpwstr>Committee on WIPO Standards|505ec630-c8e5-4e30-8a4a-e8d9be6ccbb1</vt:lpwstr>
  </property>
  <property fmtid="{D5CDD505-2E9C-101B-9397-08002B2CF9AE}" pid="22" name="_dlc_DocIdItemGuid">
    <vt:lpwstr>3d913224-d5a1-439b-a1f3-fac21649643a</vt:lpwstr>
  </property>
  <property fmtid="{D5CDD505-2E9C-101B-9397-08002B2CF9AE}" pid="23" name="docLang">
    <vt:lpwstr>en</vt:lpwstr>
  </property>
</Properties>
</file>