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EDAA6" w14:textId="77777777" w:rsidR="00767841" w:rsidRPr="00332A3B" w:rsidRDefault="00472A6E" w:rsidP="00767841">
      <w:pPr>
        <w:spacing w:after="120"/>
        <w:ind w:right="-57"/>
        <w:jc w:val="right"/>
        <w:rPr>
          <w:rFonts w:ascii="Arial Black" w:hAnsi="Arial Black"/>
          <w:caps/>
          <w:sz w:val="15"/>
          <w:lang w:val="es-ES_tradnl"/>
        </w:rPr>
      </w:pPr>
      <w:r w:rsidRPr="00332A3B">
        <w:rPr>
          <w:noProof/>
          <w:lang w:val="es-ES_tradnl" w:eastAsia="en-US"/>
        </w:rPr>
        <w:drawing>
          <wp:inline distT="0" distB="0" distL="0" distR="0" wp14:anchorId="099A803E" wp14:editId="0736906F">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12">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r w:rsidR="00767841" w:rsidRPr="00332A3B">
        <w:rPr>
          <w:rFonts w:ascii="Arial Black" w:hAnsi="Arial Black"/>
          <w:caps/>
          <w:noProof/>
          <w:sz w:val="15"/>
          <w:lang w:val="es-ES_tradnl"/>
        </w:rPr>
        <mc:AlternateContent>
          <mc:Choice Requires="wps">
            <w:drawing>
              <wp:inline distT="0" distB="0" distL="0" distR="0" wp14:anchorId="534FB7DB" wp14:editId="344D3BFA">
                <wp:extent cx="5935980" cy="635"/>
                <wp:effectExtent l="9525" t="9525" r="7620" b="9525"/>
                <wp:docPr id="693547449" name="Straight Connector 2" descr="Horizontal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935980" cy="0"/>
                        </a:xfrm>
                        <a:prstGeom prst="line">
                          <a:avLst/>
                        </a:prstGeom>
                        <a:noFill/>
                        <a:ln w="9525">
                          <a:solidFill>
                            <a:schemeClr val="dk1">
                              <a:lumMod val="95000"/>
                              <a:lumOff val="0"/>
                            </a:schemeClr>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386166E7"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" strokecolor="black [3040]">
                <w10:anchorlock/>
              </v:line>
            </w:pict>
          </mc:Fallback>
        </mc:AlternateContent>
      </w:r>
    </w:p>
    <w:p w14:paraId="1B36F8F6" w14:textId="4EE36A8A" w:rsidR="00767841" w:rsidRPr="00332A3B" w:rsidRDefault="00767841" w:rsidP="00472A6E">
      <w:pPr>
        <w:jc w:val="right"/>
        <w:rPr>
          <w:rFonts w:ascii="Arial Black" w:hAnsi="Arial Black"/>
          <w:caps/>
          <w:sz w:val="15"/>
          <w:lang w:val="es-ES_tradnl"/>
        </w:rPr>
      </w:pPr>
      <w:r w:rsidRPr="00332A3B">
        <w:rPr>
          <w:rFonts w:ascii="Arial Black" w:hAnsi="Arial Black"/>
          <w:caps/>
          <w:sz w:val="15"/>
          <w:lang w:val="es-ES_tradnl"/>
        </w:rPr>
        <w:t>CWS/13/</w:t>
      </w:r>
      <w:bookmarkStart w:id="0" w:name="Code"/>
      <w:bookmarkEnd w:id="0"/>
      <w:r w:rsidR="00332A3B" w:rsidRPr="00332A3B">
        <w:rPr>
          <w:rFonts w:ascii="Arial Black" w:hAnsi="Arial Black"/>
          <w:caps/>
          <w:sz w:val="15"/>
          <w:lang w:val="es-ES_tradnl"/>
        </w:rPr>
        <w:t>17</w:t>
      </w:r>
      <w:r w:rsidR="00636CF9">
        <w:rPr>
          <w:rFonts w:ascii="Arial Black" w:hAnsi="Arial Black"/>
          <w:caps/>
          <w:sz w:val="15"/>
          <w:lang w:val="es-ES_tradnl"/>
        </w:rPr>
        <w:t xml:space="preserve"> Rev.</w:t>
      </w:r>
      <w:r w:rsidR="00F02273">
        <w:rPr>
          <w:rFonts w:ascii="Arial Black" w:hAnsi="Arial Black"/>
          <w:caps/>
          <w:sz w:val="15"/>
          <w:lang w:val="es-ES_tradnl"/>
        </w:rPr>
        <w:t xml:space="preserve"> 2</w:t>
      </w:r>
    </w:p>
    <w:p w14:paraId="26F9A300" w14:textId="513F9F2D" w:rsidR="008B2CC1" w:rsidRPr="00332A3B" w:rsidRDefault="00472A6E" w:rsidP="00472A6E">
      <w:pPr>
        <w:jc w:val="right"/>
        <w:rPr>
          <w:lang w:val="es-ES_tradnl"/>
        </w:rPr>
      </w:pPr>
      <w:r w:rsidRPr="00332A3B">
        <w:rPr>
          <w:rFonts w:ascii="Arial Black" w:hAnsi="Arial Black"/>
          <w:caps/>
          <w:sz w:val="15"/>
          <w:lang w:val="es-ES_tradnl"/>
        </w:rPr>
        <w:t xml:space="preserve">ORIGINAL: </w:t>
      </w:r>
      <w:bookmarkStart w:id="1" w:name="Original"/>
      <w:r w:rsidR="00332A3B" w:rsidRPr="00332A3B">
        <w:rPr>
          <w:rFonts w:ascii="Arial Black" w:hAnsi="Arial Black"/>
          <w:caps/>
          <w:sz w:val="15"/>
          <w:lang w:val="es-ES_tradnl"/>
        </w:rPr>
        <w:t>INGLÉS</w:t>
      </w:r>
    </w:p>
    <w:bookmarkEnd w:id="1"/>
    <w:p w14:paraId="51EF023A" w14:textId="46CD5AB7" w:rsidR="008B2CC1" w:rsidRPr="00332A3B" w:rsidRDefault="00472A6E" w:rsidP="00472A6E">
      <w:pPr>
        <w:spacing w:after="1200"/>
        <w:jc w:val="right"/>
        <w:rPr>
          <w:lang w:val="es-ES_tradnl"/>
        </w:rPr>
      </w:pPr>
      <w:r w:rsidRPr="00332A3B">
        <w:rPr>
          <w:rFonts w:ascii="Arial Black" w:hAnsi="Arial Black"/>
          <w:caps/>
          <w:sz w:val="15"/>
          <w:lang w:val="es-ES_tradnl"/>
        </w:rPr>
        <w:t xml:space="preserve">fecha: </w:t>
      </w:r>
      <w:bookmarkStart w:id="2" w:name="Date"/>
      <w:r w:rsidR="00F02273">
        <w:rPr>
          <w:rFonts w:ascii="Arial Black" w:hAnsi="Arial Black"/>
          <w:caps/>
          <w:sz w:val="15"/>
          <w:lang w:val="es-ES_tradnl"/>
        </w:rPr>
        <w:t>27</w:t>
      </w:r>
      <w:r w:rsidR="00332A3B" w:rsidRPr="00332A3B">
        <w:rPr>
          <w:rFonts w:ascii="Arial Black" w:hAnsi="Arial Black"/>
          <w:caps/>
          <w:sz w:val="15"/>
          <w:lang w:val="es-ES_tradnl"/>
        </w:rPr>
        <w:t xml:space="preserve"> DE </w:t>
      </w:r>
      <w:r w:rsidR="00636CF9">
        <w:rPr>
          <w:rFonts w:ascii="Arial Black" w:hAnsi="Arial Black"/>
          <w:caps/>
          <w:sz w:val="15"/>
          <w:lang w:val="es-ES_tradnl"/>
        </w:rPr>
        <w:t>Octubre</w:t>
      </w:r>
      <w:r w:rsidR="00332A3B" w:rsidRPr="00332A3B">
        <w:rPr>
          <w:rFonts w:ascii="Arial Black" w:hAnsi="Arial Black"/>
          <w:caps/>
          <w:sz w:val="15"/>
          <w:lang w:val="es-ES_tradnl"/>
        </w:rPr>
        <w:t xml:space="preserve"> DE 2025</w:t>
      </w:r>
    </w:p>
    <w:bookmarkEnd w:id="2"/>
    <w:p w14:paraId="593552FF" w14:textId="77777777" w:rsidR="00B67CDC" w:rsidRPr="00332A3B" w:rsidRDefault="00767841" w:rsidP="00472A6E">
      <w:pPr>
        <w:pStyle w:val="Heading1"/>
        <w:spacing w:before="0" w:after="480"/>
        <w:rPr>
          <w:sz w:val="28"/>
          <w:szCs w:val="28"/>
          <w:lang w:val="es-ES_tradnl"/>
        </w:rPr>
      </w:pPr>
      <w:r w:rsidRPr="00332A3B">
        <w:rPr>
          <w:caps w:val="0"/>
          <w:sz w:val="28"/>
          <w:szCs w:val="28"/>
          <w:lang w:val="es-ES_tradnl"/>
        </w:rPr>
        <w:t>Comité de Normas Técnicas de la OMPI (CWS)</w:t>
      </w:r>
    </w:p>
    <w:p w14:paraId="6DBDD800" w14:textId="77777777" w:rsidR="00B67CDC" w:rsidRPr="00332A3B" w:rsidRDefault="00767841" w:rsidP="00472A6E">
      <w:pPr>
        <w:spacing w:after="720"/>
        <w:outlineLvl w:val="1"/>
        <w:rPr>
          <w:b/>
          <w:sz w:val="24"/>
          <w:szCs w:val="24"/>
          <w:lang w:val="es-ES_tradnl"/>
        </w:rPr>
      </w:pPr>
      <w:r w:rsidRPr="00332A3B">
        <w:rPr>
          <w:b/>
          <w:sz w:val="24"/>
          <w:szCs w:val="24"/>
          <w:lang w:val="es-ES_tradnl"/>
        </w:rPr>
        <w:t>Decimotercera s</w:t>
      </w:r>
      <w:r w:rsidR="00B67CDC" w:rsidRPr="00332A3B">
        <w:rPr>
          <w:b/>
          <w:sz w:val="24"/>
          <w:szCs w:val="24"/>
          <w:lang w:val="es-ES_tradnl"/>
        </w:rPr>
        <w:t>esión</w:t>
      </w:r>
      <w:r w:rsidR="00472A6E" w:rsidRPr="00332A3B">
        <w:rPr>
          <w:b/>
          <w:sz w:val="24"/>
          <w:szCs w:val="24"/>
          <w:lang w:val="es-ES_tradnl"/>
        </w:rPr>
        <w:br/>
      </w:r>
      <w:r w:rsidRPr="00332A3B">
        <w:rPr>
          <w:b/>
          <w:sz w:val="24"/>
          <w:szCs w:val="24"/>
          <w:lang w:val="es-ES_tradnl"/>
        </w:rPr>
        <w:t>Ginebra, 10 a 14 de noviembre de 2025</w:t>
      </w:r>
    </w:p>
    <w:p w14:paraId="27147043" w14:textId="419BABD8" w:rsidR="008B2CC1" w:rsidRPr="00332A3B" w:rsidRDefault="00332A3B" w:rsidP="00472A6E">
      <w:pPr>
        <w:spacing w:after="360"/>
        <w:rPr>
          <w:caps/>
          <w:sz w:val="24"/>
          <w:lang w:val="es-ES_tradnl"/>
        </w:rPr>
      </w:pPr>
      <w:bookmarkStart w:id="3" w:name="TitleOfDoc"/>
      <w:r w:rsidRPr="00332A3B">
        <w:rPr>
          <w:caps/>
          <w:sz w:val="24"/>
          <w:lang w:val="es-ES_tradnl"/>
        </w:rPr>
        <w:t>Propuesta de revisión de la Norma ST.37 de la OMPI</w:t>
      </w:r>
    </w:p>
    <w:p w14:paraId="56238258" w14:textId="7871C8D5" w:rsidR="008B2CC1" w:rsidRPr="00332A3B" w:rsidRDefault="00332A3B" w:rsidP="00472A6E">
      <w:pPr>
        <w:spacing w:after="1040"/>
        <w:rPr>
          <w:i/>
          <w:iCs/>
          <w:lang w:val="es-ES_tradnl"/>
        </w:rPr>
      </w:pPr>
      <w:bookmarkStart w:id="4" w:name="Prepared"/>
      <w:bookmarkEnd w:id="3"/>
      <w:bookmarkEnd w:id="4"/>
      <w:r w:rsidRPr="00332A3B">
        <w:rPr>
          <w:i/>
          <w:iCs/>
          <w:lang w:val="es-ES_tradnl"/>
        </w:rPr>
        <w:t>preparada por la Secretaría</w:t>
      </w:r>
    </w:p>
    <w:p w14:paraId="43034C76" w14:textId="77777777" w:rsidR="00332A3B" w:rsidRPr="00332A3B" w:rsidRDefault="00332A3B" w:rsidP="00332A3B">
      <w:pPr>
        <w:pStyle w:val="Heading2"/>
        <w:spacing w:before="0" w:after="120"/>
        <w:rPr>
          <w:lang w:val="es-ES_tradnl"/>
        </w:rPr>
      </w:pPr>
      <w:r w:rsidRPr="00332A3B">
        <w:rPr>
          <w:lang w:val="es-ES_tradnl"/>
        </w:rPr>
        <w:t>Resumen</w:t>
      </w:r>
    </w:p>
    <w:p w14:paraId="709925C1" w14:textId="77777777" w:rsidR="00332A3B" w:rsidRPr="00332A3B" w:rsidRDefault="00332A3B" w:rsidP="00332A3B">
      <w:pPr>
        <w:spacing w:after="360"/>
        <w:rPr>
          <w:i/>
          <w:iCs/>
          <w:lang w:val="es-ES_tradnl"/>
        </w:rPr>
      </w:pPr>
      <w:r w:rsidRPr="00332A3B">
        <w:rPr>
          <w:lang w:val="es-ES_tradnl"/>
        </w:rPr>
        <w:fldChar w:fldCharType="begin"/>
      </w:r>
      <w:r w:rsidRPr="00332A3B">
        <w:rPr>
          <w:lang w:val="es-ES_tradnl"/>
        </w:rPr>
        <w:instrText xml:space="preserve"> AUTONUM  </w:instrText>
      </w:r>
      <w:r w:rsidRPr="00332A3B">
        <w:rPr>
          <w:lang w:val="es-ES_tradnl"/>
        </w:rPr>
        <w:fldChar w:fldCharType="end"/>
      </w:r>
      <w:r w:rsidRPr="00332A3B">
        <w:rPr>
          <w:lang w:val="es-ES_tradnl"/>
        </w:rPr>
        <w:tab/>
        <w:t>El Equipo Técnico del Fichero de Referencia proponer revisar la Norma ST.37 de la OMPI, una serie de recomendaciones relativas a los elementos necesarios de los ficheros de referencia de patentes, así como los formatos en que se pueden proporcionar. La revisión de la Norma ST.37 de la OMPI sirve para facilitar aclaraciones a la versión 2.2 en vigor y para apoyar la aplicación de la norma por las Administraciones encargadas de la búsqueda internacional en sus esfuerzos por cumplir los nuevos requisitos expuestos en las Instrucciones Administrativas del Tratado de Cooperación en materia de Patentes (PCT).</w:t>
      </w:r>
    </w:p>
    <w:p w14:paraId="3E4A439E" w14:textId="77777777" w:rsidR="00332A3B" w:rsidRPr="00332A3B" w:rsidRDefault="00332A3B" w:rsidP="00332A3B">
      <w:pPr>
        <w:pStyle w:val="Heading2"/>
        <w:spacing w:before="0" w:after="120"/>
        <w:rPr>
          <w:lang w:val="es-ES_tradnl"/>
        </w:rPr>
      </w:pPr>
      <w:r w:rsidRPr="00332A3B">
        <w:rPr>
          <w:lang w:val="es-ES_tradnl"/>
        </w:rPr>
        <w:t>Antecedentes</w:t>
      </w:r>
    </w:p>
    <w:p w14:paraId="4210CA75" w14:textId="40F1C549" w:rsidR="00332A3B" w:rsidRPr="00332A3B" w:rsidRDefault="00332A3B" w:rsidP="00332A3B">
      <w:pPr>
        <w:spacing w:after="240"/>
        <w:rPr>
          <w:lang w:val="es-ES_tradnl"/>
        </w:rPr>
      </w:pPr>
      <w:r w:rsidRPr="00332A3B">
        <w:rPr>
          <w:lang w:val="es-ES_tradnl"/>
        </w:rPr>
        <w:fldChar w:fldCharType="begin"/>
      </w:r>
      <w:r w:rsidRPr="00332A3B">
        <w:rPr>
          <w:lang w:val="es-ES_tradnl"/>
        </w:rPr>
        <w:instrText xml:space="preserve"> AUTONUM  </w:instrText>
      </w:r>
      <w:r w:rsidRPr="00332A3B">
        <w:rPr>
          <w:lang w:val="es-ES_tradnl"/>
        </w:rPr>
        <w:fldChar w:fldCharType="end"/>
      </w:r>
      <w:r w:rsidRPr="00332A3B">
        <w:rPr>
          <w:lang w:val="es-ES_tradnl"/>
        </w:rPr>
        <w:tab/>
        <w:t xml:space="preserve">El Equipo Técnico del Fichero de Referencia fue reactivado en la duodécima sesión del Comité de Normas Técnicas de la OMPI (CWS) tras los comentarios de los Estados miembros en relación con la necesidad de actualizar la Norma ST.37 de la OMPI (véanse los párrafos 171 y 172 del documento </w:t>
      </w:r>
      <w:hyperlink r:id="rId13">
        <w:r w:rsidRPr="00332A3B">
          <w:rPr>
            <w:rStyle w:val="Hyperlink"/>
            <w:lang w:val="es-ES_tradnl"/>
          </w:rPr>
          <w:t>CWS/12/29</w:t>
        </w:r>
      </w:hyperlink>
      <w:r w:rsidRPr="00332A3B">
        <w:rPr>
          <w:lang w:val="es-ES_tradnl"/>
        </w:rPr>
        <w:t xml:space="preserve">). </w:t>
      </w:r>
    </w:p>
    <w:p w14:paraId="1933BDFA" w14:textId="71DD2BA5" w:rsidR="00332A3B" w:rsidRPr="00332A3B" w:rsidRDefault="00332A3B" w:rsidP="00332A3B">
      <w:pPr>
        <w:spacing w:after="240"/>
        <w:rPr>
          <w:lang w:val="es-ES_tradnl"/>
        </w:rPr>
      </w:pPr>
      <w:r w:rsidRPr="00332A3B">
        <w:rPr>
          <w:lang w:val="es-ES_tradnl"/>
        </w:rPr>
        <w:fldChar w:fldCharType="begin"/>
      </w:r>
      <w:r w:rsidRPr="00332A3B">
        <w:rPr>
          <w:lang w:val="es-ES_tradnl"/>
        </w:rPr>
        <w:instrText xml:space="preserve"> AUTONUM  </w:instrText>
      </w:r>
      <w:r w:rsidRPr="00332A3B">
        <w:rPr>
          <w:lang w:val="es-ES_tradnl"/>
        </w:rPr>
        <w:fldChar w:fldCharType="end"/>
      </w:r>
      <w:r w:rsidRPr="00332A3B">
        <w:rPr>
          <w:lang w:val="es-ES_tradnl"/>
        </w:rPr>
        <w:tab/>
        <w:t xml:space="preserve">Además, dado que el nuevo Reglamento del PCT entrará en vigor el 1 de enero de 2026, muchas nuevas Oficinas están creando su primer fichero de referencia a fin de cumplir los nuevos requisitos de documentación mínima del PCT expuestos en el nuevo Anexo H de las Instrucciones Administrativas del PCT (véase el documento </w:t>
      </w:r>
      <w:hyperlink r:id="rId14">
        <w:r w:rsidRPr="00332A3B">
          <w:rPr>
            <w:rStyle w:val="Hyperlink"/>
            <w:lang w:val="es-ES_tradnl"/>
          </w:rPr>
          <w:t>C.PCT 1660</w:t>
        </w:r>
      </w:hyperlink>
      <w:r w:rsidRPr="00332A3B">
        <w:rPr>
          <w:lang w:val="es-ES_tradnl"/>
        </w:rPr>
        <w:t xml:space="preserve">). </w:t>
      </w:r>
    </w:p>
    <w:p w14:paraId="710BE0A1" w14:textId="77777777" w:rsidR="00332A3B" w:rsidRPr="00332A3B" w:rsidRDefault="00332A3B" w:rsidP="00332A3B">
      <w:pPr>
        <w:spacing w:after="240"/>
        <w:rPr>
          <w:lang w:val="es-ES_tradnl"/>
        </w:rPr>
      </w:pPr>
      <w:r w:rsidRPr="00332A3B">
        <w:rPr>
          <w:lang w:val="es-ES_tradnl"/>
        </w:rPr>
        <w:fldChar w:fldCharType="begin"/>
      </w:r>
      <w:r w:rsidRPr="00332A3B">
        <w:rPr>
          <w:lang w:val="es-ES_tradnl"/>
        </w:rPr>
        <w:instrText xml:space="preserve"> AUTONUM  </w:instrText>
      </w:r>
      <w:r w:rsidRPr="00332A3B">
        <w:rPr>
          <w:lang w:val="es-ES_tradnl"/>
        </w:rPr>
        <w:fldChar w:fldCharType="end"/>
      </w:r>
      <w:r w:rsidRPr="00332A3B">
        <w:rPr>
          <w:lang w:val="es-ES_tradnl"/>
        </w:rPr>
        <w:tab/>
        <w:t>En su duodécima sesión, el CWS aprobó la revisión de la Tarea N.º 66 cuya descripción reza:</w:t>
      </w:r>
    </w:p>
    <w:p w14:paraId="6FB58542" w14:textId="3ED4AB00" w:rsidR="00332A3B" w:rsidRPr="00332A3B" w:rsidRDefault="00332A3B" w:rsidP="00332A3B">
      <w:pPr>
        <w:spacing w:after="240"/>
        <w:ind w:firstLine="562"/>
        <w:rPr>
          <w:lang w:val="es-ES_tradnl"/>
        </w:rPr>
      </w:pPr>
      <w:r w:rsidRPr="00332A3B">
        <w:rPr>
          <w:lang w:val="es-ES_tradnl"/>
        </w:rPr>
        <w:lastRenderedPageBreak/>
        <w:t>“Alentar a las Oficinas de PI a que presenten su fichero de referencia de patentes de conformidad con la Norma ST.37 de la OMPI, prestando toda la asistencia técnica o formación necesaria, en función de los recursos disponibles; y emprender las revisiones y actualizaciones necesarias de la Norma ST. 37 de la OMPI”.</w:t>
      </w:r>
    </w:p>
    <w:p w14:paraId="21C63016" w14:textId="684EB3BD" w:rsidR="00332A3B" w:rsidRPr="00332A3B" w:rsidRDefault="00332A3B" w:rsidP="00332A3B">
      <w:pPr>
        <w:spacing w:after="360"/>
        <w:rPr>
          <w:lang w:val="es-ES_tradnl"/>
        </w:rPr>
      </w:pPr>
      <w:r w:rsidRPr="00332A3B">
        <w:rPr>
          <w:lang w:val="es-ES_tradnl"/>
        </w:rPr>
        <w:fldChar w:fldCharType="begin"/>
      </w:r>
      <w:r w:rsidRPr="00332A3B">
        <w:rPr>
          <w:lang w:val="es-ES_tradnl"/>
        </w:rPr>
        <w:instrText xml:space="preserve"> AUTONUM  </w:instrText>
      </w:r>
      <w:r w:rsidRPr="00332A3B">
        <w:rPr>
          <w:lang w:val="es-ES_tradnl"/>
        </w:rPr>
        <w:fldChar w:fldCharType="end"/>
      </w:r>
      <w:r w:rsidRPr="00332A3B">
        <w:rPr>
          <w:lang w:val="es-ES_tradnl"/>
        </w:rPr>
        <w:tab/>
        <w:t xml:space="preserve">Al acometer la Tarea N.º 66, el Equipo Técnico se reunió en un taller híbrido y en dos reuniones en línea. Durante esas sesiones, el Equipo Técnico trabajó en un proyecto de Norma revisada ST.37 de la OMPI tratando de mejorar la legibilidad de la norma, aclarar incoherencias y proporcionar las recomendaciones que faltan. En el documento CWS/13/13 se expone información más detallada sobre la labor del Equipo Técnico desde la última sesión del CWS. </w:t>
      </w:r>
    </w:p>
    <w:p w14:paraId="4B2F8040" w14:textId="77777777" w:rsidR="00332A3B" w:rsidRPr="00332A3B" w:rsidRDefault="00332A3B" w:rsidP="00332A3B">
      <w:pPr>
        <w:pStyle w:val="Heading2"/>
        <w:spacing w:before="0" w:after="120"/>
        <w:rPr>
          <w:lang w:val="es-ES_tradnl"/>
        </w:rPr>
      </w:pPr>
      <w:r w:rsidRPr="00332A3B">
        <w:rPr>
          <w:lang w:val="es-ES_tradnl"/>
        </w:rPr>
        <w:t>Propuesta de revisión de la Norma ST.37 de la OMPI</w:t>
      </w:r>
    </w:p>
    <w:p w14:paraId="7858034B" w14:textId="24C4CDB2" w:rsidR="00332A3B" w:rsidRPr="00332A3B" w:rsidRDefault="00332A3B" w:rsidP="00332A3B">
      <w:pPr>
        <w:spacing w:after="240"/>
        <w:rPr>
          <w:lang w:val="es-ES_tradnl"/>
        </w:rPr>
      </w:pPr>
      <w:r w:rsidRPr="00332A3B">
        <w:rPr>
          <w:lang w:val="es-ES_tradnl"/>
        </w:rPr>
        <w:fldChar w:fldCharType="begin"/>
      </w:r>
      <w:r w:rsidRPr="00332A3B">
        <w:rPr>
          <w:lang w:val="es-ES_tradnl"/>
        </w:rPr>
        <w:instrText xml:space="preserve"> AUTONUM  </w:instrText>
      </w:r>
      <w:r w:rsidRPr="00332A3B">
        <w:rPr>
          <w:lang w:val="es-ES_tradnl"/>
        </w:rPr>
        <w:fldChar w:fldCharType="end"/>
      </w:r>
      <w:r w:rsidRPr="00332A3B">
        <w:rPr>
          <w:lang w:val="es-ES_tradnl"/>
        </w:rPr>
        <w:tab/>
        <w:t>El Equipo Técnico del Fichero de Referencia ha preparado una propuesta de revisión de la Norma ST.37 de la OMPI para que el CWS la examine y, en su caso, la apruebe. La propuesta de revisión de la Norma ST.37 de la OMPI se reproduce en el Anexo I del presente documento, en el que el texto tachado indica una supresión y el subrayado, una adición. En el Anexo II del presente documento figura el esquema XML y en el Anexo III del presente documento figura la DTD actualizada. En el Anexo IV del presente documento figura la instancia XML actualizada, Apéndice del Anexo III de la Norma ST.37, y en el Anexo V del presente documento figura la instancia XML actualizada, Apéndice del Anexo IV.</w:t>
      </w:r>
    </w:p>
    <w:p w14:paraId="63835199" w14:textId="77777777" w:rsidR="00332A3B" w:rsidRPr="00332A3B" w:rsidRDefault="00332A3B" w:rsidP="00332A3B">
      <w:pPr>
        <w:spacing w:after="240"/>
        <w:rPr>
          <w:lang w:val="es-ES_tradnl"/>
        </w:rPr>
      </w:pPr>
      <w:r w:rsidRPr="00332A3B">
        <w:rPr>
          <w:lang w:val="es-ES_tradnl"/>
        </w:rPr>
        <w:fldChar w:fldCharType="begin"/>
      </w:r>
      <w:r w:rsidRPr="00332A3B">
        <w:rPr>
          <w:lang w:val="es-ES_tradnl"/>
        </w:rPr>
        <w:instrText xml:space="preserve"> AUTONUM  </w:instrText>
      </w:r>
      <w:r w:rsidRPr="00332A3B">
        <w:rPr>
          <w:lang w:val="es-ES_tradnl"/>
        </w:rPr>
        <w:fldChar w:fldCharType="end"/>
      </w:r>
      <w:r w:rsidRPr="00332A3B">
        <w:rPr>
          <w:lang w:val="es-ES_tradnl"/>
        </w:rPr>
        <w:tab/>
        <w:t>A continuación se resumen los cambios propuestos en la Norma ST.37 acordados por el Equipo Técnico:</w:t>
      </w:r>
    </w:p>
    <w:p w14:paraId="3FDE5670" w14:textId="77777777" w:rsidR="00332A3B" w:rsidRPr="00332A3B" w:rsidRDefault="00332A3B" w:rsidP="00332A3B">
      <w:pPr>
        <w:pStyle w:val="ListParagraph"/>
        <w:numPr>
          <w:ilvl w:val="0"/>
          <w:numId w:val="7"/>
        </w:numPr>
        <w:tabs>
          <w:tab w:val="left" w:pos="1080"/>
        </w:tabs>
        <w:spacing w:after="240"/>
        <w:ind w:left="547" w:firstLine="0"/>
        <w:contextualSpacing w:val="0"/>
        <w:rPr>
          <w:lang w:val="es-ES_tradnl"/>
        </w:rPr>
      </w:pPr>
      <w:r w:rsidRPr="00332A3B">
        <w:rPr>
          <w:lang w:val="es-ES_tradnl"/>
        </w:rPr>
        <w:t>Reestructurar el contenido del cuerpo principal de la norma ST.37 de la OMPI en cuatro nuevas secciones: la primera, relativa a los elementos obligatorios de los ficheros de referencia, la segunda, relativa a los elementos opcionales de los ficheros de referencia, la tercera, relativa al formato de archivo y convenciones de nombres y la cuarta, relativa a la aplicación de la norma ST.37 de la OMPI;</w:t>
      </w:r>
    </w:p>
    <w:p w14:paraId="4FA6EA31" w14:textId="13656F75" w:rsidR="00332A3B" w:rsidRPr="00332A3B" w:rsidRDefault="00332A3B" w:rsidP="00332A3B">
      <w:pPr>
        <w:pStyle w:val="ListParagraph"/>
        <w:numPr>
          <w:ilvl w:val="0"/>
          <w:numId w:val="7"/>
        </w:numPr>
        <w:tabs>
          <w:tab w:val="left" w:pos="1080"/>
        </w:tabs>
        <w:spacing w:after="240"/>
        <w:ind w:left="547" w:firstLine="0"/>
        <w:contextualSpacing w:val="0"/>
        <w:rPr>
          <w:lang w:val="es-ES_tradnl"/>
        </w:rPr>
      </w:pPr>
      <w:r w:rsidRPr="00332A3B">
        <w:rPr>
          <w:lang w:val="es-ES_tradnl"/>
        </w:rPr>
        <w:t xml:space="preserve">incluir un índice e información detallada de las notaciones utilizadas a lo largo de la Norma ST.37, que se incluyen habitualmente en las normas técnicas de la OMPI; </w:t>
      </w:r>
    </w:p>
    <w:p w14:paraId="51733C08" w14:textId="2DD42728" w:rsidR="00332A3B" w:rsidRPr="00332A3B" w:rsidRDefault="00332A3B" w:rsidP="00332A3B">
      <w:pPr>
        <w:pStyle w:val="ListParagraph"/>
        <w:numPr>
          <w:ilvl w:val="0"/>
          <w:numId w:val="7"/>
        </w:numPr>
        <w:tabs>
          <w:tab w:val="left" w:pos="1080"/>
        </w:tabs>
        <w:spacing w:after="240"/>
        <w:ind w:left="547" w:firstLine="0"/>
        <w:contextualSpacing w:val="0"/>
        <w:rPr>
          <w:lang w:val="es-ES_tradnl"/>
        </w:rPr>
      </w:pPr>
      <w:r w:rsidRPr="00332A3B">
        <w:rPr>
          <w:lang w:val="es-ES_tradnl"/>
        </w:rPr>
        <w:t xml:space="preserve">incluir definiciones adicionales en el párrafo 4, entre otras, definiciones de “susceptible de búsqueda en texto” y “código de excepción de la publicación”; </w:t>
      </w:r>
    </w:p>
    <w:p w14:paraId="4CD2DDC4" w14:textId="77777777" w:rsidR="00332A3B" w:rsidRPr="00332A3B" w:rsidRDefault="00332A3B" w:rsidP="00332A3B">
      <w:pPr>
        <w:pStyle w:val="ListParagraph"/>
        <w:numPr>
          <w:ilvl w:val="0"/>
          <w:numId w:val="7"/>
        </w:numPr>
        <w:tabs>
          <w:tab w:val="left" w:pos="1080"/>
        </w:tabs>
        <w:spacing w:after="240"/>
        <w:ind w:left="547" w:firstLine="0"/>
        <w:contextualSpacing w:val="0"/>
        <w:rPr>
          <w:lang w:val="es-ES_tradnl"/>
        </w:rPr>
      </w:pPr>
      <w:r w:rsidRPr="00332A3B">
        <w:rPr>
          <w:lang w:val="es-ES_tradnl"/>
        </w:rPr>
        <w:t xml:space="preserve">actualizar la lista de códigos de excepción permitidos y mejorar las descripciones conexas, a fin de velar por un uso coherente; </w:t>
      </w:r>
    </w:p>
    <w:p w14:paraId="50928065" w14:textId="6A671106" w:rsidR="00332A3B" w:rsidRPr="00332A3B" w:rsidRDefault="00332A3B" w:rsidP="00332A3B">
      <w:pPr>
        <w:pStyle w:val="ListParagraph"/>
        <w:numPr>
          <w:ilvl w:val="0"/>
          <w:numId w:val="7"/>
        </w:numPr>
        <w:tabs>
          <w:tab w:val="left" w:pos="1080"/>
        </w:tabs>
        <w:spacing w:after="240"/>
        <w:ind w:left="547" w:firstLine="0"/>
        <w:contextualSpacing w:val="0"/>
        <w:rPr>
          <w:lang w:val="es-ES_tradnl"/>
        </w:rPr>
      </w:pPr>
      <w:r w:rsidRPr="00332A3B">
        <w:rPr>
          <w:lang w:val="es-ES_tradnl"/>
        </w:rPr>
        <w:t xml:space="preserve">suprimir el código de tipo como uno de los subelementos permitidos en la identificación de las solicitud de prioridad, definida en el nuevo párrafo 19.c); </w:t>
      </w:r>
    </w:p>
    <w:p w14:paraId="1F547484" w14:textId="723DF50B" w:rsidR="00332A3B" w:rsidRPr="00332A3B" w:rsidRDefault="00332A3B" w:rsidP="00332A3B">
      <w:pPr>
        <w:pStyle w:val="ListParagraph"/>
        <w:numPr>
          <w:ilvl w:val="0"/>
          <w:numId w:val="7"/>
        </w:numPr>
        <w:tabs>
          <w:tab w:val="left" w:pos="1080"/>
        </w:tabs>
        <w:spacing w:after="240"/>
        <w:ind w:left="547" w:firstLine="0"/>
        <w:contextualSpacing w:val="0"/>
        <w:rPr>
          <w:lang w:val="es-ES_tradnl"/>
        </w:rPr>
      </w:pPr>
      <w:r w:rsidRPr="00332A3B">
        <w:rPr>
          <w:lang w:val="es-ES_tradnl"/>
        </w:rPr>
        <w:t xml:space="preserve">suprimir “U” como indicador susceptible de búsqueda en texto permitido, definido en el nuevo párrafo 19.d); </w:t>
      </w:r>
    </w:p>
    <w:p w14:paraId="0606ACEB" w14:textId="77777777" w:rsidR="00332A3B" w:rsidRPr="00332A3B" w:rsidRDefault="00332A3B" w:rsidP="00332A3B">
      <w:pPr>
        <w:pStyle w:val="ListParagraph"/>
        <w:numPr>
          <w:ilvl w:val="0"/>
          <w:numId w:val="7"/>
        </w:numPr>
        <w:tabs>
          <w:tab w:val="left" w:pos="1080"/>
        </w:tabs>
        <w:spacing w:after="240"/>
        <w:ind w:left="547" w:firstLine="0"/>
        <w:contextualSpacing w:val="0"/>
        <w:rPr>
          <w:lang w:val="es-ES_tradnl"/>
        </w:rPr>
      </w:pPr>
      <w:r w:rsidRPr="00332A3B">
        <w:rPr>
          <w:lang w:val="es-ES_tradnl"/>
        </w:rPr>
        <w:t xml:space="preserve">actualizar el Anexo I para suprimir la referencias a los códigos de excepción obsoletos; </w:t>
      </w:r>
    </w:p>
    <w:p w14:paraId="4924795B" w14:textId="77777777" w:rsidR="00332A3B" w:rsidRPr="00332A3B" w:rsidRDefault="00332A3B" w:rsidP="00332A3B">
      <w:pPr>
        <w:pStyle w:val="ListParagraph"/>
        <w:numPr>
          <w:ilvl w:val="0"/>
          <w:numId w:val="7"/>
        </w:numPr>
        <w:tabs>
          <w:tab w:val="left" w:pos="1080"/>
        </w:tabs>
        <w:spacing w:after="240"/>
        <w:ind w:left="540" w:firstLine="0"/>
        <w:contextualSpacing w:val="0"/>
        <w:rPr>
          <w:lang w:val="es-ES_tradnl"/>
        </w:rPr>
      </w:pPr>
      <w:r w:rsidRPr="00332A3B">
        <w:rPr>
          <w:lang w:val="es-ES_tradnl"/>
        </w:rPr>
        <w:t xml:space="preserve">actualizar el Anexo IV (DTD) y el Apéndice conexo, para armonizarlo y suprimir las incoherencias con el Anexo III (Esquema de XML); </w:t>
      </w:r>
    </w:p>
    <w:p w14:paraId="17506490" w14:textId="77777777" w:rsidR="00332A3B" w:rsidRPr="00332A3B" w:rsidRDefault="00332A3B" w:rsidP="00332A3B">
      <w:pPr>
        <w:pStyle w:val="ListParagraph"/>
        <w:numPr>
          <w:ilvl w:val="0"/>
          <w:numId w:val="7"/>
        </w:numPr>
        <w:tabs>
          <w:tab w:val="left" w:pos="1080"/>
        </w:tabs>
        <w:spacing w:after="240"/>
        <w:ind w:left="540" w:firstLine="0"/>
        <w:contextualSpacing w:val="0"/>
        <w:rPr>
          <w:lang w:val="es-ES_tradnl"/>
        </w:rPr>
      </w:pPr>
      <w:r w:rsidRPr="00332A3B">
        <w:rPr>
          <w:lang w:val="es-ES_tradnl"/>
        </w:rPr>
        <w:t>incluir una referencia a las Indicaciones de la OMPI sobre los ficheros de referencia; y</w:t>
      </w:r>
    </w:p>
    <w:p w14:paraId="022EAD40" w14:textId="77777777" w:rsidR="00332A3B" w:rsidRPr="00332A3B" w:rsidRDefault="00332A3B" w:rsidP="00332A3B">
      <w:pPr>
        <w:pStyle w:val="ListParagraph"/>
        <w:numPr>
          <w:ilvl w:val="0"/>
          <w:numId w:val="7"/>
        </w:numPr>
        <w:tabs>
          <w:tab w:val="left" w:pos="1080"/>
        </w:tabs>
        <w:spacing w:after="240"/>
        <w:ind w:left="540" w:firstLine="0"/>
        <w:contextualSpacing w:val="0"/>
        <w:rPr>
          <w:lang w:val="es-ES_tradnl"/>
        </w:rPr>
      </w:pPr>
      <w:r w:rsidRPr="00332A3B">
        <w:rPr>
          <w:lang w:val="es-ES_tradnl"/>
        </w:rPr>
        <w:t>proporcionar aclaraciones en la norma y suprimir incoherencias en el texto, cuando proceda.</w:t>
      </w:r>
    </w:p>
    <w:p w14:paraId="53B927EC" w14:textId="77777777" w:rsidR="00332A3B" w:rsidRPr="00332A3B" w:rsidRDefault="00332A3B" w:rsidP="00332A3B">
      <w:pPr>
        <w:spacing w:after="240"/>
        <w:rPr>
          <w:lang w:val="es-ES_tradnl"/>
        </w:rPr>
      </w:pPr>
      <w:r w:rsidRPr="00332A3B">
        <w:rPr>
          <w:lang w:val="es-ES_tradnl"/>
        </w:rPr>
        <w:fldChar w:fldCharType="begin"/>
      </w:r>
      <w:r w:rsidRPr="00332A3B">
        <w:rPr>
          <w:lang w:val="es-ES_tradnl"/>
        </w:rPr>
        <w:instrText xml:space="preserve"> AUTONUM  </w:instrText>
      </w:r>
      <w:r w:rsidRPr="00332A3B">
        <w:rPr>
          <w:lang w:val="es-ES_tradnl"/>
        </w:rPr>
        <w:fldChar w:fldCharType="end"/>
      </w:r>
      <w:r w:rsidRPr="00332A3B">
        <w:rPr>
          <w:lang w:val="es-ES_tradnl"/>
        </w:rPr>
        <w:tab/>
        <w:t>Además de los cambios indicados en el párrafo 7, la Secretaría propone los cambios siguientes:</w:t>
      </w:r>
    </w:p>
    <w:p w14:paraId="013D6102" w14:textId="77777777" w:rsidR="00332A3B" w:rsidRPr="00332A3B" w:rsidRDefault="00332A3B" w:rsidP="00332A3B">
      <w:pPr>
        <w:pStyle w:val="ListParagraph"/>
        <w:numPr>
          <w:ilvl w:val="0"/>
          <w:numId w:val="9"/>
        </w:numPr>
        <w:spacing w:after="240"/>
        <w:ind w:left="1166" w:hanging="630"/>
        <w:contextualSpacing w:val="0"/>
        <w:rPr>
          <w:lang w:val="es-ES_tradnl"/>
        </w:rPr>
      </w:pPr>
      <w:r w:rsidRPr="00332A3B">
        <w:rPr>
          <w:lang w:val="es-ES_tradnl"/>
        </w:rPr>
        <w:t xml:space="preserve">actualizar la norma para que sea obligatorio proporcionar un archivo de definiciones; </w:t>
      </w:r>
    </w:p>
    <w:p w14:paraId="2ABF2CCB" w14:textId="77777777" w:rsidR="00332A3B" w:rsidRPr="00332A3B" w:rsidRDefault="00332A3B" w:rsidP="00332A3B">
      <w:pPr>
        <w:pStyle w:val="ListParagraph"/>
        <w:numPr>
          <w:ilvl w:val="0"/>
          <w:numId w:val="9"/>
        </w:numPr>
        <w:spacing w:after="240"/>
        <w:ind w:left="1166" w:hanging="630"/>
        <w:contextualSpacing w:val="0"/>
        <w:rPr>
          <w:lang w:val="es-ES_tradnl"/>
        </w:rPr>
      </w:pPr>
      <w:r w:rsidRPr="00332A3B">
        <w:rPr>
          <w:lang w:val="es-ES_tradnl"/>
        </w:rPr>
        <w:t>actualizar el Anexo III (Esquema de XML) para determinar el intervalo de fechas respecto del que es válido un intervalo de números de publicación; y</w:t>
      </w:r>
    </w:p>
    <w:p w14:paraId="032641E4" w14:textId="77777777" w:rsidR="00332A3B" w:rsidRPr="00332A3B" w:rsidRDefault="00332A3B" w:rsidP="00332A3B">
      <w:pPr>
        <w:pStyle w:val="ListParagraph"/>
        <w:numPr>
          <w:ilvl w:val="0"/>
          <w:numId w:val="9"/>
        </w:numPr>
        <w:spacing w:after="360"/>
        <w:ind w:left="1168" w:hanging="629"/>
        <w:contextualSpacing w:val="0"/>
        <w:rPr>
          <w:lang w:val="es-ES_tradnl"/>
        </w:rPr>
      </w:pPr>
      <w:r w:rsidRPr="00332A3B">
        <w:rPr>
          <w:lang w:val="es-ES_tradnl"/>
        </w:rPr>
        <w:t>actualizar el Anexo III para incluir en la parte superior de la documentación una lista de los cambios efectuados desde la versión 2.2 de la Norma ST.37.</w:t>
      </w:r>
    </w:p>
    <w:p w14:paraId="6DBA7425" w14:textId="77777777" w:rsidR="00332A3B" w:rsidRPr="00332A3B" w:rsidRDefault="00332A3B" w:rsidP="00332A3B">
      <w:pPr>
        <w:pStyle w:val="Heading2"/>
        <w:spacing w:before="0" w:after="120"/>
        <w:rPr>
          <w:lang w:val="es-ES_tradnl"/>
        </w:rPr>
      </w:pPr>
      <w:r w:rsidRPr="00332A3B">
        <w:rPr>
          <w:lang w:val="es-ES_tradnl"/>
        </w:rPr>
        <w:t>Requisitos para la transición y versiones</w:t>
      </w:r>
    </w:p>
    <w:p w14:paraId="2506AD5D" w14:textId="675C77C1" w:rsidR="00332A3B" w:rsidRPr="00332A3B" w:rsidRDefault="00332A3B" w:rsidP="00332A3B">
      <w:pPr>
        <w:spacing w:after="240"/>
        <w:rPr>
          <w:lang w:val="es-ES_tradnl"/>
        </w:rPr>
      </w:pPr>
      <w:r w:rsidRPr="00332A3B">
        <w:rPr>
          <w:lang w:val="es-ES_tradnl"/>
        </w:rPr>
        <w:fldChar w:fldCharType="begin"/>
      </w:r>
      <w:r w:rsidRPr="00332A3B">
        <w:rPr>
          <w:lang w:val="es-ES_tradnl"/>
        </w:rPr>
        <w:instrText xml:space="preserve"> AUTONUM  </w:instrText>
      </w:r>
      <w:r w:rsidRPr="00332A3B">
        <w:rPr>
          <w:lang w:val="es-ES_tradnl"/>
        </w:rPr>
        <w:fldChar w:fldCharType="end"/>
      </w:r>
      <w:r w:rsidRPr="00332A3B">
        <w:rPr>
          <w:lang w:val="es-ES_tradnl"/>
        </w:rPr>
        <w:tab/>
        <w:t xml:space="preserve">La nueva revisión de la Norma ST.37 se propone como versión 3.0. Esto se debe a los cambios introducidos en los Anexos III y IV, que no se consideran compatibles con la versión 2.2 y por lo tanto se considera una actualización importante. </w:t>
      </w:r>
    </w:p>
    <w:p w14:paraId="0C35899A" w14:textId="048229AC" w:rsidR="00332A3B" w:rsidRPr="00332A3B" w:rsidRDefault="00332A3B" w:rsidP="00332A3B">
      <w:pPr>
        <w:spacing w:after="240"/>
        <w:rPr>
          <w:lang w:val="es-ES_tradnl"/>
        </w:rPr>
      </w:pPr>
      <w:r w:rsidRPr="00332A3B">
        <w:rPr>
          <w:lang w:val="es-ES_tradnl"/>
        </w:rPr>
        <w:fldChar w:fldCharType="begin"/>
      </w:r>
      <w:r w:rsidRPr="00332A3B">
        <w:rPr>
          <w:lang w:val="es-ES_tradnl"/>
        </w:rPr>
        <w:instrText xml:space="preserve"> AUTONUM  </w:instrText>
      </w:r>
      <w:r w:rsidRPr="00332A3B">
        <w:rPr>
          <w:lang w:val="es-ES_tradnl"/>
        </w:rPr>
        <w:fldChar w:fldCharType="end"/>
      </w:r>
      <w:r w:rsidRPr="00332A3B">
        <w:rPr>
          <w:lang w:val="es-ES_tradnl"/>
        </w:rPr>
        <w:tab/>
        <w:t>El CWS debe tomar nota de que al generar un fichero de referencia o actualizar uno existente, podrá utilizarse cualquier versión de la Norma ST.37 de la OMPI. Sin embargo, la Oficina Internacional siempre recomienda que se aplique el uso de la versión más reciente de las normas técnicas de la OMPI. La versión 3.0 entrará en vigor a partir de la fecha de publicación de la norma. En el caso de las Oficinas que deseen que se incluyan sus colecciones de patentes y modelos de utilidad en la documentación mínima del PCT, deberá utilizarse la versión 2.2 o la 3.0.</w:t>
      </w:r>
    </w:p>
    <w:p w14:paraId="7CEC90FD" w14:textId="7BAD6030" w:rsidR="00332A3B" w:rsidRPr="00332A3B" w:rsidRDefault="00332A3B" w:rsidP="00332A3B">
      <w:pPr>
        <w:spacing w:after="240"/>
        <w:rPr>
          <w:lang w:val="es-ES_tradnl"/>
        </w:rPr>
      </w:pPr>
      <w:r w:rsidRPr="00332A3B">
        <w:rPr>
          <w:lang w:val="es-ES_tradnl"/>
        </w:rPr>
        <w:fldChar w:fldCharType="begin"/>
      </w:r>
      <w:r w:rsidRPr="00332A3B">
        <w:rPr>
          <w:lang w:val="es-ES_tradnl"/>
        </w:rPr>
        <w:instrText xml:space="preserve"> AUTONUM  </w:instrText>
      </w:r>
      <w:r w:rsidRPr="00332A3B">
        <w:rPr>
          <w:lang w:val="es-ES_tradnl"/>
        </w:rPr>
        <w:fldChar w:fldCharType="end"/>
      </w:r>
      <w:r w:rsidRPr="00332A3B">
        <w:rPr>
          <w:lang w:val="es-ES_tradnl"/>
        </w:rPr>
        <w:tab/>
        <w:t xml:space="preserve">Las Oficinas que apliquen la Norma ST.37 de la OMPI y que requieran asistencia técnica deberán remitirse a las Indicaciones sobre los ficheros de referencia, en: </w:t>
      </w:r>
      <w:hyperlink r:id="rId15" w:history="1">
        <w:r w:rsidR="00981DDD" w:rsidRPr="002458D7">
          <w:rPr>
            <w:rStyle w:val="Hyperlink"/>
            <w:lang w:val="es-ES_tradnl"/>
          </w:rPr>
          <w:t>https://www.wipo.int/es/web/standards/authority-file-guidelines</w:t>
        </w:r>
      </w:hyperlink>
      <w:r w:rsidRPr="00332A3B">
        <w:rPr>
          <w:lang w:val="es-ES_tradnl"/>
        </w:rPr>
        <w:t xml:space="preserve"> o de otro modo, ponerse en contacto con la Oficina Internacional en: </w:t>
      </w:r>
      <w:hyperlink r:id="rId16" w:history="1">
        <w:r w:rsidRPr="00332A3B">
          <w:rPr>
            <w:rStyle w:val="Hyperlink"/>
            <w:lang w:val="es-ES_tradnl"/>
          </w:rPr>
          <w:t>standards@wipo.int</w:t>
        </w:r>
      </w:hyperlink>
      <w:r w:rsidRPr="00332A3B">
        <w:rPr>
          <w:lang w:val="es-ES_tradnl"/>
        </w:rPr>
        <w:t>.</w:t>
      </w:r>
    </w:p>
    <w:p w14:paraId="1A833505" w14:textId="77777777" w:rsidR="00332A3B" w:rsidRPr="00332A3B" w:rsidRDefault="00332A3B" w:rsidP="00332A3B">
      <w:pPr>
        <w:spacing w:after="240"/>
        <w:ind w:left="5530"/>
        <w:rPr>
          <w:i/>
          <w:iCs/>
          <w:lang w:val="es-ES_tradnl"/>
        </w:rPr>
      </w:pPr>
      <w:r w:rsidRPr="00332A3B">
        <w:rPr>
          <w:i/>
          <w:lang w:val="es-ES_tradnl"/>
        </w:rPr>
        <w:fldChar w:fldCharType="begin"/>
      </w:r>
      <w:r w:rsidRPr="00332A3B">
        <w:rPr>
          <w:i/>
          <w:lang w:val="es-ES_tradnl"/>
        </w:rPr>
        <w:instrText xml:space="preserve"> AUTONUM  </w:instrText>
      </w:r>
      <w:r w:rsidRPr="00332A3B">
        <w:rPr>
          <w:i/>
          <w:lang w:val="es-ES_tradnl"/>
        </w:rPr>
        <w:fldChar w:fldCharType="end"/>
      </w:r>
      <w:r w:rsidRPr="00332A3B">
        <w:rPr>
          <w:i/>
          <w:lang w:val="es-ES_tradnl"/>
        </w:rPr>
        <w:tab/>
        <w:t>Se invita al CWS a:</w:t>
      </w:r>
    </w:p>
    <w:p w14:paraId="3695C514" w14:textId="2EEE3C0A" w:rsidR="00332A3B" w:rsidRPr="00332A3B" w:rsidRDefault="00332A3B" w:rsidP="00332A3B">
      <w:pPr>
        <w:pStyle w:val="ONUME"/>
        <w:numPr>
          <w:ilvl w:val="0"/>
          <w:numId w:val="8"/>
        </w:numPr>
        <w:spacing w:after="240"/>
        <w:ind w:left="5530" w:firstLine="691"/>
        <w:rPr>
          <w:i/>
          <w:iCs/>
          <w:lang w:val="es-ES_tradnl"/>
        </w:rPr>
      </w:pPr>
      <w:r w:rsidRPr="00332A3B">
        <w:rPr>
          <w:i/>
          <w:lang w:val="es-ES_tradnl"/>
        </w:rPr>
        <w:t>tomar nota del contenido del presente documento y de sus Anexos;</w:t>
      </w:r>
    </w:p>
    <w:p w14:paraId="2AB655F3" w14:textId="54F91F13" w:rsidR="00332A3B" w:rsidRPr="00332A3B" w:rsidRDefault="00332A3B" w:rsidP="00332A3B">
      <w:pPr>
        <w:pStyle w:val="ONUME"/>
        <w:numPr>
          <w:ilvl w:val="0"/>
          <w:numId w:val="8"/>
        </w:numPr>
        <w:spacing w:after="240"/>
        <w:ind w:left="5530" w:firstLine="691"/>
        <w:rPr>
          <w:i/>
          <w:iCs/>
          <w:lang w:val="es-ES_tradnl"/>
        </w:rPr>
      </w:pPr>
      <w:r w:rsidRPr="00332A3B">
        <w:rPr>
          <w:i/>
          <w:lang w:val="es-ES_tradnl"/>
        </w:rPr>
        <w:t>examinar y aprobar la propuesta de revisión de la Norma ST.37 de la OMPI mencionada en los párrafos 6 a 8 y detalladas en los Anexos del presente documento; y</w:t>
      </w:r>
    </w:p>
    <w:p w14:paraId="300C2245" w14:textId="772A5AE7" w:rsidR="00332A3B" w:rsidRPr="00332A3B" w:rsidRDefault="00332A3B" w:rsidP="00332A3B">
      <w:pPr>
        <w:pStyle w:val="ONUME"/>
        <w:numPr>
          <w:ilvl w:val="0"/>
          <w:numId w:val="8"/>
        </w:numPr>
        <w:spacing w:after="600"/>
        <w:ind w:left="5528" w:firstLine="692"/>
        <w:rPr>
          <w:i/>
          <w:iCs/>
          <w:lang w:val="es-ES_tradnl"/>
        </w:rPr>
      </w:pPr>
      <w:r w:rsidRPr="00332A3B">
        <w:rPr>
          <w:i/>
          <w:lang w:val="es-ES_tradnl"/>
        </w:rPr>
        <w:t>aprobar la nueva versión como versión 3.0 de la Norma ST.37 de la OMPI, según se indica en el párrafo 9.</w:t>
      </w:r>
    </w:p>
    <w:p w14:paraId="440DB651" w14:textId="4174EE2C" w:rsidR="00332A3B" w:rsidRPr="00332A3B" w:rsidRDefault="00332A3B" w:rsidP="00332A3B">
      <w:pPr>
        <w:pStyle w:val="Endofdocument-Annex"/>
        <w:rPr>
          <w:iCs/>
          <w:lang w:val="es-ES_tradnl"/>
        </w:rPr>
      </w:pPr>
      <w:r w:rsidRPr="00332A3B">
        <w:rPr>
          <w:lang w:val="es-ES_tradnl"/>
        </w:rPr>
        <w:t>[Anexo I (sigue la versión revisada de la Norma ST.37 de la OMPI)]</w:t>
      </w:r>
    </w:p>
    <w:sectPr w:rsidR="00332A3B" w:rsidRPr="00332A3B" w:rsidSect="00332A3B">
      <w:headerReference w:type="default" r:id="rId17"/>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0CC94" w14:textId="77777777" w:rsidR="00C36C2D" w:rsidRDefault="00C36C2D">
      <w:r>
        <w:separator/>
      </w:r>
    </w:p>
  </w:endnote>
  <w:endnote w:type="continuationSeparator" w:id="0">
    <w:p w14:paraId="4E449661" w14:textId="77777777" w:rsidR="00C36C2D" w:rsidRPr="009D30E6" w:rsidRDefault="00C36C2D" w:rsidP="007E663E">
      <w:pPr>
        <w:rPr>
          <w:sz w:val="17"/>
          <w:szCs w:val="17"/>
        </w:rPr>
      </w:pPr>
      <w:r w:rsidRPr="009D30E6">
        <w:rPr>
          <w:sz w:val="17"/>
          <w:szCs w:val="17"/>
        </w:rPr>
        <w:separator/>
      </w:r>
    </w:p>
    <w:p w14:paraId="3849E4F9" w14:textId="77777777" w:rsidR="00C36C2D" w:rsidRPr="007E663E" w:rsidRDefault="00C36C2D" w:rsidP="007E663E">
      <w:pPr>
        <w:spacing w:after="60"/>
        <w:rPr>
          <w:sz w:val="17"/>
          <w:szCs w:val="17"/>
        </w:rPr>
      </w:pPr>
      <w:r>
        <w:rPr>
          <w:sz w:val="17"/>
        </w:rPr>
        <w:t>[Continuación de la nota de la página anterior]</w:t>
      </w:r>
    </w:p>
  </w:endnote>
  <w:endnote w:type="continuationNotice" w:id="1">
    <w:p w14:paraId="4B3B8BE4" w14:textId="77777777" w:rsidR="00C36C2D" w:rsidRPr="007E663E" w:rsidRDefault="00C36C2D"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5A06E" w14:textId="77777777" w:rsidR="00C36C2D" w:rsidRDefault="00C36C2D">
      <w:r>
        <w:separator/>
      </w:r>
    </w:p>
  </w:footnote>
  <w:footnote w:type="continuationSeparator" w:id="0">
    <w:p w14:paraId="71706A8D" w14:textId="77777777" w:rsidR="00C36C2D" w:rsidRPr="009D30E6" w:rsidRDefault="00C36C2D" w:rsidP="007E663E">
      <w:pPr>
        <w:rPr>
          <w:sz w:val="17"/>
          <w:szCs w:val="17"/>
        </w:rPr>
      </w:pPr>
      <w:r w:rsidRPr="009D30E6">
        <w:rPr>
          <w:sz w:val="17"/>
          <w:szCs w:val="17"/>
        </w:rPr>
        <w:separator/>
      </w:r>
    </w:p>
    <w:p w14:paraId="00B4A048" w14:textId="77777777" w:rsidR="00C36C2D" w:rsidRPr="007E663E" w:rsidRDefault="00C36C2D" w:rsidP="007E663E">
      <w:pPr>
        <w:spacing w:after="60"/>
        <w:rPr>
          <w:sz w:val="17"/>
          <w:szCs w:val="17"/>
        </w:rPr>
      </w:pPr>
      <w:r>
        <w:rPr>
          <w:sz w:val="17"/>
        </w:rPr>
        <w:t>[Continuación de la nota de la página anterior]</w:t>
      </w:r>
    </w:p>
  </w:footnote>
  <w:footnote w:type="continuationNotice" w:id="1">
    <w:p w14:paraId="3818D6EC" w14:textId="77777777" w:rsidR="00C36C2D" w:rsidRPr="007E663E" w:rsidRDefault="00C36C2D"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DE3C8" w14:textId="69946850" w:rsidR="00AE7F20" w:rsidRDefault="00332A3B" w:rsidP="00477D6B">
    <w:pPr>
      <w:jc w:val="right"/>
    </w:pPr>
    <w:bookmarkStart w:id="5" w:name="Code2"/>
    <w:bookmarkEnd w:id="5"/>
    <w:r>
      <w:t>CWS/13/17</w:t>
    </w:r>
    <w:r w:rsidR="00636CF9">
      <w:t xml:space="preserve"> Rev.</w:t>
    </w:r>
    <w:r w:rsidR="00F02273">
      <w:t xml:space="preserve"> 2</w:t>
    </w:r>
  </w:p>
  <w:p w14:paraId="36D85F60" w14:textId="77777777" w:rsidR="00AE7F20" w:rsidRDefault="00AE7F20" w:rsidP="00477D6B">
    <w:pPr>
      <w:jc w:val="right"/>
    </w:pPr>
    <w:r>
      <w:t xml:space="preserve">página </w:t>
    </w:r>
    <w:r>
      <w:fldChar w:fldCharType="begin"/>
    </w:r>
    <w:r>
      <w:instrText xml:space="preserve"> PAGE  \* MERGEFORMAT </w:instrText>
    </w:r>
    <w:r>
      <w:fldChar w:fldCharType="separate"/>
    </w:r>
    <w:r w:rsidR="00EC1AA7">
      <w:rPr>
        <w:noProof/>
      </w:rPr>
      <w:t>2</w:t>
    </w:r>
    <w:r>
      <w:fldChar w:fldCharType="end"/>
    </w:r>
  </w:p>
  <w:p w14:paraId="25CFB90C" w14:textId="77777777" w:rsidR="00AE7F20" w:rsidRDefault="00AE7F20" w:rsidP="00477D6B">
    <w:pPr>
      <w:jc w:val="right"/>
    </w:pPr>
  </w:p>
  <w:p w14:paraId="2CFACCAA" w14:textId="77777777" w:rsidR="00EC1AA7" w:rsidRDefault="00EC1AA7"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B8F1A80"/>
    <w:multiLevelType w:val="multilevel"/>
    <w:tmpl w:val="157691C4"/>
    <w:lvl w:ilvl="0">
      <w:start w:val="1"/>
      <w:numFmt w:val="lowerLetter"/>
      <w:lvlText w:val="%1)"/>
      <w:lvlJc w:val="left"/>
      <w:pPr>
        <w:tabs>
          <w:tab w:val="num" w:pos="1118"/>
        </w:tabs>
        <w:ind w:left="551" w:firstLine="0"/>
      </w:pPr>
      <w:rPr>
        <w:rFonts w:hint="default"/>
      </w:rPr>
    </w:lvl>
    <w:lvl w:ilvl="1">
      <w:start w:val="1"/>
      <w:numFmt w:val="lowerLetter"/>
      <w:lvlText w:val="(%2)"/>
      <w:lvlJc w:val="left"/>
      <w:pPr>
        <w:tabs>
          <w:tab w:val="num" w:pos="1685"/>
        </w:tabs>
        <w:ind w:left="1118" w:firstLine="0"/>
      </w:pPr>
      <w:rPr>
        <w:rFonts w:hint="default"/>
      </w:rPr>
    </w:lvl>
    <w:lvl w:ilvl="2">
      <w:start w:val="1"/>
      <w:numFmt w:val="lowerRoman"/>
      <w:lvlText w:val="(%3)"/>
      <w:lvlJc w:val="left"/>
      <w:pPr>
        <w:tabs>
          <w:tab w:val="num" w:pos="2252"/>
        </w:tabs>
        <w:ind w:left="1685" w:firstLine="0"/>
      </w:pPr>
      <w:rPr>
        <w:rFonts w:hint="default"/>
      </w:rPr>
    </w:lvl>
    <w:lvl w:ilvl="3">
      <w:start w:val="1"/>
      <w:numFmt w:val="bullet"/>
      <w:lvlText w:val=""/>
      <w:lvlJc w:val="left"/>
      <w:pPr>
        <w:tabs>
          <w:tab w:val="num" w:pos="2819"/>
        </w:tabs>
        <w:ind w:left="2252" w:firstLine="0"/>
      </w:pPr>
      <w:rPr>
        <w:rFonts w:hint="default"/>
      </w:rPr>
    </w:lvl>
    <w:lvl w:ilvl="4">
      <w:start w:val="1"/>
      <w:numFmt w:val="bullet"/>
      <w:lvlText w:val=""/>
      <w:lvlJc w:val="left"/>
      <w:pPr>
        <w:tabs>
          <w:tab w:val="num" w:pos="3386"/>
        </w:tabs>
        <w:ind w:left="2819" w:firstLine="0"/>
      </w:pPr>
      <w:rPr>
        <w:rFonts w:hint="default"/>
      </w:rPr>
    </w:lvl>
    <w:lvl w:ilvl="5">
      <w:start w:val="1"/>
      <w:numFmt w:val="bullet"/>
      <w:lvlText w:val=""/>
      <w:lvlJc w:val="left"/>
      <w:pPr>
        <w:tabs>
          <w:tab w:val="num" w:pos="3953"/>
        </w:tabs>
        <w:ind w:left="3386" w:firstLine="0"/>
      </w:pPr>
      <w:rPr>
        <w:rFonts w:hint="default"/>
      </w:rPr>
    </w:lvl>
    <w:lvl w:ilvl="6">
      <w:start w:val="1"/>
      <w:numFmt w:val="bullet"/>
      <w:lvlText w:val=""/>
      <w:lvlJc w:val="left"/>
      <w:pPr>
        <w:tabs>
          <w:tab w:val="num" w:pos="4520"/>
        </w:tabs>
        <w:ind w:left="3953" w:firstLine="0"/>
      </w:pPr>
      <w:rPr>
        <w:rFonts w:hint="default"/>
      </w:rPr>
    </w:lvl>
    <w:lvl w:ilvl="7">
      <w:start w:val="1"/>
      <w:numFmt w:val="bullet"/>
      <w:lvlText w:val=""/>
      <w:lvlJc w:val="left"/>
      <w:pPr>
        <w:tabs>
          <w:tab w:val="num" w:pos="5086"/>
        </w:tabs>
        <w:ind w:left="4520" w:firstLine="0"/>
      </w:pPr>
      <w:rPr>
        <w:rFonts w:hint="default"/>
      </w:rPr>
    </w:lvl>
    <w:lvl w:ilvl="8">
      <w:start w:val="1"/>
      <w:numFmt w:val="bullet"/>
      <w:lvlText w:val=""/>
      <w:lvlJc w:val="left"/>
      <w:pPr>
        <w:tabs>
          <w:tab w:val="num" w:pos="5653"/>
        </w:tabs>
        <w:ind w:left="5086"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410027F"/>
    <w:multiLevelType w:val="hybridMultilevel"/>
    <w:tmpl w:val="F438CD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3B1412F"/>
    <w:multiLevelType w:val="hybridMultilevel"/>
    <w:tmpl w:val="D1B4A5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2514718">
    <w:abstractNumId w:val="3"/>
  </w:num>
  <w:num w:numId="2" w16cid:durableId="998191314">
    <w:abstractNumId w:val="6"/>
  </w:num>
  <w:num w:numId="3" w16cid:durableId="1991902540">
    <w:abstractNumId w:val="0"/>
  </w:num>
  <w:num w:numId="4" w16cid:durableId="666519932">
    <w:abstractNumId w:val="7"/>
  </w:num>
  <w:num w:numId="5" w16cid:durableId="208078558">
    <w:abstractNumId w:val="1"/>
  </w:num>
  <w:num w:numId="6" w16cid:durableId="1679113719">
    <w:abstractNumId w:val="4"/>
  </w:num>
  <w:num w:numId="7" w16cid:durableId="2068339215">
    <w:abstractNumId w:val="8"/>
  </w:num>
  <w:num w:numId="8" w16cid:durableId="1199006242">
    <w:abstractNumId w:val="2"/>
  </w:num>
  <w:num w:numId="9" w16cid:durableId="14027980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A3B"/>
    <w:rsid w:val="00005B46"/>
    <w:rsid w:val="00010686"/>
    <w:rsid w:val="00036D4B"/>
    <w:rsid w:val="00052915"/>
    <w:rsid w:val="00071BE5"/>
    <w:rsid w:val="0008465A"/>
    <w:rsid w:val="000D0E0C"/>
    <w:rsid w:val="000E3BB3"/>
    <w:rsid w:val="000F5E56"/>
    <w:rsid w:val="001362EE"/>
    <w:rsid w:val="00152CEA"/>
    <w:rsid w:val="001832A6"/>
    <w:rsid w:val="001B08BB"/>
    <w:rsid w:val="001D3950"/>
    <w:rsid w:val="001E7ED5"/>
    <w:rsid w:val="002634C4"/>
    <w:rsid w:val="002C2E2F"/>
    <w:rsid w:val="002E0F47"/>
    <w:rsid w:val="002F4E68"/>
    <w:rsid w:val="002F6F35"/>
    <w:rsid w:val="00310826"/>
    <w:rsid w:val="00332A3B"/>
    <w:rsid w:val="00354647"/>
    <w:rsid w:val="00361ABE"/>
    <w:rsid w:val="00377273"/>
    <w:rsid w:val="003845C1"/>
    <w:rsid w:val="00387287"/>
    <w:rsid w:val="003A77B4"/>
    <w:rsid w:val="003E48F1"/>
    <w:rsid w:val="003F347A"/>
    <w:rsid w:val="00423E3E"/>
    <w:rsid w:val="00427AF4"/>
    <w:rsid w:val="0045231F"/>
    <w:rsid w:val="004647DA"/>
    <w:rsid w:val="0046793F"/>
    <w:rsid w:val="00472A6E"/>
    <w:rsid w:val="00477808"/>
    <w:rsid w:val="00477D6B"/>
    <w:rsid w:val="004A6C37"/>
    <w:rsid w:val="004E28BB"/>
    <w:rsid w:val="004E297D"/>
    <w:rsid w:val="005242C0"/>
    <w:rsid w:val="00531B02"/>
    <w:rsid w:val="005332F0"/>
    <w:rsid w:val="0055013B"/>
    <w:rsid w:val="00571B99"/>
    <w:rsid w:val="00597D4C"/>
    <w:rsid w:val="005F6C09"/>
    <w:rsid w:val="00605827"/>
    <w:rsid w:val="006277A9"/>
    <w:rsid w:val="00636CF9"/>
    <w:rsid w:val="00675021"/>
    <w:rsid w:val="006A06C6"/>
    <w:rsid w:val="006F7F0B"/>
    <w:rsid w:val="007036CD"/>
    <w:rsid w:val="007224C8"/>
    <w:rsid w:val="00760CE8"/>
    <w:rsid w:val="00767841"/>
    <w:rsid w:val="00794BE2"/>
    <w:rsid w:val="007A5581"/>
    <w:rsid w:val="007B71FE"/>
    <w:rsid w:val="007D781E"/>
    <w:rsid w:val="007E663E"/>
    <w:rsid w:val="00815082"/>
    <w:rsid w:val="00870A25"/>
    <w:rsid w:val="0088395E"/>
    <w:rsid w:val="008B2CC1"/>
    <w:rsid w:val="008D4171"/>
    <w:rsid w:val="008E6BD6"/>
    <w:rsid w:val="0090731E"/>
    <w:rsid w:val="00966A22"/>
    <w:rsid w:val="00972F03"/>
    <w:rsid w:val="00981DDD"/>
    <w:rsid w:val="0098367F"/>
    <w:rsid w:val="009A0C8B"/>
    <w:rsid w:val="009A20CD"/>
    <w:rsid w:val="009B6241"/>
    <w:rsid w:val="00A16FC0"/>
    <w:rsid w:val="00A32C9E"/>
    <w:rsid w:val="00AB613D"/>
    <w:rsid w:val="00AE7F20"/>
    <w:rsid w:val="00B27FD6"/>
    <w:rsid w:val="00B534D5"/>
    <w:rsid w:val="00B65A0A"/>
    <w:rsid w:val="00B67CDC"/>
    <w:rsid w:val="00B72D36"/>
    <w:rsid w:val="00BB3FB4"/>
    <w:rsid w:val="00BC4164"/>
    <w:rsid w:val="00BD2DCC"/>
    <w:rsid w:val="00C36C2D"/>
    <w:rsid w:val="00C50BD1"/>
    <w:rsid w:val="00C90559"/>
    <w:rsid w:val="00CA0500"/>
    <w:rsid w:val="00CA2251"/>
    <w:rsid w:val="00D02E08"/>
    <w:rsid w:val="00D56C7C"/>
    <w:rsid w:val="00D71B4D"/>
    <w:rsid w:val="00D72E59"/>
    <w:rsid w:val="00D90289"/>
    <w:rsid w:val="00D93D55"/>
    <w:rsid w:val="00DC4C60"/>
    <w:rsid w:val="00DD6CF4"/>
    <w:rsid w:val="00DE2A81"/>
    <w:rsid w:val="00E0079A"/>
    <w:rsid w:val="00E444DA"/>
    <w:rsid w:val="00E45C84"/>
    <w:rsid w:val="00E504E5"/>
    <w:rsid w:val="00EB7A3E"/>
    <w:rsid w:val="00EC1AA7"/>
    <w:rsid w:val="00EC401A"/>
    <w:rsid w:val="00EF530A"/>
    <w:rsid w:val="00EF6622"/>
    <w:rsid w:val="00EF78A9"/>
    <w:rsid w:val="00F02273"/>
    <w:rsid w:val="00F55408"/>
    <w:rsid w:val="00F66152"/>
    <w:rsid w:val="00F664B7"/>
    <w:rsid w:val="00F80845"/>
    <w:rsid w:val="00F84474"/>
    <w:rsid w:val="00F91684"/>
    <w:rsid w:val="00F91BE8"/>
    <w:rsid w:val="00FA0F0D"/>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4F92C1"/>
  <w15:docId w15:val="{4E5D5307-1B1C-47EE-A085-07C06FA7B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ListParagraph">
    <w:name w:val="List Paragraph"/>
    <w:basedOn w:val="Normal"/>
    <w:uiPriority w:val="34"/>
    <w:qFormat/>
    <w:rsid w:val="00332A3B"/>
    <w:pPr>
      <w:ind w:left="720"/>
      <w:contextualSpacing/>
    </w:pPr>
  </w:style>
  <w:style w:type="character" w:styleId="Hyperlink">
    <w:name w:val="Hyperlink"/>
    <w:basedOn w:val="DefaultParagraphFont"/>
    <w:unhideWhenUsed/>
    <w:rsid w:val="00332A3B"/>
    <w:rPr>
      <w:color w:val="0000FF" w:themeColor="hyperlink"/>
      <w:u w:val="single"/>
    </w:rPr>
  </w:style>
  <w:style w:type="character" w:styleId="UnresolvedMention">
    <w:name w:val="Unresolved Mention"/>
    <w:basedOn w:val="DefaultParagraphFont"/>
    <w:uiPriority w:val="99"/>
    <w:semiHidden/>
    <w:unhideWhenUsed/>
    <w:rsid w:val="00981D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0666530">
      <w:bodyDiv w:val="1"/>
      <w:marLeft w:val="0"/>
      <w:marRight w:val="0"/>
      <w:marTop w:val="0"/>
      <w:marBottom w:val="0"/>
      <w:divBdr>
        <w:top w:val="none" w:sz="0" w:space="0" w:color="auto"/>
        <w:left w:val="none" w:sz="0" w:space="0" w:color="auto"/>
        <w:bottom w:val="none" w:sz="0" w:space="0" w:color="auto"/>
        <w:right w:val="none" w:sz="0" w:space="0" w:color="auto"/>
      </w:divBdr>
    </w:div>
    <w:div w:id="1991404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wipo.int/edocs/mdocs/cws/es/cws_12/cws_12_29.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standards@wipo.in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wipo.int/es/web/standards/authority-file-guidelines"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wipo.int/documents/d/pct-system/docs-es-circulars-2024-1660.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13%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f7a99264-aac8-44dd-b14f-8017e78a225a" ContentTypeId="0x01010043A0F979BE30A3469F998CB749C11FBD" PreviousValue="false"/>
</file>

<file path=customXml/item2.xml><?xml version="1.0" encoding="utf-8"?>
<ct:contentTypeSchema xmlns:ct="http://schemas.microsoft.com/office/2006/metadata/contentType" xmlns:ma="http://schemas.microsoft.com/office/2006/metadata/properties/metaAttributes" ct:_="" ma:_="" ma:contentTypeName="WIPO Document" ma:contentTypeID="0x01010043A0F979BE30A3469F998CB749C11FBD00E3EF1C0FCFA26B4087379DC2A12DE885" ma:contentTypeVersion="370" ma:contentTypeDescription="" ma:contentTypeScope="" ma:versionID="41f227426a3d4b4ef8b76c89293dd041">
  <xsd:schema xmlns:xsd="http://www.w3.org/2001/XMLSchema" xmlns:xs="http://www.w3.org/2001/XMLSchema" xmlns:p="http://schemas.microsoft.com/office/2006/metadata/properties" xmlns:ns2="56500874-bba0-4b48-9090-b201492e8473" xmlns:ns3="0d6abe56-55ad-41de-8124-44420a0ee71d" xmlns:ns4="ec94eb93-2160-433d-bc9d-10bdc50beb83" targetNamespace="http://schemas.microsoft.com/office/2006/metadata/properties" ma:root="true" ma:fieldsID="978197228487a963ad1cef71805b45be" ns2:_="" ns3:_="" ns4:_="">
    <xsd:import namespace="56500874-bba0-4b48-9090-b201492e8473"/>
    <xsd:import namespace="0d6abe56-55ad-41de-8124-44420a0ee71d"/>
    <xsd:import namespace="ec94eb93-2160-433d-bc9d-10bdc50beb83"/>
    <xsd:element name="properties">
      <xsd:complexType>
        <xsd:sequence>
          <xsd:element name="documentManagement">
            <xsd:complexType>
              <xsd:all>
                <xsd:element ref="ns3:ECCM_Description" minOccurs="0"/>
                <xsd:element ref="ns3:DocType" minOccurs="0"/>
                <xsd:element ref="ns2:j72d38dd587d4c818476e9c94f452b47" minOccurs="0"/>
                <xsd:element ref="ns2:TaxCatchAll" minOccurs="0"/>
                <xsd:element ref="ns2:TaxCatchAllLabel" minOccurs="0"/>
                <xsd:element ref="ns2:gd7c24c3841c42febad33c823204a123" minOccurs="0"/>
                <xsd:element ref="ns2:oec7080f59824b85bfab9bab42c36e6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j72d38dd587d4c818476e9c94f452b47" ma:index="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a374930-7795-43a3-a0f4-9466c14777ce}" ma:internalName="TaxCatchAll" ma:showField="CatchAllData"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a374930-7795-43a3-a0f4-9466c14777ce}" ma:internalName="TaxCatchAllLabel" ma:readOnly="true" ma:showField="CatchAllDataLabel"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5" nillable="true" ma:displayName="Document Type" ma:format="Dropdown" ma:internalName="DocType">
      <xsd:simpleType>
        <xsd:restriction base="dms:Choice">
          <xsd:enumeration value="Architecture Document"/>
          <xsd:enumeration value="SOP"/>
          <xsd:enumeration value="Project Initiation Document"/>
          <xsd:enumeration value="Project Closure Document"/>
          <xsd:enumeration value="Requirements Document"/>
          <xsd:enumeration value="Contingency Plan"/>
          <xsd:enumeration value="Memo"/>
          <xsd:enumeration value="Letter"/>
          <xsd:enumeration value="Report"/>
        </xsd:restriction>
      </xsd:simpleType>
    </xsd:element>
  </xsd:schema>
  <xsd:schema xmlns:xsd="http://www.w3.org/2001/XMLSchema" xmlns:xs="http://www.w3.org/2001/XMLSchema" xmlns:dms="http://schemas.microsoft.com/office/2006/documentManagement/types" xmlns:pc="http://schemas.microsoft.com/office/infopath/2007/PartnerControls" targetNamespace="ec94eb93-2160-433d-bc9d-10bdc50beb83"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5</Value>
      <Value>4</Value>
      <Value>3</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International Classifications and Standards Division</TermName>
          <TermId xmlns="http://schemas.microsoft.com/office/infopath/2007/PartnerControls">1bda9d19-f2c0-4f24-b9f1-c91ec6b8f041</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Committee Files</TermName>
          <TermId xmlns="http://schemas.microsoft.com/office/infopath/2007/PartnerControls">55687a62-9585-44b6-9628-3304e4ff88e9</TermId>
        </TermInfo>
      </Terms>
    </oec7080f59824b85bfab9bab42c36e68>
    <_dlc_DocId xmlns="ec94eb93-2160-433d-bc9d-10bdc50beb83">ICSDBFP-360348501-19967</_dlc_DocId>
    <_dlc_DocIdUrl xmlns="ec94eb93-2160-433d-bc9d-10bdc50beb83">
      <Url>https://wipoprod.sharepoint.com/sites/SPS-INT-BFP-ICSD-CWS/_layouts/15/DocIdRedir.aspx?ID=ICSDBFP-360348501-19967</Url>
      <Description>ICSDBFP-360348501-19967</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CE1B158-2CD7-406B-9C0B-AA7484CC13E1}">
  <ds:schemaRefs>
    <ds:schemaRef ds:uri="Microsoft.SharePoint.Taxonomy.ContentTypeSync"/>
  </ds:schemaRefs>
</ds:datastoreItem>
</file>

<file path=customXml/itemProps2.xml><?xml version="1.0" encoding="utf-8"?>
<ds:datastoreItem xmlns:ds="http://schemas.openxmlformats.org/officeDocument/2006/customXml" ds:itemID="{92E9C912-A7EB-474D-B9C5-5062E3818A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ec94eb93-2160-433d-bc9d-10bdc50beb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5812D7-D60E-4F28-935D-F95213FACABC}">
  <ds:schemaRefs>
    <ds:schemaRef ds:uri="http://schemas.microsoft.com/office/2006/metadata/properties"/>
    <ds:schemaRef ds:uri="http://schemas.microsoft.com/office/infopath/2007/PartnerControls"/>
    <ds:schemaRef ds:uri="56500874-bba0-4b48-9090-b201492e8473"/>
    <ds:schemaRef ds:uri="0d6abe56-55ad-41de-8124-44420a0ee71d"/>
    <ds:schemaRef ds:uri="ec94eb93-2160-433d-bc9d-10bdc50beb83"/>
  </ds:schemaRefs>
</ds:datastoreItem>
</file>

<file path=customXml/itemProps4.xml><?xml version="1.0" encoding="utf-8"?>
<ds:datastoreItem xmlns:ds="http://schemas.openxmlformats.org/officeDocument/2006/customXml" ds:itemID="{6BCC95FB-F887-4695-917F-BC44E4A5A3D1}">
  <ds:schemaRefs>
    <ds:schemaRef ds:uri="http://schemas.microsoft.com/sharepoint/v3/contenttype/forms"/>
  </ds:schemaRefs>
</ds:datastoreItem>
</file>

<file path=customXml/itemProps5.xml><?xml version="1.0" encoding="utf-8"?>
<ds:datastoreItem xmlns:ds="http://schemas.openxmlformats.org/officeDocument/2006/customXml" ds:itemID="{03C54D18-636C-4292-A508-11B6203FA68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CWS_13 (S).dotm</Template>
  <TotalTime>8</TotalTime>
  <Pages>1</Pages>
  <Words>1082</Words>
  <Characters>6173</Characters>
  <Application>Microsoft Office Word</Application>
  <DocSecurity>0</DocSecurity>
  <Lines>51</Lines>
  <Paragraphs>14</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CWS/13/17 Rev. 2 (Spanish) </vt:lpstr>
      <vt:lpstr>Comité de Normas Técnicas de la OMPI (CWS)</vt:lpstr>
      <vt:lpstr>    Decimotercera sesión Ginebra, 10 a 14 de noviembre de 2025</vt:lpstr>
      <vt:lpstr>    Resumen</vt:lpstr>
      <vt:lpstr>    Antecedentes</vt:lpstr>
      <vt:lpstr>    Propuesta de revisión de la Norma ST.37 de la OMPI</vt:lpstr>
      <vt:lpstr>    Requisitos para la transición y versiones</vt:lpstr>
    </vt:vector>
  </TitlesOfParts>
  <Company>WIPO</Company>
  <LinksUpToDate>false</LinksUpToDate>
  <CharactersWithSpaces>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CWS/13/17 Rev. 2 (Spanish) </dc:title>
  <dc:subject>Propuesta de revisión de la Norma ST.37 de la OMPI </dc:subject>
  <dc:creator>WIPO</dc:creator>
  <cp:keywords>WIPO CWS decimotercera sesión, Propuesta de revisión, Norma ST.37 de la OMPI </cp:keywords>
  <cp:lastModifiedBy>EMMETT Claudia</cp:lastModifiedBy>
  <cp:revision>11</cp:revision>
  <cp:lastPrinted>2025-11-03T15:00:00Z</cp:lastPrinted>
  <dcterms:created xsi:type="dcterms:W3CDTF">2025-09-30T05:53:00Z</dcterms:created>
  <dcterms:modified xsi:type="dcterms:W3CDTF">2025-11-03T15:00:00Z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2025-06-18T09:13:50Z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753b1817-bb2c-4ad3-9672-9b1b50420ab5</vt:lpwstr>
  </property>
  <property fmtid="{D5CDD505-2E9C-101B-9397-08002B2CF9AE}" pid="13" name="MSIP_Label_20773ee6-353b-4fb9-a59d-0b94c8c67bea_ContentBits">
    <vt:lpwstr>0</vt:lpwstr>
  </property>
  <property fmtid="{D5CDD505-2E9C-101B-9397-08002B2CF9AE}" pid="14" name="MSIP_Label_20773ee6-353b-4fb9-a59d-0b94c8c67bea_Tag">
    <vt:lpwstr>10, 0, 1, 1</vt:lpwstr>
  </property>
  <property fmtid="{D5CDD505-2E9C-101B-9397-08002B2CF9AE}" pid="15" name="ContentTypeId">
    <vt:lpwstr>0x01010043A0F979BE30A3469F998CB749C11FBD00E3EF1C0FCFA26B4087379DC2A12DE885</vt:lpwstr>
  </property>
  <property fmtid="{D5CDD505-2E9C-101B-9397-08002B2CF9AE}" pid="16" name="_dlc_DocIdItemGuid">
    <vt:lpwstr>40958783-f4be-476c-a7ae-bd5c11543198</vt:lpwstr>
  </property>
  <property fmtid="{D5CDD505-2E9C-101B-9397-08002B2CF9AE}" pid="17" name="Languages">
    <vt:lpwstr>1;#English|950e6fa2-2df0-4983-a604-54e57c7a6d93</vt:lpwstr>
  </property>
  <property fmtid="{D5CDD505-2E9C-101B-9397-08002B2CF9AE}" pid="18" name="BusinessUnit">
    <vt:lpwstr>4;#International Classifications and Standards Division|1bda9d19-f2c0-4f24-b9f1-c91ec6b8f041</vt:lpwstr>
  </property>
  <property fmtid="{D5CDD505-2E9C-101B-9397-08002B2CF9AE}" pid="19" name="MediaServiceImageTags">
    <vt:lpwstr/>
  </property>
  <property fmtid="{D5CDD505-2E9C-101B-9397-08002B2CF9AE}" pid="20" name="m4535404f5974080b635c68c1acaf1ab">
    <vt:lpwstr/>
  </property>
  <property fmtid="{D5CDD505-2E9C-101B-9397-08002B2CF9AE}" pid="21" name="RMClassification">
    <vt:lpwstr>5;#05 Committee Files|55687a62-9585-44b6-9628-3304e4ff88e9</vt:lpwstr>
  </property>
  <property fmtid="{D5CDD505-2E9C-101B-9397-08002B2CF9AE}" pid="22" name="Body1">
    <vt:lpwstr>3;#Committee on WIPO Standards|505ec630-c8e5-4e30-8a4a-e8d9be6ccbb1</vt:lpwstr>
  </property>
  <property fmtid="{D5CDD505-2E9C-101B-9397-08002B2CF9AE}" pid="23" name="ECCM_Year">
    <vt:lpwstr/>
  </property>
  <property fmtid="{D5CDD505-2E9C-101B-9397-08002B2CF9AE}" pid="24" name="k5f91d7f67f54ee29b509143279df90f">
    <vt:lpwstr/>
  </property>
  <property fmtid="{D5CDD505-2E9C-101B-9397-08002B2CF9AE}" pid="25" name="IPTopics">
    <vt:lpwstr/>
  </property>
  <property fmtid="{D5CDD505-2E9C-101B-9397-08002B2CF9AE}" pid="26" name="gbd88f87496145e58da10973a57b07b8">
    <vt:lpwstr>Committee on WIPO Standards|505ec630-c8e5-4e30-8a4a-e8d9be6ccbb1</vt:lpwstr>
  </property>
  <property fmtid="{D5CDD505-2E9C-101B-9397-08002B2CF9AE}" pid="27" name="lcf76f155ced4ddcb4097134ff3c332f">
    <vt:lpwstr/>
  </property>
</Properties>
</file>