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1042" w14:textId="4E552368" w:rsidR="00A645FB" w:rsidRPr="00E777B3" w:rsidRDefault="00A645FB" w:rsidP="0013754C">
      <w:pPr>
        <w:pStyle w:val="Heading1"/>
        <w:spacing w:before="0" w:after="360"/>
        <w:rPr>
          <w:b w:val="0"/>
          <w:lang w:val="es-419"/>
        </w:rPr>
      </w:pPr>
      <w:r w:rsidRPr="00E777B3">
        <w:rPr>
          <w:b w:val="0"/>
          <w:lang w:val="es-419"/>
        </w:rPr>
        <w:t xml:space="preserve">ANÁLISIS DE LOS RESULTADOS DE LA ENCUESTA SOBRE PRÁCTICAS Y RETOS EN MATERIA DE INTERCAMBIO DE DATOS SOBRE PROPIEDAD INTELECTUAL (PI) </w:t>
      </w:r>
    </w:p>
    <w:p w14:paraId="62E522DD" w14:textId="77777777" w:rsidR="00055E85" w:rsidRPr="00E777B3" w:rsidRDefault="003D16AC" w:rsidP="00055E85">
      <w:pPr>
        <w:spacing w:after="960"/>
        <w:rPr>
          <w:i/>
          <w:iCs/>
          <w:lang w:val="es-419"/>
        </w:rPr>
      </w:pPr>
      <w:r w:rsidRPr="00E777B3">
        <w:rPr>
          <w:i/>
          <w:lang w:val="es-419"/>
        </w:rPr>
        <w:t>Documento preparado por los corresponsables del Equipo Técnico sobre Intercambio de Datos de PI</w:t>
      </w:r>
    </w:p>
    <w:p w14:paraId="6B7D57CA" w14:textId="77777777" w:rsidR="00A645FB" w:rsidRPr="00E777B3" w:rsidRDefault="00A645FB" w:rsidP="007B1FD0">
      <w:pPr>
        <w:pStyle w:val="Heading2"/>
        <w:spacing w:after="220"/>
        <w:rPr>
          <w:lang w:val="es-419"/>
        </w:rPr>
      </w:pPr>
      <w:r w:rsidRPr="00E777B3">
        <w:rPr>
          <w:lang w:val="es-419"/>
        </w:rPr>
        <w:t xml:space="preserve">ANTECEDENTES </w:t>
      </w:r>
    </w:p>
    <w:p w14:paraId="7E7062EA" w14:textId="338CE568" w:rsidR="00C967D3" w:rsidRPr="00E777B3" w:rsidRDefault="00377808" w:rsidP="008F6627">
      <w:pPr>
        <w:pStyle w:val="ONUME"/>
        <w:numPr>
          <w:ilvl w:val="0"/>
          <w:numId w:val="0"/>
        </w:numPr>
        <w:rPr>
          <w:lang w:val="es-419"/>
        </w:rPr>
      </w:pPr>
      <w:r w:rsidRPr="00E777B3">
        <w:rPr>
          <w:lang w:val="es-419"/>
        </w:rPr>
        <w:t>El Equipo Técnico sobre Intercambio de Datos de PI se creó en la duodécima sesión del CWS</w:t>
      </w:r>
      <w:r w:rsidR="00C46C87" w:rsidRPr="00E777B3">
        <w:rPr>
          <w:lang w:val="es-419"/>
        </w:rPr>
        <w:t xml:space="preserve">. </w:t>
      </w:r>
      <w:r w:rsidRPr="00E777B3">
        <w:rPr>
          <w:lang w:val="es-419"/>
        </w:rPr>
        <w:t>De acuerdo con el plan de trabajo del Equipo Técnico sobre Intercambio de Datos de PI, se acordó llevar a cabo una encuesta en las oficinas de PI para recopilar las prácticas existentes y los retos a los que se enfrentan en relación con el intercambio de datos de PI</w:t>
      </w:r>
      <w:r w:rsidR="00C46C87" w:rsidRPr="00E777B3">
        <w:rPr>
          <w:lang w:val="es-419"/>
        </w:rPr>
        <w:t xml:space="preserve">. </w:t>
      </w:r>
      <w:r w:rsidRPr="00E777B3">
        <w:rPr>
          <w:lang w:val="es-419"/>
        </w:rPr>
        <w:t>La encuesta se realizó del 27 de enero al 23 de abril de 2025</w:t>
      </w:r>
      <w:r w:rsidR="00C46C87" w:rsidRPr="00E777B3">
        <w:rPr>
          <w:lang w:val="es-419"/>
        </w:rPr>
        <w:t xml:space="preserve">. </w:t>
      </w:r>
      <w:r w:rsidRPr="00E777B3">
        <w:rPr>
          <w:lang w:val="es-419"/>
        </w:rPr>
        <w:t>Veinte miembros del Equipo Técnico respondieron a la encuesta, entre ellos las oficinas de los siguientes Estados miembros</w:t>
      </w:r>
      <w:r w:rsidR="00C46C87" w:rsidRPr="00E777B3">
        <w:rPr>
          <w:lang w:val="es-419"/>
        </w:rPr>
        <w:t xml:space="preserve">: </w:t>
      </w:r>
      <w:r w:rsidRPr="00E777B3">
        <w:rPr>
          <w:lang w:val="es-419"/>
        </w:rPr>
        <w:t>Australia (AU), Brasil (BR), Canadá (CA), China (CN), Croacia (HR), Ghana (GH), Honduras (HN), Japón (JP), México (MX), Perú (PE), Polonia (PL), República de Corea (KR), Federación de Rusia (RU), Arabia Saudita (SA), Ucrania (UA), Reino Unido (GB), Estados Unidos de América (EE. UU.) y Uruguay (UY); y las siguientes Oficinas regionales</w:t>
      </w:r>
      <w:r w:rsidR="00C46C87" w:rsidRPr="00E777B3">
        <w:rPr>
          <w:lang w:val="es-419"/>
        </w:rPr>
        <w:t xml:space="preserve">: </w:t>
      </w:r>
      <w:r w:rsidRPr="00E777B3">
        <w:rPr>
          <w:lang w:val="es-419"/>
        </w:rPr>
        <w:t>la Oficina Europea de Patentes (EP) y la Oficina de Propiedad Intelectual de la Unión Europea (EM)</w:t>
      </w:r>
      <w:r w:rsidR="00C46C87" w:rsidRPr="00E777B3">
        <w:rPr>
          <w:lang w:val="es-419"/>
        </w:rPr>
        <w:t xml:space="preserve">. </w:t>
      </w:r>
      <w:r w:rsidRPr="00E777B3">
        <w:rPr>
          <w:lang w:val="es-419"/>
        </w:rPr>
        <w:t>De las oficinas que respondieron, 19 comparten activamente datos de PI con otras oficinas de PI</w:t>
      </w:r>
      <w:r w:rsidR="00C46C87" w:rsidRPr="00E777B3">
        <w:rPr>
          <w:lang w:val="es-419"/>
        </w:rPr>
        <w:t xml:space="preserve">. </w:t>
      </w:r>
      <w:r w:rsidRPr="00E777B3">
        <w:rPr>
          <w:lang w:val="es-419"/>
        </w:rPr>
        <w:t>Cabe señalar que la Oficina de Derechos de Autor de Jordania envió un comentario que no se ha tenido en cuenta en el presente análisis, ya que no respondió al cuestionario.</w:t>
      </w:r>
    </w:p>
    <w:p w14:paraId="1B06F5CB" w14:textId="4CDF5E36" w:rsidR="00A645FB" w:rsidRPr="00E777B3" w:rsidRDefault="00A645FB" w:rsidP="007B1FD0">
      <w:pPr>
        <w:pStyle w:val="Heading2"/>
        <w:spacing w:after="220"/>
        <w:rPr>
          <w:lang w:val="es-419"/>
        </w:rPr>
      </w:pPr>
      <w:r w:rsidRPr="00E777B3">
        <w:rPr>
          <w:lang w:val="es-419"/>
        </w:rPr>
        <w:t>Legislación nacional que regula el intercambio de datos de PI</w:t>
      </w:r>
    </w:p>
    <w:p w14:paraId="751028FC" w14:textId="22BA8CA9" w:rsidR="00A645FB" w:rsidRPr="00E777B3" w:rsidRDefault="00A645FB" w:rsidP="008F6627">
      <w:pPr>
        <w:pStyle w:val="ONUME"/>
        <w:numPr>
          <w:ilvl w:val="0"/>
          <w:numId w:val="0"/>
        </w:numPr>
        <w:rPr>
          <w:lang w:val="es-419"/>
        </w:rPr>
      </w:pPr>
      <w:r w:rsidRPr="00E777B3">
        <w:rPr>
          <w:lang w:val="es-419"/>
        </w:rPr>
        <w:t>Doce de las veinte oficinas de PI informaron de la existencia de leyes o reglamentos nacionales que regulan la puesta en común o el intercambio de datos de PI fuera de su jurisdicción.</w:t>
      </w:r>
    </w:p>
    <w:p w14:paraId="7588EC4E" w14:textId="69B2F2E7" w:rsidR="00A645FB" w:rsidRPr="00E777B3" w:rsidRDefault="00A645FB" w:rsidP="007B1FD0">
      <w:pPr>
        <w:pStyle w:val="Heading2"/>
        <w:spacing w:after="220"/>
        <w:rPr>
          <w:lang w:val="es-419"/>
        </w:rPr>
      </w:pPr>
      <w:r w:rsidRPr="00E777B3">
        <w:rPr>
          <w:lang w:val="es-419"/>
        </w:rPr>
        <w:t>Dominios PI intercambiados</w:t>
      </w:r>
    </w:p>
    <w:p w14:paraId="20DE644C" w14:textId="21D12E12" w:rsidR="00A645FB" w:rsidRPr="00E777B3" w:rsidRDefault="00A645FB" w:rsidP="004D238D">
      <w:pPr>
        <w:pStyle w:val="ListParagraph"/>
        <w:numPr>
          <w:ilvl w:val="0"/>
          <w:numId w:val="17"/>
        </w:numPr>
        <w:spacing w:before="0" w:after="220"/>
        <w:contextualSpacing w:val="0"/>
        <w:rPr>
          <w:rFonts w:cs="Arial"/>
          <w:lang w:val="es-419"/>
        </w:rPr>
      </w:pPr>
      <w:r w:rsidRPr="00E777B3">
        <w:rPr>
          <w:lang w:val="es-419"/>
        </w:rPr>
        <w:t>Patentes (18 oficinas de PI);</w:t>
      </w:r>
    </w:p>
    <w:p w14:paraId="0EBA8A1C" w14:textId="7D4EA4A4" w:rsidR="00A645FB" w:rsidRPr="00E777B3" w:rsidRDefault="00A645FB" w:rsidP="004D238D">
      <w:pPr>
        <w:pStyle w:val="ListParagraph"/>
        <w:numPr>
          <w:ilvl w:val="0"/>
          <w:numId w:val="17"/>
        </w:numPr>
        <w:spacing w:before="0" w:after="220"/>
        <w:contextualSpacing w:val="0"/>
        <w:rPr>
          <w:rFonts w:cs="Arial"/>
          <w:lang w:val="es-419"/>
        </w:rPr>
      </w:pPr>
      <w:r w:rsidRPr="00E777B3">
        <w:rPr>
          <w:lang w:val="es-419"/>
        </w:rPr>
        <w:t>Marca y diseño industrial (15 cada uno);</w:t>
      </w:r>
    </w:p>
    <w:p w14:paraId="25510720" w14:textId="31740865" w:rsidR="00A645FB" w:rsidRPr="00E777B3" w:rsidRDefault="00A645FB" w:rsidP="004D238D">
      <w:pPr>
        <w:pStyle w:val="ListParagraph"/>
        <w:numPr>
          <w:ilvl w:val="0"/>
          <w:numId w:val="17"/>
        </w:numPr>
        <w:spacing w:before="0" w:after="220"/>
        <w:contextualSpacing w:val="0"/>
        <w:rPr>
          <w:rFonts w:cs="Arial"/>
          <w:lang w:val="es-419"/>
        </w:rPr>
      </w:pPr>
      <w:r w:rsidRPr="00E777B3">
        <w:rPr>
          <w:lang w:val="es-419"/>
        </w:rPr>
        <w:t xml:space="preserve">Indicación geográfica (6); y </w:t>
      </w:r>
    </w:p>
    <w:p w14:paraId="308B1DE2" w14:textId="4071352E" w:rsidR="00A645FB" w:rsidRPr="00E777B3" w:rsidRDefault="00A645FB" w:rsidP="004D238D">
      <w:pPr>
        <w:pStyle w:val="ListParagraph"/>
        <w:numPr>
          <w:ilvl w:val="0"/>
          <w:numId w:val="17"/>
        </w:numPr>
        <w:spacing w:before="0" w:after="220"/>
        <w:contextualSpacing w:val="0"/>
        <w:rPr>
          <w:rFonts w:cs="Arial"/>
          <w:lang w:val="es-419"/>
        </w:rPr>
      </w:pPr>
      <w:r w:rsidRPr="00E777B3">
        <w:rPr>
          <w:lang w:val="es-419"/>
        </w:rPr>
        <w:t>Otros: derechos de autor, derechos de obtentor, topologías de circuitos integrados y programas informáticos (uno cada uno).</w:t>
      </w:r>
    </w:p>
    <w:p w14:paraId="640636F9" w14:textId="0816417A" w:rsidR="00A645FB" w:rsidRPr="00E777B3" w:rsidRDefault="00A645FB" w:rsidP="007B1FD0">
      <w:pPr>
        <w:pStyle w:val="Heading2"/>
        <w:spacing w:after="220"/>
        <w:rPr>
          <w:lang w:val="es-419"/>
        </w:rPr>
      </w:pPr>
      <w:r w:rsidRPr="00E777B3">
        <w:rPr>
          <w:lang w:val="es-419"/>
        </w:rPr>
        <w:t>Tipos de datos PI intercambiados</w:t>
      </w:r>
    </w:p>
    <w:p w14:paraId="5D77E06C" w14:textId="17FE7B2E" w:rsidR="00A645FB" w:rsidRPr="00E777B3" w:rsidRDefault="00A645FB" w:rsidP="004D238D">
      <w:pPr>
        <w:pStyle w:val="ListParagraph"/>
        <w:numPr>
          <w:ilvl w:val="0"/>
          <w:numId w:val="18"/>
        </w:numPr>
        <w:spacing w:before="0" w:after="220"/>
        <w:ind w:left="924" w:hanging="357"/>
        <w:contextualSpacing w:val="0"/>
        <w:rPr>
          <w:rFonts w:cs="Arial"/>
          <w:lang w:val="es-419"/>
        </w:rPr>
      </w:pPr>
      <w:r w:rsidRPr="00E777B3">
        <w:rPr>
          <w:lang w:val="es-419"/>
        </w:rPr>
        <w:t>Datos bibliográficos o resúmenes (17 oficinas de PI);</w:t>
      </w:r>
    </w:p>
    <w:p w14:paraId="5AE973A3" w14:textId="63DD0E5C" w:rsidR="00A645FB" w:rsidRPr="00E777B3" w:rsidRDefault="00A645FB" w:rsidP="004D238D">
      <w:pPr>
        <w:pStyle w:val="ListParagraph"/>
        <w:numPr>
          <w:ilvl w:val="0"/>
          <w:numId w:val="18"/>
        </w:numPr>
        <w:spacing w:before="0" w:after="220"/>
        <w:ind w:left="924" w:hanging="357"/>
        <w:contextualSpacing w:val="0"/>
        <w:rPr>
          <w:rFonts w:cs="Arial"/>
          <w:lang w:val="es-419"/>
        </w:rPr>
      </w:pPr>
      <w:r w:rsidRPr="00E777B3">
        <w:rPr>
          <w:lang w:val="es-419"/>
        </w:rPr>
        <w:t>Texto completo de las reivindicaciones o descripciones (14); y</w:t>
      </w:r>
    </w:p>
    <w:p w14:paraId="49061D57" w14:textId="41241309" w:rsidR="00A645FB" w:rsidRPr="00E777B3" w:rsidRDefault="00A645FB" w:rsidP="004D238D">
      <w:pPr>
        <w:pStyle w:val="ListParagraph"/>
        <w:numPr>
          <w:ilvl w:val="0"/>
          <w:numId w:val="18"/>
        </w:numPr>
        <w:spacing w:before="0" w:after="220"/>
        <w:ind w:left="924" w:hanging="357"/>
        <w:contextualSpacing w:val="0"/>
        <w:rPr>
          <w:rFonts w:cs="Arial"/>
          <w:lang w:val="es-419"/>
        </w:rPr>
      </w:pPr>
      <w:r w:rsidRPr="00E777B3">
        <w:rPr>
          <w:lang w:val="es-419"/>
        </w:rPr>
        <w:t>Situación jurídica (12), acciones de la Oficina (9), boletines de PI (13).</w:t>
      </w:r>
    </w:p>
    <w:p w14:paraId="0AA06661" w14:textId="48CA0F14" w:rsidR="00A645FB" w:rsidRPr="00E777B3" w:rsidRDefault="00A645FB" w:rsidP="007B1FD0">
      <w:pPr>
        <w:pStyle w:val="Heading2"/>
        <w:spacing w:after="220"/>
        <w:rPr>
          <w:lang w:val="es-419"/>
        </w:rPr>
      </w:pPr>
      <w:r w:rsidRPr="00E777B3">
        <w:rPr>
          <w:lang w:val="es-419"/>
        </w:rPr>
        <w:t>Formato de archivo utilizado en el intercambio de datos PI</w:t>
      </w:r>
    </w:p>
    <w:p w14:paraId="46844D90" w14:textId="418945CD" w:rsidR="00A645FB" w:rsidRPr="00E777B3" w:rsidRDefault="00A645FB" w:rsidP="004D238D">
      <w:pPr>
        <w:pStyle w:val="ListParagraph"/>
        <w:numPr>
          <w:ilvl w:val="0"/>
          <w:numId w:val="19"/>
        </w:numPr>
        <w:spacing w:before="0" w:after="220"/>
        <w:ind w:left="924" w:hanging="357"/>
        <w:contextualSpacing w:val="0"/>
        <w:rPr>
          <w:rFonts w:cs="Arial"/>
          <w:lang w:val="es-419"/>
        </w:rPr>
      </w:pPr>
      <w:r w:rsidRPr="00E777B3">
        <w:rPr>
          <w:lang w:val="es-419"/>
        </w:rPr>
        <w:t>XML (18 oficinas de PI), PDF (14), IMG (9), TXT (5), DOCX (4); y</w:t>
      </w:r>
    </w:p>
    <w:p w14:paraId="7ACA4801" w14:textId="03D245E6" w:rsidR="00A77FB7" w:rsidRPr="00E777B3" w:rsidRDefault="00A645FB">
      <w:pPr>
        <w:pStyle w:val="ListParagraph"/>
        <w:numPr>
          <w:ilvl w:val="0"/>
          <w:numId w:val="19"/>
        </w:numPr>
        <w:spacing w:before="0" w:after="0"/>
        <w:ind w:left="924" w:hanging="357"/>
        <w:contextualSpacing w:val="0"/>
        <w:rPr>
          <w:bCs/>
          <w:iCs/>
          <w:caps/>
          <w:szCs w:val="28"/>
          <w:lang w:val="es-419"/>
        </w:rPr>
      </w:pPr>
      <w:r w:rsidRPr="00E777B3">
        <w:rPr>
          <w:lang w:val="es-419"/>
        </w:rPr>
        <w:t>Otros</w:t>
      </w:r>
      <w:r w:rsidR="00C46C87" w:rsidRPr="00E777B3">
        <w:rPr>
          <w:lang w:val="es-419"/>
        </w:rPr>
        <w:t xml:space="preserve">: </w:t>
      </w:r>
      <w:r w:rsidRPr="00E777B3">
        <w:rPr>
          <w:lang w:val="es-419"/>
        </w:rPr>
        <w:t>TIFF (3), MP4, MP3, OBJ, XLT, X3D (1 cada uno), CSV (1), JSON (3).</w:t>
      </w:r>
    </w:p>
    <w:p w14:paraId="7856166E" w14:textId="6229DB2D" w:rsidR="0075228C" w:rsidRPr="00E777B3" w:rsidRDefault="0075228C">
      <w:pPr>
        <w:pStyle w:val="ListParagraph"/>
        <w:numPr>
          <w:ilvl w:val="0"/>
          <w:numId w:val="19"/>
        </w:numPr>
        <w:spacing w:before="0" w:after="0"/>
        <w:ind w:left="924" w:hanging="357"/>
        <w:contextualSpacing w:val="0"/>
        <w:rPr>
          <w:bCs/>
          <w:iCs/>
          <w:caps/>
          <w:szCs w:val="28"/>
          <w:lang w:val="es-419"/>
        </w:rPr>
      </w:pPr>
      <w:r w:rsidRPr="00E777B3">
        <w:rPr>
          <w:lang w:val="es-419"/>
        </w:rPr>
        <w:br w:type="page"/>
      </w:r>
    </w:p>
    <w:p w14:paraId="374A90E1" w14:textId="38704A5F" w:rsidR="00A645FB" w:rsidRPr="00E777B3" w:rsidRDefault="00600743" w:rsidP="00D9594F">
      <w:pPr>
        <w:pStyle w:val="Heading2"/>
        <w:keepLines/>
        <w:spacing w:after="220"/>
        <w:rPr>
          <w:lang w:val="es-419"/>
        </w:rPr>
      </w:pPr>
      <w:r w:rsidRPr="00E777B3">
        <w:rPr>
          <w:lang w:val="es-419"/>
        </w:rPr>
        <w:lastRenderedPageBreak/>
        <w:t>Normas técnicas de la OMPI utilizadas en el intercambio de datos sobre PI</w:t>
      </w:r>
    </w:p>
    <w:tbl>
      <w:tblPr>
        <w:tblStyle w:val="GridTable4-Accent1"/>
        <w:tblW w:w="0" w:type="auto"/>
        <w:tblLook w:val="04A0" w:firstRow="1" w:lastRow="0" w:firstColumn="1" w:lastColumn="0" w:noHBand="0" w:noVBand="1"/>
      </w:tblPr>
      <w:tblGrid>
        <w:gridCol w:w="1170"/>
        <w:gridCol w:w="7015"/>
        <w:gridCol w:w="1122"/>
      </w:tblGrid>
      <w:tr w:rsidR="00AD069A" w:rsidRPr="00E777B3" w14:paraId="44AC727F" w14:textId="77777777" w:rsidTr="00151D7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shd w:val="clear" w:color="auto" w:fill="1F497D" w:themeFill="text2"/>
            <w:vAlign w:val="center"/>
            <w:hideMark/>
          </w:tcPr>
          <w:p w14:paraId="42A4E71F" w14:textId="377414C6" w:rsidR="00A645FB" w:rsidRPr="00E777B3" w:rsidRDefault="00685341" w:rsidP="003A07EA">
            <w:pPr>
              <w:spacing w:before="40" w:after="40"/>
              <w:rPr>
                <w:rFonts w:cs="Arial"/>
                <w:lang w:val="es-419"/>
              </w:rPr>
            </w:pPr>
            <w:r w:rsidRPr="00E777B3">
              <w:rPr>
                <w:lang w:val="es-419"/>
              </w:rPr>
              <w:t>Norma OMPI</w:t>
            </w:r>
          </w:p>
        </w:tc>
        <w:tc>
          <w:tcPr>
            <w:tcW w:w="7015" w:type="dxa"/>
            <w:shd w:val="clear" w:color="auto" w:fill="1F497D" w:themeFill="text2"/>
            <w:vAlign w:val="center"/>
          </w:tcPr>
          <w:p w14:paraId="4B4372DE" w14:textId="46E1F355" w:rsidR="00A645FB" w:rsidRPr="00E777B3" w:rsidRDefault="00DC39BB" w:rsidP="003A07EA">
            <w:pPr>
              <w:spacing w:before="40" w:after="40"/>
              <w:cnfStyle w:val="100000000000" w:firstRow="1" w:lastRow="0" w:firstColumn="0" w:lastColumn="0" w:oddVBand="0" w:evenVBand="0" w:oddHBand="0" w:evenHBand="0" w:firstRowFirstColumn="0" w:firstRowLastColumn="0" w:lastRowFirstColumn="0" w:lastRowLastColumn="0"/>
              <w:rPr>
                <w:rFonts w:cs="Arial"/>
                <w:lang w:val="es-419"/>
              </w:rPr>
            </w:pPr>
            <w:r w:rsidRPr="00E777B3">
              <w:rPr>
                <w:lang w:val="es-419"/>
              </w:rPr>
              <w:t xml:space="preserve"> Título</w:t>
            </w:r>
          </w:p>
        </w:tc>
        <w:tc>
          <w:tcPr>
            <w:tcW w:w="1122" w:type="dxa"/>
            <w:shd w:val="clear" w:color="auto" w:fill="1F497D" w:themeFill="text2"/>
            <w:vAlign w:val="center"/>
            <w:hideMark/>
          </w:tcPr>
          <w:p w14:paraId="759A89FC" w14:textId="1D18F9FE" w:rsidR="00A645FB" w:rsidRPr="00E777B3" w:rsidRDefault="00A645FB" w:rsidP="003A07EA">
            <w:pPr>
              <w:spacing w:before="40" w:after="40"/>
              <w:cnfStyle w:val="100000000000" w:firstRow="1" w:lastRow="0" w:firstColumn="0" w:lastColumn="0" w:oddVBand="0" w:evenVBand="0" w:oddHBand="0" w:evenHBand="0" w:firstRowFirstColumn="0" w:firstRowLastColumn="0" w:lastRowFirstColumn="0" w:lastRowLastColumn="0"/>
              <w:rPr>
                <w:rFonts w:cs="Arial"/>
                <w:lang w:val="es-419"/>
              </w:rPr>
            </w:pPr>
            <w:r w:rsidRPr="00E777B3">
              <w:rPr>
                <w:lang w:val="es-419"/>
              </w:rPr>
              <w:t>N.º oficinas</w:t>
            </w:r>
          </w:p>
        </w:tc>
      </w:tr>
      <w:tr w:rsidR="00A36BAF" w:rsidRPr="00E777B3" w14:paraId="73BC48A9"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33CC92D6" w14:textId="77777777" w:rsidR="00A645FB" w:rsidRPr="00E777B3" w:rsidRDefault="00A645FB" w:rsidP="003A07EA">
            <w:pPr>
              <w:spacing w:before="40" w:after="40"/>
              <w:rPr>
                <w:rFonts w:cs="Arial"/>
                <w:b w:val="0"/>
                <w:lang w:val="es-419"/>
              </w:rPr>
            </w:pPr>
            <w:r w:rsidRPr="00E777B3">
              <w:rPr>
                <w:b w:val="0"/>
                <w:lang w:val="es-419"/>
              </w:rPr>
              <w:t>ST.26</w:t>
            </w:r>
          </w:p>
        </w:tc>
        <w:tc>
          <w:tcPr>
            <w:tcW w:w="7015" w:type="dxa"/>
            <w:vAlign w:val="center"/>
            <w:hideMark/>
          </w:tcPr>
          <w:p w14:paraId="4A29DF1A" w14:textId="6540CF08"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Presentación de listas de secuencias de nucleótidos y aminoácidos mediante XML</w:t>
            </w:r>
          </w:p>
        </w:tc>
        <w:tc>
          <w:tcPr>
            <w:tcW w:w="1122" w:type="dxa"/>
            <w:vAlign w:val="center"/>
            <w:hideMark/>
          </w:tcPr>
          <w:p w14:paraId="4360CD99"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11</w:t>
            </w:r>
          </w:p>
        </w:tc>
      </w:tr>
      <w:tr w:rsidR="00801DAE" w:rsidRPr="00E777B3" w14:paraId="74C7CC89"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7F4BE00B" w14:textId="77777777" w:rsidR="00FA0533" w:rsidRPr="00E777B3" w:rsidRDefault="00FA0533" w:rsidP="003A07EA">
            <w:pPr>
              <w:spacing w:before="40" w:after="40"/>
              <w:rPr>
                <w:rFonts w:cs="Arial"/>
                <w:b w:val="0"/>
                <w:lang w:val="es-419"/>
              </w:rPr>
            </w:pPr>
            <w:r w:rsidRPr="00E777B3">
              <w:rPr>
                <w:b w:val="0"/>
                <w:lang w:val="es-419"/>
              </w:rPr>
              <w:t>ST.27</w:t>
            </w:r>
          </w:p>
        </w:tc>
        <w:tc>
          <w:tcPr>
            <w:tcW w:w="7015" w:type="dxa"/>
            <w:vAlign w:val="center"/>
            <w:hideMark/>
          </w:tcPr>
          <w:p w14:paraId="1CDF09CC" w14:textId="77777777" w:rsidR="00FA0533" w:rsidRPr="00E777B3" w:rsidRDefault="00FA053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Intercambio de datos sobre la situación jurídica de las patentes</w:t>
            </w:r>
          </w:p>
        </w:tc>
        <w:tc>
          <w:tcPr>
            <w:tcW w:w="1122" w:type="dxa"/>
            <w:vAlign w:val="center"/>
            <w:hideMark/>
          </w:tcPr>
          <w:p w14:paraId="33879E11" w14:textId="77777777" w:rsidR="00FA0533" w:rsidRPr="00E777B3" w:rsidRDefault="00FA053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5</w:t>
            </w:r>
          </w:p>
        </w:tc>
      </w:tr>
      <w:tr w:rsidR="00801DAE" w:rsidRPr="00E777B3" w14:paraId="7F41261B"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134BA8B3" w14:textId="77777777" w:rsidR="00A645FB" w:rsidRPr="00E777B3" w:rsidRDefault="00A645FB" w:rsidP="003A07EA">
            <w:pPr>
              <w:spacing w:before="40" w:after="40"/>
              <w:rPr>
                <w:rFonts w:cs="Arial"/>
                <w:b w:val="0"/>
                <w:lang w:val="es-419"/>
              </w:rPr>
            </w:pPr>
            <w:r w:rsidRPr="00E777B3">
              <w:rPr>
                <w:b w:val="0"/>
                <w:lang w:val="es-419"/>
              </w:rPr>
              <w:t>ST.32</w:t>
            </w:r>
          </w:p>
        </w:tc>
        <w:tc>
          <w:tcPr>
            <w:tcW w:w="7015" w:type="dxa"/>
            <w:vAlign w:val="center"/>
          </w:tcPr>
          <w:p w14:paraId="5893A3C8"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Marcado de documentos de patente mediante SGML</w:t>
            </w:r>
          </w:p>
        </w:tc>
        <w:tc>
          <w:tcPr>
            <w:tcW w:w="1122" w:type="dxa"/>
            <w:vAlign w:val="center"/>
          </w:tcPr>
          <w:p w14:paraId="32FF17CF"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1</w:t>
            </w:r>
          </w:p>
        </w:tc>
      </w:tr>
      <w:tr w:rsidR="00FA0533" w:rsidRPr="00E777B3" w14:paraId="42795C1F"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0DA8A77F" w14:textId="77777777" w:rsidR="00FA0533" w:rsidRPr="00E777B3" w:rsidRDefault="00FA0533" w:rsidP="003A07EA">
            <w:pPr>
              <w:spacing w:before="40" w:after="40"/>
              <w:rPr>
                <w:rFonts w:cs="Arial"/>
                <w:b w:val="0"/>
                <w:lang w:val="es-419"/>
              </w:rPr>
            </w:pPr>
            <w:r w:rsidRPr="00E777B3">
              <w:rPr>
                <w:b w:val="0"/>
                <w:lang w:val="es-419"/>
              </w:rPr>
              <w:t>ST.36</w:t>
            </w:r>
          </w:p>
        </w:tc>
        <w:tc>
          <w:tcPr>
            <w:tcW w:w="7015" w:type="dxa"/>
            <w:vAlign w:val="center"/>
            <w:hideMark/>
          </w:tcPr>
          <w:p w14:paraId="1A2E5C5A" w14:textId="77777777" w:rsidR="00FA0533" w:rsidRPr="00E777B3" w:rsidRDefault="00FA053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Tratamiento en XML de la información sobre patentes</w:t>
            </w:r>
          </w:p>
        </w:tc>
        <w:tc>
          <w:tcPr>
            <w:tcW w:w="1122" w:type="dxa"/>
            <w:vAlign w:val="center"/>
            <w:hideMark/>
          </w:tcPr>
          <w:p w14:paraId="7F99986C" w14:textId="77777777" w:rsidR="00FA0533" w:rsidRPr="00E777B3" w:rsidRDefault="00FA053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12</w:t>
            </w:r>
          </w:p>
        </w:tc>
      </w:tr>
      <w:tr w:rsidR="00801DAE" w:rsidRPr="00E777B3" w14:paraId="57A04F5C"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015FC5B6" w14:textId="77777777" w:rsidR="00A645FB" w:rsidRPr="00E777B3" w:rsidRDefault="00A645FB" w:rsidP="003A07EA">
            <w:pPr>
              <w:spacing w:before="40" w:after="40"/>
              <w:rPr>
                <w:rFonts w:cs="Arial"/>
                <w:b w:val="0"/>
                <w:lang w:val="es-419"/>
              </w:rPr>
            </w:pPr>
            <w:r w:rsidRPr="00E777B3">
              <w:rPr>
                <w:b w:val="0"/>
                <w:lang w:val="es-419"/>
              </w:rPr>
              <w:t>ST.37</w:t>
            </w:r>
          </w:p>
        </w:tc>
        <w:tc>
          <w:tcPr>
            <w:tcW w:w="7015" w:type="dxa"/>
            <w:vAlign w:val="center"/>
            <w:hideMark/>
          </w:tcPr>
          <w:p w14:paraId="28BDD7DD" w14:textId="0E8E1C33"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Fichero de referencia de documentos de patente publicados</w:t>
            </w:r>
          </w:p>
        </w:tc>
        <w:tc>
          <w:tcPr>
            <w:tcW w:w="1122" w:type="dxa"/>
            <w:vAlign w:val="center"/>
            <w:hideMark/>
          </w:tcPr>
          <w:p w14:paraId="160EFA2D"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1</w:t>
            </w:r>
          </w:p>
        </w:tc>
      </w:tr>
      <w:tr w:rsidR="00FA0533" w:rsidRPr="00E777B3" w14:paraId="0C5A160B"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1DE392AC" w14:textId="77777777" w:rsidR="00BE5E15" w:rsidRPr="00E777B3" w:rsidRDefault="00BE5E15" w:rsidP="003A07EA">
            <w:pPr>
              <w:spacing w:before="40" w:after="40"/>
              <w:rPr>
                <w:rFonts w:cs="Arial"/>
                <w:b w:val="0"/>
                <w:lang w:val="es-419"/>
              </w:rPr>
            </w:pPr>
            <w:r w:rsidRPr="00E777B3">
              <w:rPr>
                <w:b w:val="0"/>
                <w:lang w:val="es-419"/>
              </w:rPr>
              <w:t>ST.61</w:t>
            </w:r>
          </w:p>
        </w:tc>
        <w:tc>
          <w:tcPr>
            <w:tcW w:w="7015" w:type="dxa"/>
            <w:vAlign w:val="center"/>
            <w:hideMark/>
          </w:tcPr>
          <w:p w14:paraId="3E7EA587" w14:textId="77777777" w:rsidR="00BE5E15" w:rsidRPr="00E777B3" w:rsidRDefault="00BE5E15"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Recomendación para el intercambio de datos sobre la situación jurídica de las marcas</w:t>
            </w:r>
          </w:p>
        </w:tc>
        <w:tc>
          <w:tcPr>
            <w:tcW w:w="1122" w:type="dxa"/>
            <w:vAlign w:val="center"/>
            <w:hideMark/>
          </w:tcPr>
          <w:p w14:paraId="1BA10C1B" w14:textId="77777777" w:rsidR="00BE5E15" w:rsidRPr="00E777B3" w:rsidRDefault="00BE5E15"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1</w:t>
            </w:r>
          </w:p>
        </w:tc>
      </w:tr>
      <w:tr w:rsidR="00FA0533" w:rsidRPr="00E777B3" w14:paraId="02B5E9DF"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1555E400" w14:textId="77777777" w:rsidR="00FA0533" w:rsidRPr="00E777B3" w:rsidRDefault="00FA0533" w:rsidP="003A07EA">
            <w:pPr>
              <w:spacing w:before="40" w:after="40"/>
              <w:rPr>
                <w:rFonts w:cs="Arial"/>
                <w:b w:val="0"/>
                <w:lang w:val="es-419"/>
              </w:rPr>
            </w:pPr>
            <w:r w:rsidRPr="00E777B3">
              <w:rPr>
                <w:b w:val="0"/>
                <w:lang w:val="es-419"/>
              </w:rPr>
              <w:t>ST.66</w:t>
            </w:r>
          </w:p>
        </w:tc>
        <w:tc>
          <w:tcPr>
            <w:tcW w:w="7015" w:type="dxa"/>
            <w:vAlign w:val="center"/>
            <w:hideMark/>
          </w:tcPr>
          <w:p w14:paraId="1B188B73" w14:textId="4D1CFF36" w:rsidR="00FA0533" w:rsidRPr="00E777B3" w:rsidRDefault="00FA0533"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Tratamiento en XML de la información sobre marcas</w:t>
            </w:r>
          </w:p>
        </w:tc>
        <w:tc>
          <w:tcPr>
            <w:tcW w:w="1122" w:type="dxa"/>
            <w:vAlign w:val="center"/>
            <w:hideMark/>
          </w:tcPr>
          <w:p w14:paraId="17AA7E24" w14:textId="77777777" w:rsidR="00FA0533" w:rsidRPr="00E777B3" w:rsidRDefault="00FA0533"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2</w:t>
            </w:r>
          </w:p>
        </w:tc>
      </w:tr>
      <w:tr w:rsidR="000914E3" w:rsidRPr="00E777B3" w14:paraId="00A7B753"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5A678685" w14:textId="77777777" w:rsidR="000914E3" w:rsidRPr="00E777B3" w:rsidRDefault="000914E3" w:rsidP="003A07EA">
            <w:pPr>
              <w:spacing w:before="40" w:after="40"/>
              <w:rPr>
                <w:rFonts w:cs="Arial"/>
                <w:b w:val="0"/>
                <w:lang w:val="es-419"/>
              </w:rPr>
            </w:pPr>
            <w:r w:rsidRPr="00E777B3">
              <w:rPr>
                <w:b w:val="0"/>
                <w:lang w:val="es-419"/>
              </w:rPr>
              <w:t>ST.86</w:t>
            </w:r>
          </w:p>
        </w:tc>
        <w:tc>
          <w:tcPr>
            <w:tcW w:w="7015" w:type="dxa"/>
            <w:vAlign w:val="center"/>
            <w:hideMark/>
          </w:tcPr>
          <w:p w14:paraId="50A085E4" w14:textId="77777777" w:rsidR="000914E3" w:rsidRPr="00E777B3" w:rsidRDefault="000914E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Tratamiento en XML de información relativa a los diseños industriales</w:t>
            </w:r>
          </w:p>
        </w:tc>
        <w:tc>
          <w:tcPr>
            <w:tcW w:w="1122" w:type="dxa"/>
            <w:vAlign w:val="center"/>
            <w:hideMark/>
          </w:tcPr>
          <w:p w14:paraId="393D530C" w14:textId="77777777" w:rsidR="000914E3" w:rsidRPr="00E777B3" w:rsidRDefault="000914E3"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4</w:t>
            </w:r>
          </w:p>
        </w:tc>
      </w:tr>
      <w:tr w:rsidR="000914E3" w:rsidRPr="00E777B3" w14:paraId="35A5A19B"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23B84CFA" w14:textId="77777777" w:rsidR="00BE5E15" w:rsidRPr="00E777B3" w:rsidRDefault="00BE5E15" w:rsidP="003A07EA">
            <w:pPr>
              <w:spacing w:before="40" w:after="40"/>
              <w:rPr>
                <w:rFonts w:cs="Arial"/>
                <w:b w:val="0"/>
                <w:lang w:val="es-419"/>
              </w:rPr>
            </w:pPr>
            <w:r w:rsidRPr="00E777B3">
              <w:rPr>
                <w:b w:val="0"/>
                <w:lang w:val="es-419"/>
              </w:rPr>
              <w:t>ST.87</w:t>
            </w:r>
          </w:p>
        </w:tc>
        <w:tc>
          <w:tcPr>
            <w:tcW w:w="7015" w:type="dxa"/>
            <w:vAlign w:val="center"/>
            <w:hideMark/>
          </w:tcPr>
          <w:p w14:paraId="706DC59E" w14:textId="77777777" w:rsidR="00BE5E15" w:rsidRPr="00E777B3" w:rsidRDefault="00BE5E15"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Intercambio de datos sobre la situación jurídica de los diseños industriales</w:t>
            </w:r>
          </w:p>
        </w:tc>
        <w:tc>
          <w:tcPr>
            <w:tcW w:w="1122" w:type="dxa"/>
            <w:vAlign w:val="center"/>
            <w:hideMark/>
          </w:tcPr>
          <w:p w14:paraId="3E434472" w14:textId="77777777" w:rsidR="00BE5E15" w:rsidRPr="00E777B3" w:rsidRDefault="00BE5E15"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1</w:t>
            </w:r>
          </w:p>
        </w:tc>
      </w:tr>
      <w:tr w:rsidR="00A36BAF" w:rsidRPr="00E777B3" w14:paraId="396AADB1"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7978E7CA" w14:textId="77777777" w:rsidR="009542B8" w:rsidRPr="00E777B3" w:rsidRDefault="009542B8" w:rsidP="003A07EA">
            <w:pPr>
              <w:spacing w:before="40" w:after="40"/>
              <w:rPr>
                <w:rFonts w:cs="Arial"/>
                <w:b w:val="0"/>
                <w:lang w:val="es-419"/>
              </w:rPr>
            </w:pPr>
            <w:r w:rsidRPr="00E777B3">
              <w:rPr>
                <w:b w:val="0"/>
                <w:lang w:val="es-419"/>
              </w:rPr>
              <w:t>ST.90</w:t>
            </w:r>
          </w:p>
        </w:tc>
        <w:tc>
          <w:tcPr>
            <w:tcW w:w="7015" w:type="dxa"/>
            <w:vAlign w:val="center"/>
          </w:tcPr>
          <w:p w14:paraId="2E61171C" w14:textId="77777777" w:rsidR="009542B8" w:rsidRPr="00E777B3" w:rsidRDefault="009542B8"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Recomendación para el tratamiento y la comunicación de datos de PI mediante interfaces API para servicios web</w:t>
            </w:r>
          </w:p>
        </w:tc>
        <w:tc>
          <w:tcPr>
            <w:tcW w:w="1122" w:type="dxa"/>
            <w:vAlign w:val="center"/>
          </w:tcPr>
          <w:p w14:paraId="5DC06835" w14:textId="77777777" w:rsidR="009542B8" w:rsidRPr="00E777B3" w:rsidRDefault="009542B8" w:rsidP="003A07EA">
            <w:pPr>
              <w:spacing w:before="40" w:after="40"/>
              <w:cnfStyle w:val="000000000000" w:firstRow="0" w:lastRow="0" w:firstColumn="0" w:lastColumn="0" w:oddVBand="0" w:evenVBand="0" w:oddHBand="0" w:evenHBand="0" w:firstRowFirstColumn="0" w:firstRowLastColumn="0" w:lastRowFirstColumn="0" w:lastRowLastColumn="0"/>
              <w:rPr>
                <w:rFonts w:cs="Arial"/>
                <w:lang w:val="es-419"/>
              </w:rPr>
            </w:pPr>
            <w:r w:rsidRPr="00E777B3">
              <w:rPr>
                <w:lang w:val="es-419"/>
              </w:rPr>
              <w:t>2</w:t>
            </w:r>
          </w:p>
        </w:tc>
      </w:tr>
      <w:tr w:rsidR="000914E3" w:rsidRPr="00E777B3" w14:paraId="681F4A72"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0E896572" w14:textId="77777777" w:rsidR="009542B8" w:rsidRPr="00E777B3" w:rsidRDefault="009542B8" w:rsidP="003A07EA">
            <w:pPr>
              <w:spacing w:before="40" w:after="40"/>
              <w:rPr>
                <w:rFonts w:cs="Arial"/>
                <w:b w:val="0"/>
                <w:lang w:val="es-419"/>
              </w:rPr>
            </w:pPr>
            <w:r w:rsidRPr="00E777B3">
              <w:rPr>
                <w:b w:val="0"/>
                <w:lang w:val="es-419"/>
              </w:rPr>
              <w:t>ST.96</w:t>
            </w:r>
          </w:p>
        </w:tc>
        <w:tc>
          <w:tcPr>
            <w:tcW w:w="7015" w:type="dxa"/>
            <w:vAlign w:val="center"/>
            <w:hideMark/>
          </w:tcPr>
          <w:p w14:paraId="48057099" w14:textId="77777777" w:rsidR="009542B8" w:rsidRPr="00E777B3" w:rsidRDefault="009542B8"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Tratamiento en XML de la información relativa a la PI</w:t>
            </w:r>
          </w:p>
        </w:tc>
        <w:tc>
          <w:tcPr>
            <w:tcW w:w="1122" w:type="dxa"/>
            <w:vAlign w:val="center"/>
            <w:hideMark/>
          </w:tcPr>
          <w:p w14:paraId="13BD818A" w14:textId="77777777" w:rsidR="009542B8" w:rsidRPr="00E777B3" w:rsidRDefault="009542B8" w:rsidP="003A07EA">
            <w:pPr>
              <w:spacing w:before="40" w:after="40"/>
              <w:cnfStyle w:val="000000100000" w:firstRow="0" w:lastRow="0" w:firstColumn="0" w:lastColumn="0" w:oddVBand="0" w:evenVBand="0" w:oddHBand="1" w:evenHBand="0" w:firstRowFirstColumn="0" w:firstRowLastColumn="0" w:lastRowFirstColumn="0" w:lastRowLastColumn="0"/>
              <w:rPr>
                <w:rFonts w:cs="Arial"/>
                <w:lang w:val="es-419"/>
              </w:rPr>
            </w:pPr>
            <w:r w:rsidRPr="00E777B3">
              <w:rPr>
                <w:lang w:val="es-419"/>
              </w:rPr>
              <w:t>11</w:t>
            </w:r>
          </w:p>
        </w:tc>
      </w:tr>
    </w:tbl>
    <w:p w14:paraId="048547B5" w14:textId="0F89F345" w:rsidR="00A645FB" w:rsidRPr="00E777B3" w:rsidRDefault="00A645FB" w:rsidP="00A645FB">
      <w:pPr>
        <w:pStyle w:val="Heading2"/>
        <w:rPr>
          <w:lang w:val="es-419"/>
        </w:rPr>
      </w:pPr>
      <w:r w:rsidRPr="00E777B3">
        <w:rPr>
          <w:lang w:val="es-419"/>
        </w:rPr>
        <w:t>Retos a la hora de compartir datos de PI con otras oficinas de PI</w:t>
      </w:r>
    </w:p>
    <w:p w14:paraId="081CA5F3" w14:textId="691400AD" w:rsidR="00A645FB" w:rsidRPr="00E777B3" w:rsidRDefault="00A645FB" w:rsidP="00D9594F">
      <w:pPr>
        <w:pStyle w:val="Heading3"/>
        <w:spacing w:after="220"/>
        <w:rPr>
          <w:lang w:val="es-419"/>
        </w:rPr>
      </w:pPr>
      <w:r w:rsidRPr="00E777B3">
        <w:rPr>
          <w:lang w:val="es-419"/>
        </w:rPr>
        <w:t>Retos técnicos</w:t>
      </w:r>
    </w:p>
    <w:tbl>
      <w:tblPr>
        <w:tblStyle w:val="ListTable4-Accent1"/>
        <w:tblW w:w="0" w:type="auto"/>
        <w:tblLook w:val="04A0" w:firstRow="1" w:lastRow="0" w:firstColumn="1" w:lastColumn="0" w:noHBand="0" w:noVBand="1"/>
      </w:tblPr>
      <w:tblGrid>
        <w:gridCol w:w="3775"/>
        <w:gridCol w:w="1080"/>
        <w:gridCol w:w="4490"/>
      </w:tblGrid>
      <w:tr w:rsidR="00A645FB" w:rsidRPr="00E777B3" w14:paraId="5AF1E0DF" w14:textId="77777777" w:rsidTr="00151D7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themeFill="text2"/>
            <w:vAlign w:val="center"/>
            <w:hideMark/>
          </w:tcPr>
          <w:p w14:paraId="4E1721C9" w14:textId="0F5AD2BD" w:rsidR="00A645FB" w:rsidRPr="00E777B3" w:rsidRDefault="007B7B2C" w:rsidP="003A07EA">
            <w:pPr>
              <w:spacing w:before="40" w:after="40"/>
              <w:rPr>
                <w:lang w:val="es-419"/>
              </w:rPr>
            </w:pPr>
            <w:r w:rsidRPr="00E777B3">
              <w:rPr>
                <w:lang w:val="es-419"/>
              </w:rPr>
              <w:t>Reto</w:t>
            </w:r>
          </w:p>
        </w:tc>
        <w:tc>
          <w:tcPr>
            <w:tcW w:w="1080" w:type="dxa"/>
            <w:shd w:val="clear" w:color="auto" w:fill="1F497D" w:themeFill="text2"/>
            <w:vAlign w:val="center"/>
            <w:hideMark/>
          </w:tcPr>
          <w:p w14:paraId="6877F2EF" w14:textId="204FB5DB" w:rsidR="00A645FB" w:rsidRPr="00E777B3" w:rsidRDefault="00A645FB" w:rsidP="003A07EA">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490" w:type="dxa"/>
            <w:shd w:val="clear" w:color="auto" w:fill="1F497D" w:themeFill="text2"/>
            <w:vAlign w:val="center"/>
            <w:hideMark/>
          </w:tcPr>
          <w:p w14:paraId="5CAFAFA3" w14:textId="65583007" w:rsidR="00A645FB" w:rsidRPr="00E777B3" w:rsidRDefault="00A645FB" w:rsidP="003A07EA">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226F84C8"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0C4CB0FE" w14:textId="77777777" w:rsidR="00A645FB" w:rsidRPr="00E777B3" w:rsidRDefault="00A645FB" w:rsidP="003A07EA">
            <w:pPr>
              <w:spacing w:before="40" w:after="40"/>
              <w:rPr>
                <w:b w:val="0"/>
                <w:lang w:val="es-419"/>
              </w:rPr>
            </w:pPr>
            <w:r w:rsidRPr="00E777B3">
              <w:rPr>
                <w:b w:val="0"/>
                <w:lang w:val="es-419"/>
              </w:rPr>
              <w:t>Falta de recursos informáticos (bases de datos, herramientas, almacenamiento, etc.)</w:t>
            </w:r>
          </w:p>
        </w:tc>
        <w:tc>
          <w:tcPr>
            <w:tcW w:w="1080" w:type="dxa"/>
            <w:vAlign w:val="center"/>
            <w:hideMark/>
          </w:tcPr>
          <w:p w14:paraId="752EBBEA"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5</w:t>
            </w:r>
          </w:p>
        </w:tc>
        <w:tc>
          <w:tcPr>
            <w:tcW w:w="4490" w:type="dxa"/>
            <w:vAlign w:val="center"/>
            <w:hideMark/>
          </w:tcPr>
          <w:p w14:paraId="1CEBF054" w14:textId="5C9199B8" w:rsidR="00A645FB" w:rsidRPr="00E777B3" w:rsidRDefault="00A31302"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Un obstáculo fundamental, que indica una inversión insuficiente en sistemas y capacidad digitales.</w:t>
            </w:r>
          </w:p>
        </w:tc>
      </w:tr>
      <w:tr w:rsidR="00A645FB" w:rsidRPr="00E777B3" w14:paraId="60A53E33"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2B45C453" w14:textId="77777777" w:rsidR="00A645FB" w:rsidRPr="00E777B3" w:rsidRDefault="00A645FB" w:rsidP="003A07EA">
            <w:pPr>
              <w:spacing w:before="40" w:after="40"/>
              <w:rPr>
                <w:b w:val="0"/>
                <w:lang w:val="es-419"/>
              </w:rPr>
            </w:pPr>
            <w:r w:rsidRPr="00E777B3">
              <w:rPr>
                <w:b w:val="0"/>
                <w:lang w:val="es-419"/>
              </w:rPr>
              <w:t>Formatos de datos no normalizados</w:t>
            </w:r>
          </w:p>
        </w:tc>
        <w:tc>
          <w:tcPr>
            <w:tcW w:w="1080" w:type="dxa"/>
            <w:vAlign w:val="center"/>
            <w:hideMark/>
          </w:tcPr>
          <w:p w14:paraId="2E896B8F" w14:textId="77777777" w:rsidR="00A645FB" w:rsidRPr="00E777B3" w:rsidRDefault="00A645FB"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5</w:t>
            </w:r>
          </w:p>
        </w:tc>
        <w:tc>
          <w:tcPr>
            <w:tcW w:w="4490" w:type="dxa"/>
            <w:vAlign w:val="center"/>
            <w:hideMark/>
          </w:tcPr>
          <w:p w14:paraId="68F02AC2" w14:textId="467DB9D9" w:rsidR="00A645FB" w:rsidRPr="00E777B3" w:rsidRDefault="00A645FB"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Destaca la falta de estructuras de datos armonizadas o la adopción limitada de las normas técnicas de la OMPI.</w:t>
            </w:r>
          </w:p>
        </w:tc>
      </w:tr>
      <w:tr w:rsidR="00A645FB" w:rsidRPr="00E777B3" w14:paraId="04A4100F"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3E500FAE" w14:textId="77777777" w:rsidR="00A645FB" w:rsidRPr="00E777B3" w:rsidRDefault="00A645FB" w:rsidP="003A07EA">
            <w:pPr>
              <w:spacing w:before="40" w:after="40"/>
              <w:rPr>
                <w:b w:val="0"/>
                <w:lang w:val="es-419"/>
              </w:rPr>
            </w:pPr>
            <w:r w:rsidRPr="00E777B3">
              <w:rPr>
                <w:b w:val="0"/>
                <w:lang w:val="es-419"/>
              </w:rPr>
              <w:t>Datos no digitalizados de PI.</w:t>
            </w:r>
          </w:p>
        </w:tc>
        <w:tc>
          <w:tcPr>
            <w:tcW w:w="1080" w:type="dxa"/>
            <w:vAlign w:val="center"/>
            <w:hideMark/>
          </w:tcPr>
          <w:p w14:paraId="2076684B"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1</w:t>
            </w:r>
          </w:p>
        </w:tc>
        <w:tc>
          <w:tcPr>
            <w:tcW w:w="4490" w:type="dxa"/>
            <w:vAlign w:val="center"/>
            <w:hideMark/>
          </w:tcPr>
          <w:p w14:paraId="798BD62A" w14:textId="604F8548" w:rsidR="00A645FB" w:rsidRPr="00E777B3" w:rsidRDefault="00586C98"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Aunque se ha resuelto en gran medida, algunas oficinas siguen teniendo problemas con la digitalización completa.</w:t>
            </w:r>
          </w:p>
        </w:tc>
      </w:tr>
      <w:tr w:rsidR="00A645FB" w:rsidRPr="00E777B3" w14:paraId="2E64DAB6"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2508BA3C" w14:textId="77777777" w:rsidR="00A645FB" w:rsidRPr="00E777B3" w:rsidRDefault="00A645FB" w:rsidP="003A07EA">
            <w:pPr>
              <w:spacing w:before="40" w:after="40"/>
              <w:rPr>
                <w:b w:val="0"/>
                <w:lang w:val="es-419"/>
              </w:rPr>
            </w:pPr>
            <w:r w:rsidRPr="00E777B3">
              <w:rPr>
                <w:b w:val="0"/>
                <w:lang w:val="es-419"/>
              </w:rPr>
              <w:t>Datos de mala calidad (digitalizados, pero necesitan corrección).</w:t>
            </w:r>
          </w:p>
        </w:tc>
        <w:tc>
          <w:tcPr>
            <w:tcW w:w="1080" w:type="dxa"/>
            <w:vAlign w:val="center"/>
            <w:hideMark/>
          </w:tcPr>
          <w:p w14:paraId="5ADD5EC5" w14:textId="77777777" w:rsidR="00A645FB" w:rsidRPr="00E777B3" w:rsidRDefault="00A645FB"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4</w:t>
            </w:r>
          </w:p>
        </w:tc>
        <w:tc>
          <w:tcPr>
            <w:tcW w:w="4490" w:type="dxa"/>
            <w:vAlign w:val="center"/>
            <w:hideMark/>
          </w:tcPr>
          <w:p w14:paraId="798996A3" w14:textId="77777777" w:rsidR="00A645FB" w:rsidRPr="00E777B3" w:rsidRDefault="00A645FB"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Refleja sistemas antiguos o prácticas incoherentes a la hora de introducir datos.</w:t>
            </w:r>
          </w:p>
        </w:tc>
      </w:tr>
      <w:tr w:rsidR="00A645FB" w:rsidRPr="00E777B3" w14:paraId="003AB296" w14:textId="77777777" w:rsidTr="00151D7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6E273661" w14:textId="77777777" w:rsidR="00A645FB" w:rsidRPr="00E777B3" w:rsidRDefault="00A645FB" w:rsidP="003A07EA">
            <w:pPr>
              <w:spacing w:before="40" w:after="40"/>
              <w:rPr>
                <w:b w:val="0"/>
                <w:lang w:val="es-419"/>
              </w:rPr>
            </w:pPr>
            <w:r w:rsidRPr="00E777B3">
              <w:rPr>
                <w:b w:val="0"/>
                <w:lang w:val="es-419"/>
              </w:rPr>
              <w:t>Proyecto de corrección de datos en curso</w:t>
            </w:r>
          </w:p>
        </w:tc>
        <w:tc>
          <w:tcPr>
            <w:tcW w:w="1080" w:type="dxa"/>
            <w:vAlign w:val="center"/>
            <w:hideMark/>
          </w:tcPr>
          <w:p w14:paraId="715E2544" w14:textId="77777777" w:rsidR="00A645FB" w:rsidRPr="00E777B3" w:rsidRDefault="00A645FB"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4</w:t>
            </w:r>
          </w:p>
        </w:tc>
        <w:tc>
          <w:tcPr>
            <w:tcW w:w="4490" w:type="dxa"/>
            <w:vAlign w:val="center"/>
            <w:hideMark/>
          </w:tcPr>
          <w:p w14:paraId="43C88F9F" w14:textId="65B917FC" w:rsidR="00A645FB" w:rsidRPr="00E777B3" w:rsidRDefault="00421EBF" w:rsidP="003A07E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Demuestra ser consciente de los problemas de calidad de los datos y se compromete a mejorarlos.</w:t>
            </w:r>
          </w:p>
        </w:tc>
      </w:tr>
      <w:tr w:rsidR="00A645FB" w:rsidRPr="00E777B3" w14:paraId="70013226" w14:textId="77777777" w:rsidTr="00151D73">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66E1E694" w14:textId="05D8B849" w:rsidR="00A645FB" w:rsidRPr="00E777B3" w:rsidRDefault="00A645FB" w:rsidP="003A07EA">
            <w:pPr>
              <w:spacing w:before="40" w:after="40"/>
              <w:rPr>
                <w:b w:val="0"/>
                <w:lang w:val="es-419"/>
              </w:rPr>
            </w:pPr>
            <w:r w:rsidRPr="00E777B3">
              <w:rPr>
                <w:b w:val="0"/>
                <w:lang w:val="es-419"/>
              </w:rPr>
              <w:t>Digitalización parcial de datos PI</w:t>
            </w:r>
          </w:p>
        </w:tc>
        <w:tc>
          <w:tcPr>
            <w:tcW w:w="1080" w:type="dxa"/>
            <w:vAlign w:val="center"/>
            <w:hideMark/>
          </w:tcPr>
          <w:p w14:paraId="03579D8D" w14:textId="77777777" w:rsidR="00A645FB" w:rsidRPr="00E777B3" w:rsidRDefault="00A645FB"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1</w:t>
            </w:r>
          </w:p>
        </w:tc>
        <w:tc>
          <w:tcPr>
            <w:tcW w:w="4490" w:type="dxa"/>
            <w:vAlign w:val="center"/>
            <w:hideMark/>
          </w:tcPr>
          <w:p w14:paraId="5343EDA8" w14:textId="08DA0FEB" w:rsidR="00A645FB" w:rsidRPr="00E777B3" w:rsidRDefault="00421EBF" w:rsidP="003A07E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Indica las lagunas que aún existen en la digitalización completa de los registros de PI.</w:t>
            </w:r>
          </w:p>
        </w:tc>
      </w:tr>
    </w:tbl>
    <w:p w14:paraId="58BC236F" w14:textId="509DFC2E" w:rsidR="00A645FB" w:rsidRPr="00E777B3" w:rsidRDefault="00A645FB" w:rsidP="00D9594F">
      <w:pPr>
        <w:pStyle w:val="Heading3"/>
        <w:spacing w:after="220"/>
        <w:rPr>
          <w:lang w:val="es-419"/>
        </w:rPr>
      </w:pPr>
      <w:r w:rsidRPr="00E777B3">
        <w:rPr>
          <w:lang w:val="es-419"/>
        </w:rPr>
        <w:t>Retos jurídicos y en materia de políticas</w:t>
      </w:r>
    </w:p>
    <w:tbl>
      <w:tblPr>
        <w:tblStyle w:val="ListTable4-Accent1"/>
        <w:tblW w:w="0" w:type="auto"/>
        <w:jc w:val="center"/>
        <w:tblLook w:val="04A0" w:firstRow="1" w:lastRow="0" w:firstColumn="1" w:lastColumn="0" w:noHBand="0" w:noVBand="1"/>
      </w:tblPr>
      <w:tblGrid>
        <w:gridCol w:w="3775"/>
        <w:gridCol w:w="1080"/>
        <w:gridCol w:w="4490"/>
      </w:tblGrid>
      <w:tr w:rsidR="00A645FB" w:rsidRPr="00E777B3" w14:paraId="290479A7" w14:textId="77777777" w:rsidTr="00BA4271">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themeFill="text2"/>
            <w:vAlign w:val="center"/>
            <w:hideMark/>
          </w:tcPr>
          <w:p w14:paraId="44A8443F" w14:textId="30A15708" w:rsidR="00A645FB" w:rsidRPr="00E777B3" w:rsidRDefault="00E31A34" w:rsidP="00EF210F">
            <w:pPr>
              <w:spacing w:before="40" w:after="40"/>
              <w:rPr>
                <w:lang w:val="es-419"/>
              </w:rPr>
            </w:pPr>
            <w:r w:rsidRPr="00E777B3">
              <w:rPr>
                <w:lang w:val="es-419"/>
              </w:rPr>
              <w:t>Reto</w:t>
            </w:r>
          </w:p>
        </w:tc>
        <w:tc>
          <w:tcPr>
            <w:tcW w:w="1080" w:type="dxa"/>
            <w:shd w:val="clear" w:color="auto" w:fill="1F497D" w:themeFill="text2"/>
            <w:vAlign w:val="center"/>
            <w:hideMark/>
          </w:tcPr>
          <w:p w14:paraId="064F0672" w14:textId="7FD34A32"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490" w:type="dxa"/>
            <w:shd w:val="clear" w:color="auto" w:fill="1F497D" w:themeFill="text2"/>
            <w:vAlign w:val="center"/>
            <w:hideMark/>
          </w:tcPr>
          <w:p w14:paraId="20B709EC" w14:textId="6BA4EAFB"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0C7C5852" w14:textId="77777777" w:rsidTr="00BA427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BBBCA1F" w14:textId="3353F3D0" w:rsidR="00A645FB" w:rsidRPr="00E777B3" w:rsidRDefault="00A645FB" w:rsidP="00EF210F">
            <w:pPr>
              <w:spacing w:before="40" w:after="40"/>
              <w:rPr>
                <w:b w:val="0"/>
                <w:lang w:val="es-419"/>
              </w:rPr>
            </w:pPr>
            <w:r w:rsidRPr="00E777B3">
              <w:rPr>
                <w:b w:val="0"/>
                <w:lang w:val="es-419"/>
              </w:rPr>
              <w:t>Cuestiones jurídicas relativas a la titularidad y la redistribución</w:t>
            </w:r>
            <w:r w:rsidR="00C46C87" w:rsidRPr="00E777B3">
              <w:rPr>
                <w:b w:val="0"/>
                <w:lang w:val="es-419"/>
              </w:rPr>
              <w:t xml:space="preserve">: </w:t>
            </w:r>
            <w:r w:rsidRPr="00E777B3">
              <w:rPr>
                <w:b w:val="0"/>
                <w:lang w:val="es-419"/>
              </w:rPr>
              <w:t>Los datos de PI podrían compartirse, siempre y cuando no se redistribuyan ni se alteren sin consentimiento por escrito.</w:t>
            </w:r>
          </w:p>
        </w:tc>
        <w:tc>
          <w:tcPr>
            <w:tcW w:w="1080" w:type="dxa"/>
            <w:vAlign w:val="center"/>
          </w:tcPr>
          <w:p w14:paraId="5E45C18E" w14:textId="7EE78E6E" w:rsidR="00AB3A1A"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6</w:t>
            </w:r>
          </w:p>
        </w:tc>
        <w:tc>
          <w:tcPr>
            <w:tcW w:w="4490" w:type="dxa"/>
            <w:vAlign w:val="center"/>
          </w:tcPr>
          <w:p w14:paraId="351F4A90" w14:textId="35AFCD34" w:rsidR="00A645FB" w:rsidRPr="00E777B3" w:rsidRDefault="00F07FE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Las restricciones legales limitan el intercambio a menos que se establezcan acuerdos formales.</w:t>
            </w:r>
          </w:p>
        </w:tc>
      </w:tr>
      <w:tr w:rsidR="00A645FB" w:rsidRPr="00E777B3" w14:paraId="68ED22D5" w14:textId="77777777" w:rsidTr="00BA4271">
        <w:trPr>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19550BBF" w14:textId="5DC214EB" w:rsidR="00A645FB" w:rsidRPr="00E777B3" w:rsidRDefault="00A645FB" w:rsidP="00EF210F">
            <w:pPr>
              <w:spacing w:before="40" w:after="40"/>
              <w:rPr>
                <w:b w:val="0"/>
                <w:lang w:val="es-419"/>
              </w:rPr>
            </w:pPr>
            <w:r w:rsidRPr="00E777B3">
              <w:rPr>
                <w:b w:val="0"/>
                <w:lang w:val="es-419"/>
              </w:rPr>
              <w:t>Preocupaciones legales sobre el alojamiento fuera de la jurisdicción de la Oficina de PI.</w:t>
            </w:r>
          </w:p>
        </w:tc>
        <w:tc>
          <w:tcPr>
            <w:tcW w:w="1080" w:type="dxa"/>
            <w:vAlign w:val="center"/>
            <w:hideMark/>
          </w:tcPr>
          <w:p w14:paraId="6EB05C93"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6</w:t>
            </w:r>
          </w:p>
        </w:tc>
        <w:tc>
          <w:tcPr>
            <w:tcW w:w="4490" w:type="dxa"/>
            <w:vAlign w:val="center"/>
            <w:hideMark/>
          </w:tcPr>
          <w:p w14:paraId="7EDC6A76" w14:textId="34601663" w:rsidR="00A645FB" w:rsidRPr="00E777B3" w:rsidRDefault="00F36385"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Las limitaciones jurisdiccionales (por ejemplo, la seguridad nacional o la soberanía de los datos) restringen el alojamiento de datos.</w:t>
            </w:r>
          </w:p>
        </w:tc>
      </w:tr>
      <w:tr w:rsidR="00A645FB" w:rsidRPr="00E777B3" w14:paraId="2BE41490" w14:textId="77777777" w:rsidTr="00BA427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6C5E29DB" w14:textId="6547AD47" w:rsidR="00A645FB" w:rsidRPr="00E777B3" w:rsidRDefault="00A645FB" w:rsidP="00EF210F">
            <w:pPr>
              <w:spacing w:before="40" w:after="40"/>
              <w:rPr>
                <w:b w:val="0"/>
                <w:lang w:val="es-419"/>
              </w:rPr>
            </w:pPr>
            <w:r w:rsidRPr="00E777B3">
              <w:rPr>
                <w:b w:val="0"/>
                <w:lang w:val="es-419"/>
              </w:rPr>
              <w:t>Los datos de PI se consideran ingresos potenciales para la Oficina de PI, por lo que su intercambio gratuito está restringido.</w:t>
            </w:r>
          </w:p>
        </w:tc>
        <w:tc>
          <w:tcPr>
            <w:tcW w:w="1080" w:type="dxa"/>
            <w:vAlign w:val="center"/>
            <w:hideMark/>
          </w:tcPr>
          <w:p w14:paraId="7378A6A6"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1</w:t>
            </w:r>
          </w:p>
        </w:tc>
        <w:tc>
          <w:tcPr>
            <w:tcW w:w="4490" w:type="dxa"/>
            <w:vAlign w:val="center"/>
            <w:hideMark/>
          </w:tcPr>
          <w:p w14:paraId="769E2450" w14:textId="09CF6A6B" w:rsidR="00A645FB" w:rsidRPr="00E777B3" w:rsidRDefault="00E242B6"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Los intereses comerciales restringen la colaboración abierta y el libre acceso a los datos de PI.</w:t>
            </w:r>
          </w:p>
        </w:tc>
      </w:tr>
    </w:tbl>
    <w:p w14:paraId="67F5A9C2" w14:textId="3F64FCE2" w:rsidR="00A645FB" w:rsidRPr="00E777B3" w:rsidRDefault="00A645FB" w:rsidP="00D9594F">
      <w:pPr>
        <w:pStyle w:val="Heading3"/>
        <w:spacing w:after="220"/>
        <w:rPr>
          <w:lang w:val="es-419"/>
        </w:rPr>
      </w:pPr>
      <w:r w:rsidRPr="00E777B3">
        <w:rPr>
          <w:lang w:val="es-419"/>
        </w:rPr>
        <w:t>Limitaciones organizativas</w:t>
      </w:r>
    </w:p>
    <w:tbl>
      <w:tblPr>
        <w:tblStyle w:val="ListTable4-Accent1"/>
        <w:tblW w:w="0" w:type="auto"/>
        <w:tblLook w:val="04A0" w:firstRow="1" w:lastRow="0" w:firstColumn="1" w:lastColumn="0" w:noHBand="0" w:noVBand="1"/>
      </w:tblPr>
      <w:tblGrid>
        <w:gridCol w:w="3865"/>
        <w:gridCol w:w="1080"/>
        <w:gridCol w:w="4400"/>
      </w:tblGrid>
      <w:tr w:rsidR="00A645FB" w:rsidRPr="00E777B3" w14:paraId="749A3835"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shd w:val="clear" w:color="auto" w:fill="1F497D" w:themeFill="text2"/>
            <w:vAlign w:val="center"/>
            <w:hideMark/>
          </w:tcPr>
          <w:p w14:paraId="567E6253" w14:textId="75323461" w:rsidR="00A645FB" w:rsidRPr="00E777B3" w:rsidRDefault="009C4AA8" w:rsidP="00EF210F">
            <w:pPr>
              <w:spacing w:before="40" w:after="40"/>
              <w:rPr>
                <w:lang w:val="es-419"/>
              </w:rPr>
            </w:pPr>
            <w:r w:rsidRPr="00E777B3">
              <w:rPr>
                <w:lang w:val="es-419"/>
              </w:rPr>
              <w:t>Reto</w:t>
            </w:r>
          </w:p>
        </w:tc>
        <w:tc>
          <w:tcPr>
            <w:tcW w:w="1080" w:type="dxa"/>
            <w:shd w:val="clear" w:color="auto" w:fill="1F497D" w:themeFill="text2"/>
            <w:vAlign w:val="center"/>
            <w:hideMark/>
          </w:tcPr>
          <w:p w14:paraId="498EE4BE" w14:textId="0B4C58F8"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400" w:type="dxa"/>
            <w:shd w:val="clear" w:color="auto" w:fill="1F497D" w:themeFill="text2"/>
            <w:vAlign w:val="center"/>
            <w:hideMark/>
          </w:tcPr>
          <w:p w14:paraId="09EA17A8" w14:textId="137D4D00"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7A58015F"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5B6B4196" w14:textId="22105F35" w:rsidR="00A645FB" w:rsidRPr="00E777B3" w:rsidRDefault="00A645FB" w:rsidP="00EF210F">
            <w:pPr>
              <w:spacing w:before="40" w:after="40"/>
              <w:rPr>
                <w:b w:val="0"/>
                <w:lang w:val="es-419"/>
              </w:rPr>
            </w:pPr>
            <w:r w:rsidRPr="00E777B3">
              <w:rPr>
                <w:b w:val="0"/>
                <w:lang w:val="es-419"/>
              </w:rPr>
              <w:t>La Oficina de PI no comparte ningún dato de PI</w:t>
            </w:r>
          </w:p>
        </w:tc>
        <w:tc>
          <w:tcPr>
            <w:tcW w:w="1080" w:type="dxa"/>
            <w:vAlign w:val="center"/>
            <w:hideMark/>
          </w:tcPr>
          <w:p w14:paraId="3CC00CE8"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2</w:t>
            </w:r>
          </w:p>
        </w:tc>
        <w:tc>
          <w:tcPr>
            <w:tcW w:w="4400" w:type="dxa"/>
            <w:vAlign w:val="center"/>
            <w:hideMark/>
          </w:tcPr>
          <w:p w14:paraId="2EBBEBF6"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Ya sea por política o por limitaciones de capacidad.</w:t>
            </w:r>
          </w:p>
        </w:tc>
      </w:tr>
      <w:tr w:rsidR="00A645FB" w:rsidRPr="00E777B3" w14:paraId="19A3E264"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1D39A4E1" w14:textId="6921325E" w:rsidR="00A645FB" w:rsidRPr="00E777B3" w:rsidRDefault="00A645FB" w:rsidP="00EF210F">
            <w:pPr>
              <w:spacing w:before="40" w:after="40"/>
              <w:rPr>
                <w:b w:val="0"/>
                <w:lang w:val="es-419"/>
              </w:rPr>
            </w:pPr>
            <w:r w:rsidRPr="00E777B3">
              <w:rPr>
                <w:b w:val="0"/>
                <w:lang w:val="es-419"/>
              </w:rPr>
              <w:t xml:space="preserve">Falta de personal para mejorar los sistemas </w:t>
            </w:r>
          </w:p>
        </w:tc>
        <w:tc>
          <w:tcPr>
            <w:tcW w:w="1080" w:type="dxa"/>
            <w:vAlign w:val="center"/>
            <w:hideMark/>
          </w:tcPr>
          <w:p w14:paraId="47771FE2"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1</w:t>
            </w:r>
          </w:p>
        </w:tc>
        <w:tc>
          <w:tcPr>
            <w:tcW w:w="4400" w:type="dxa"/>
            <w:vAlign w:val="center"/>
            <w:hideMark/>
          </w:tcPr>
          <w:p w14:paraId="400EFA44" w14:textId="03849681"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La escasez de personal repercute en la modernización de los procesos de intercambio de datos de PI.</w:t>
            </w:r>
          </w:p>
        </w:tc>
      </w:tr>
    </w:tbl>
    <w:p w14:paraId="3F30C815" w14:textId="3D363A53" w:rsidR="00A645FB" w:rsidRPr="00E777B3" w:rsidRDefault="00A645FB" w:rsidP="00A645FB">
      <w:pPr>
        <w:pStyle w:val="Heading2"/>
        <w:rPr>
          <w:lang w:val="es-419"/>
        </w:rPr>
      </w:pPr>
      <w:r w:rsidRPr="00E777B3">
        <w:rPr>
          <w:lang w:val="es-419"/>
        </w:rPr>
        <w:t>Dificultades para recopilar datos de PI de otras oficinas de PI</w:t>
      </w:r>
    </w:p>
    <w:p w14:paraId="4D78987B" w14:textId="77777777" w:rsidR="00A645FB" w:rsidRPr="00E777B3" w:rsidRDefault="00A645FB" w:rsidP="00D9594F">
      <w:pPr>
        <w:pStyle w:val="Heading3"/>
        <w:spacing w:after="220"/>
        <w:rPr>
          <w:lang w:val="es-419"/>
        </w:rPr>
      </w:pPr>
      <w:r w:rsidRPr="00E777B3">
        <w:rPr>
          <w:lang w:val="es-419"/>
        </w:rPr>
        <w:t>Retos técnicos</w:t>
      </w:r>
    </w:p>
    <w:tbl>
      <w:tblPr>
        <w:tblStyle w:val="ListTable4-Accent1"/>
        <w:tblW w:w="0" w:type="auto"/>
        <w:tblLook w:val="04A0" w:firstRow="1" w:lastRow="0" w:firstColumn="1" w:lastColumn="0" w:noHBand="0" w:noVBand="1"/>
      </w:tblPr>
      <w:tblGrid>
        <w:gridCol w:w="3955"/>
        <w:gridCol w:w="1113"/>
        <w:gridCol w:w="4277"/>
      </w:tblGrid>
      <w:tr w:rsidR="00A645FB" w:rsidRPr="00E777B3" w14:paraId="288E0DDF"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shd w:val="clear" w:color="auto" w:fill="1F497D" w:themeFill="text2"/>
            <w:vAlign w:val="center"/>
            <w:hideMark/>
          </w:tcPr>
          <w:p w14:paraId="267E9222" w14:textId="025346DE" w:rsidR="00A645FB" w:rsidRPr="00E777B3" w:rsidRDefault="00262C56" w:rsidP="00EF210F">
            <w:pPr>
              <w:spacing w:before="40" w:after="40"/>
              <w:rPr>
                <w:lang w:val="es-419"/>
              </w:rPr>
            </w:pPr>
            <w:r w:rsidRPr="00E777B3">
              <w:rPr>
                <w:lang w:val="es-419"/>
              </w:rPr>
              <w:t>Reto</w:t>
            </w:r>
          </w:p>
        </w:tc>
        <w:tc>
          <w:tcPr>
            <w:tcW w:w="1113" w:type="dxa"/>
            <w:shd w:val="clear" w:color="auto" w:fill="1F497D" w:themeFill="text2"/>
            <w:vAlign w:val="center"/>
            <w:hideMark/>
          </w:tcPr>
          <w:p w14:paraId="60B8E7F5" w14:textId="48F99C90"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277" w:type="dxa"/>
            <w:shd w:val="clear" w:color="auto" w:fill="1F497D" w:themeFill="text2"/>
            <w:vAlign w:val="center"/>
            <w:hideMark/>
          </w:tcPr>
          <w:p w14:paraId="30A79864" w14:textId="159FBEF0"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2C60AF33"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6CB6D9CF" w14:textId="77777777" w:rsidR="00A645FB" w:rsidRPr="00E777B3" w:rsidRDefault="00A645FB" w:rsidP="00EF210F">
            <w:pPr>
              <w:spacing w:before="40" w:after="40"/>
              <w:rPr>
                <w:b w:val="0"/>
                <w:lang w:val="es-419"/>
              </w:rPr>
            </w:pPr>
            <w:r w:rsidRPr="00E777B3">
              <w:rPr>
                <w:b w:val="0"/>
                <w:lang w:val="es-419"/>
              </w:rPr>
              <w:t>Formatos no normalizados/no comunes</w:t>
            </w:r>
          </w:p>
        </w:tc>
        <w:tc>
          <w:tcPr>
            <w:tcW w:w="1113" w:type="dxa"/>
            <w:vAlign w:val="center"/>
            <w:hideMark/>
          </w:tcPr>
          <w:p w14:paraId="3DCEC413"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4</w:t>
            </w:r>
          </w:p>
        </w:tc>
        <w:tc>
          <w:tcPr>
            <w:tcW w:w="4277" w:type="dxa"/>
            <w:vAlign w:val="center"/>
            <w:hideMark/>
          </w:tcPr>
          <w:p w14:paraId="4044D9B4"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Limita el tratamiento automatizado y la integración.</w:t>
            </w:r>
          </w:p>
        </w:tc>
      </w:tr>
      <w:tr w:rsidR="00A645FB" w:rsidRPr="00E777B3" w14:paraId="543BA12E"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142E0515" w14:textId="77777777" w:rsidR="00A645FB" w:rsidRPr="00E777B3" w:rsidRDefault="00A645FB" w:rsidP="00EF210F">
            <w:pPr>
              <w:spacing w:before="40" w:after="40"/>
              <w:rPr>
                <w:b w:val="0"/>
                <w:lang w:val="es-419"/>
              </w:rPr>
            </w:pPr>
            <w:r w:rsidRPr="00E777B3">
              <w:rPr>
                <w:b w:val="0"/>
                <w:lang w:val="es-419"/>
              </w:rPr>
              <w:t>Datos de mala calidad (por ejemplo, etiquetas XML incorrectas)</w:t>
            </w:r>
          </w:p>
        </w:tc>
        <w:tc>
          <w:tcPr>
            <w:tcW w:w="1113" w:type="dxa"/>
            <w:vAlign w:val="center"/>
            <w:hideMark/>
          </w:tcPr>
          <w:p w14:paraId="4485AA08"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2</w:t>
            </w:r>
          </w:p>
        </w:tc>
        <w:tc>
          <w:tcPr>
            <w:tcW w:w="4277" w:type="dxa"/>
            <w:vAlign w:val="center"/>
            <w:hideMark/>
          </w:tcPr>
          <w:p w14:paraId="56D8BF9C"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Repercusión en la facilidad de uso y la automatización.</w:t>
            </w:r>
          </w:p>
        </w:tc>
      </w:tr>
      <w:tr w:rsidR="00A645FB" w:rsidRPr="00E777B3" w14:paraId="6008D4BA"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0EA355EE" w14:textId="5211EDCB" w:rsidR="00A645FB" w:rsidRPr="00E777B3" w:rsidRDefault="00A645FB" w:rsidP="00EF210F">
            <w:pPr>
              <w:spacing w:before="40" w:after="40"/>
              <w:rPr>
                <w:b w:val="0"/>
                <w:lang w:val="es-419"/>
              </w:rPr>
            </w:pPr>
            <w:r w:rsidRPr="00E777B3">
              <w:rPr>
                <w:b w:val="0"/>
                <w:lang w:val="es-419"/>
              </w:rPr>
              <w:t>Falta de recursos informáticos en las oficinas de PI colaboradoras</w:t>
            </w:r>
          </w:p>
        </w:tc>
        <w:tc>
          <w:tcPr>
            <w:tcW w:w="1113" w:type="dxa"/>
            <w:vAlign w:val="center"/>
            <w:hideMark/>
          </w:tcPr>
          <w:p w14:paraId="2B243460"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4</w:t>
            </w:r>
          </w:p>
        </w:tc>
        <w:tc>
          <w:tcPr>
            <w:tcW w:w="4277" w:type="dxa"/>
            <w:vAlign w:val="center"/>
            <w:hideMark/>
          </w:tcPr>
          <w:p w14:paraId="26FA0119"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Refleja una madurez desigual en los sistemas mundiales de PI.</w:t>
            </w:r>
          </w:p>
        </w:tc>
      </w:tr>
      <w:tr w:rsidR="00A645FB" w:rsidRPr="00E777B3" w14:paraId="7DC257E7"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DD5C9B2" w14:textId="77777777" w:rsidR="00A645FB" w:rsidRPr="00E777B3" w:rsidRDefault="00A645FB" w:rsidP="00EF210F">
            <w:pPr>
              <w:spacing w:before="40" w:after="40"/>
              <w:rPr>
                <w:b w:val="0"/>
                <w:lang w:val="es-419"/>
              </w:rPr>
            </w:pPr>
            <w:r w:rsidRPr="00E777B3">
              <w:rPr>
                <w:b w:val="0"/>
                <w:lang w:val="es-419"/>
              </w:rPr>
              <w:t>Fiabilidad técnica de los sistemas (por ejemplo, WIPO CASE)</w:t>
            </w:r>
          </w:p>
        </w:tc>
        <w:tc>
          <w:tcPr>
            <w:tcW w:w="1113" w:type="dxa"/>
            <w:vAlign w:val="center"/>
            <w:hideMark/>
          </w:tcPr>
          <w:p w14:paraId="1DA7A19C"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1</w:t>
            </w:r>
          </w:p>
        </w:tc>
        <w:tc>
          <w:tcPr>
            <w:tcW w:w="4277" w:type="dxa"/>
            <w:vAlign w:val="center"/>
            <w:hideMark/>
          </w:tcPr>
          <w:p w14:paraId="42EF9F62"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Indica la necesidad de mejorar las infraestructuras y el mantenimiento.</w:t>
            </w:r>
          </w:p>
        </w:tc>
      </w:tr>
    </w:tbl>
    <w:p w14:paraId="234B45C3" w14:textId="77777777" w:rsidR="00034C54" w:rsidRPr="00E777B3" w:rsidRDefault="00034C54" w:rsidP="006007D5">
      <w:pPr>
        <w:pStyle w:val="Heading3"/>
        <w:keepLines/>
        <w:rPr>
          <w:lang w:val="es-419"/>
        </w:rPr>
      </w:pPr>
    </w:p>
    <w:p w14:paraId="78205EAB" w14:textId="77777777" w:rsidR="006007D5" w:rsidRPr="00E777B3" w:rsidRDefault="006007D5">
      <w:pPr>
        <w:spacing w:before="0" w:after="0"/>
        <w:rPr>
          <w:bCs/>
          <w:szCs w:val="26"/>
          <w:u w:val="single"/>
          <w:lang w:val="es-419"/>
        </w:rPr>
      </w:pPr>
      <w:r w:rsidRPr="00E777B3">
        <w:rPr>
          <w:lang w:val="es-419"/>
        </w:rPr>
        <w:br w:type="page"/>
      </w:r>
    </w:p>
    <w:p w14:paraId="7BBC73BB" w14:textId="19C00F87" w:rsidR="00A645FB" w:rsidRPr="00E777B3" w:rsidRDefault="00A645FB" w:rsidP="00D9594F">
      <w:pPr>
        <w:pStyle w:val="Heading3"/>
        <w:keepLines/>
        <w:spacing w:after="220"/>
        <w:rPr>
          <w:lang w:val="es-419"/>
        </w:rPr>
      </w:pPr>
      <w:r w:rsidRPr="00E777B3">
        <w:rPr>
          <w:lang w:val="es-419"/>
        </w:rPr>
        <w:t>Retos jurídicos y en materia de políticas</w:t>
      </w:r>
    </w:p>
    <w:tbl>
      <w:tblPr>
        <w:tblStyle w:val="ListTable4-Accent1"/>
        <w:tblW w:w="0" w:type="auto"/>
        <w:tblLook w:val="04A0" w:firstRow="1" w:lastRow="0" w:firstColumn="1" w:lastColumn="0" w:noHBand="0" w:noVBand="1"/>
      </w:tblPr>
      <w:tblGrid>
        <w:gridCol w:w="3955"/>
        <w:gridCol w:w="1080"/>
        <w:gridCol w:w="4310"/>
      </w:tblGrid>
      <w:tr w:rsidR="00A645FB" w:rsidRPr="00E777B3" w14:paraId="68980281"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shd w:val="clear" w:color="auto" w:fill="1F497D" w:themeFill="text2"/>
            <w:vAlign w:val="center"/>
            <w:hideMark/>
          </w:tcPr>
          <w:p w14:paraId="2B3647F2" w14:textId="3996303E" w:rsidR="00A645FB" w:rsidRPr="00E777B3" w:rsidRDefault="00CD227A" w:rsidP="00EF210F">
            <w:pPr>
              <w:keepNext/>
              <w:keepLines/>
              <w:spacing w:before="40" w:after="40"/>
              <w:rPr>
                <w:lang w:val="es-419"/>
              </w:rPr>
            </w:pPr>
            <w:r w:rsidRPr="00E777B3">
              <w:rPr>
                <w:lang w:val="es-419"/>
              </w:rPr>
              <w:t>Reto</w:t>
            </w:r>
          </w:p>
        </w:tc>
        <w:tc>
          <w:tcPr>
            <w:tcW w:w="1080" w:type="dxa"/>
            <w:shd w:val="clear" w:color="auto" w:fill="1F497D" w:themeFill="text2"/>
            <w:vAlign w:val="center"/>
            <w:hideMark/>
          </w:tcPr>
          <w:p w14:paraId="5C72D0B3" w14:textId="09AE8BC0"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310" w:type="dxa"/>
            <w:shd w:val="clear" w:color="auto" w:fill="1F497D" w:themeFill="text2"/>
            <w:vAlign w:val="center"/>
            <w:hideMark/>
          </w:tcPr>
          <w:p w14:paraId="3BBD4F4D" w14:textId="7BA60617" w:rsidR="00A645FB" w:rsidRPr="00E777B3" w:rsidRDefault="00A645FB" w:rsidP="00EF210F">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7368A182"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2AA4FE49" w14:textId="77777777" w:rsidR="00A645FB" w:rsidRPr="00E777B3" w:rsidRDefault="00A645FB" w:rsidP="00EF210F">
            <w:pPr>
              <w:spacing w:before="40" w:after="40"/>
              <w:rPr>
                <w:b w:val="0"/>
                <w:lang w:val="es-419"/>
              </w:rPr>
            </w:pPr>
            <w:r w:rsidRPr="00E777B3">
              <w:rPr>
                <w:b w:val="0"/>
                <w:lang w:val="es-419"/>
              </w:rPr>
              <w:t>Cuestiones jurídicas (redistribución, corrección de errores)</w:t>
            </w:r>
          </w:p>
        </w:tc>
        <w:tc>
          <w:tcPr>
            <w:tcW w:w="1080" w:type="dxa"/>
            <w:vAlign w:val="center"/>
            <w:hideMark/>
          </w:tcPr>
          <w:p w14:paraId="16BBEDD2"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4</w:t>
            </w:r>
          </w:p>
        </w:tc>
        <w:tc>
          <w:tcPr>
            <w:tcW w:w="4310" w:type="dxa"/>
            <w:vAlign w:val="center"/>
            <w:hideMark/>
          </w:tcPr>
          <w:p w14:paraId="429F46B7" w14:textId="51C58A2C" w:rsidR="00A645FB" w:rsidRPr="00E777B3" w:rsidRDefault="00EF210F"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Las restricciones sobre cómo pueden utilizarse o modificarse los datos de PI limitan la transparencia y la reutilización.</w:t>
            </w:r>
          </w:p>
        </w:tc>
      </w:tr>
      <w:tr w:rsidR="00A645FB" w:rsidRPr="00E777B3" w14:paraId="4B2FC3EA"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1008FFED" w14:textId="557971C3" w:rsidR="00A645FB" w:rsidRPr="00E777B3" w:rsidRDefault="00A645FB" w:rsidP="00EF210F">
            <w:pPr>
              <w:spacing w:before="40" w:after="40"/>
              <w:rPr>
                <w:b w:val="0"/>
                <w:lang w:val="es-419"/>
              </w:rPr>
            </w:pPr>
            <w:r w:rsidRPr="00E777B3">
              <w:rPr>
                <w:b w:val="0"/>
                <w:lang w:val="es-419"/>
              </w:rPr>
              <w:t>Restricción de alojamiento fuera de la jurisdicción de la Oficina de PI</w:t>
            </w:r>
          </w:p>
        </w:tc>
        <w:tc>
          <w:tcPr>
            <w:tcW w:w="1080" w:type="dxa"/>
            <w:vAlign w:val="center"/>
            <w:hideMark/>
          </w:tcPr>
          <w:p w14:paraId="444ED8C6" w14:textId="77777777"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4</w:t>
            </w:r>
          </w:p>
        </w:tc>
        <w:tc>
          <w:tcPr>
            <w:tcW w:w="4310" w:type="dxa"/>
            <w:vAlign w:val="center"/>
            <w:hideMark/>
          </w:tcPr>
          <w:p w14:paraId="1FDF0E2E" w14:textId="4E016F71" w:rsidR="00A645FB" w:rsidRPr="00E777B3" w:rsidRDefault="00A645FB" w:rsidP="00EF210F">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De forma similar a los retos que plantea el intercambio de datos de PI, las leyes sobre la nube y los datos transfronterizos suponen un obstáculo considerable para el alojamiento externo de datos.</w:t>
            </w:r>
          </w:p>
        </w:tc>
      </w:tr>
      <w:tr w:rsidR="00A645FB" w:rsidRPr="00E777B3" w14:paraId="1855BA9C"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027BD39C" w14:textId="281D0FD4" w:rsidR="00A645FB" w:rsidRPr="00E777B3" w:rsidRDefault="00A645FB" w:rsidP="00EF210F">
            <w:pPr>
              <w:spacing w:before="40" w:after="40"/>
              <w:rPr>
                <w:b w:val="0"/>
                <w:lang w:val="es-419"/>
              </w:rPr>
            </w:pPr>
            <w:r w:rsidRPr="00E777B3">
              <w:rPr>
                <w:b w:val="0"/>
                <w:lang w:val="es-419"/>
              </w:rPr>
              <w:t>Normativas sobre protección de datos (por ejemplo, el RGPD)</w:t>
            </w:r>
          </w:p>
        </w:tc>
        <w:tc>
          <w:tcPr>
            <w:tcW w:w="1080" w:type="dxa"/>
            <w:vAlign w:val="center"/>
            <w:hideMark/>
          </w:tcPr>
          <w:p w14:paraId="6371B4DA" w14:textId="7777777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 xml:space="preserve">2 </w:t>
            </w:r>
          </w:p>
        </w:tc>
        <w:tc>
          <w:tcPr>
            <w:tcW w:w="4310" w:type="dxa"/>
            <w:vAlign w:val="center"/>
            <w:hideMark/>
          </w:tcPr>
          <w:p w14:paraId="118AE3E6" w14:textId="41F58A87" w:rsidR="00A645FB" w:rsidRPr="00E777B3" w:rsidRDefault="00A645FB" w:rsidP="00EF210F">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Normativas como el RGPD imponen reglas estrictas sobre el acceso y el uso de los datos de PI, especialmente en lo referente a los datos personales o sensibles.</w:t>
            </w:r>
          </w:p>
        </w:tc>
      </w:tr>
    </w:tbl>
    <w:p w14:paraId="2BE4B429" w14:textId="4FD267C6" w:rsidR="00A645FB" w:rsidRPr="00E777B3" w:rsidRDefault="00A645FB" w:rsidP="00D9594F">
      <w:pPr>
        <w:pStyle w:val="Heading3"/>
        <w:spacing w:after="220"/>
        <w:rPr>
          <w:lang w:val="es-419"/>
        </w:rPr>
      </w:pPr>
      <w:r w:rsidRPr="00E777B3">
        <w:rPr>
          <w:lang w:val="es-419"/>
        </w:rPr>
        <w:t>Cuestiones operativas y de coordinación</w:t>
      </w:r>
    </w:p>
    <w:tbl>
      <w:tblPr>
        <w:tblStyle w:val="ListTable4-Accent1"/>
        <w:tblW w:w="0" w:type="auto"/>
        <w:tblLook w:val="04A0" w:firstRow="1" w:lastRow="0" w:firstColumn="1" w:lastColumn="0" w:noHBand="0" w:noVBand="1"/>
      </w:tblPr>
      <w:tblGrid>
        <w:gridCol w:w="3865"/>
        <w:gridCol w:w="1080"/>
        <w:gridCol w:w="4400"/>
      </w:tblGrid>
      <w:tr w:rsidR="00A645FB" w:rsidRPr="00E777B3" w14:paraId="34168FB9"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shd w:val="clear" w:color="auto" w:fill="1F497D" w:themeFill="text2"/>
            <w:vAlign w:val="center"/>
            <w:hideMark/>
          </w:tcPr>
          <w:p w14:paraId="7FE0594A" w14:textId="55E3E874" w:rsidR="00A645FB" w:rsidRPr="00E777B3" w:rsidRDefault="00A86B6C" w:rsidP="00065528">
            <w:pPr>
              <w:spacing w:before="40" w:after="40"/>
              <w:rPr>
                <w:lang w:val="es-419"/>
              </w:rPr>
            </w:pPr>
            <w:r w:rsidRPr="00E777B3">
              <w:rPr>
                <w:lang w:val="es-419"/>
              </w:rPr>
              <w:t>Reto</w:t>
            </w:r>
          </w:p>
        </w:tc>
        <w:tc>
          <w:tcPr>
            <w:tcW w:w="1080" w:type="dxa"/>
            <w:shd w:val="clear" w:color="auto" w:fill="1F497D" w:themeFill="text2"/>
            <w:vAlign w:val="center"/>
            <w:hideMark/>
          </w:tcPr>
          <w:p w14:paraId="5CCE6843" w14:textId="38B9E30D" w:rsidR="00A645FB" w:rsidRPr="00E777B3" w:rsidRDefault="00A645FB" w:rsidP="00065528">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N.º oficinas</w:t>
            </w:r>
          </w:p>
        </w:tc>
        <w:tc>
          <w:tcPr>
            <w:tcW w:w="4400" w:type="dxa"/>
            <w:shd w:val="clear" w:color="auto" w:fill="1F497D" w:themeFill="text2"/>
            <w:vAlign w:val="center"/>
            <w:hideMark/>
          </w:tcPr>
          <w:p w14:paraId="7582C042" w14:textId="78E17874" w:rsidR="00A645FB" w:rsidRPr="00E777B3" w:rsidRDefault="00A645FB" w:rsidP="00065528">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24B1CEED"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60948DD6" w14:textId="77777777" w:rsidR="00A645FB" w:rsidRPr="00E777B3" w:rsidRDefault="00A645FB" w:rsidP="00065528">
            <w:pPr>
              <w:spacing w:before="40" w:after="40"/>
              <w:rPr>
                <w:b w:val="0"/>
                <w:lang w:val="es-419"/>
              </w:rPr>
            </w:pPr>
            <w:r w:rsidRPr="00E777B3">
              <w:rPr>
                <w:b w:val="0"/>
                <w:lang w:val="es-419"/>
              </w:rPr>
              <w:t>Conjuntos de datos incompletos</w:t>
            </w:r>
          </w:p>
        </w:tc>
        <w:tc>
          <w:tcPr>
            <w:tcW w:w="1080" w:type="dxa"/>
            <w:vAlign w:val="center"/>
            <w:hideMark/>
          </w:tcPr>
          <w:p w14:paraId="3E123E95" w14:textId="77777777" w:rsidR="00A645FB" w:rsidRPr="00E777B3" w:rsidRDefault="00A645FB" w:rsidP="00065528">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5</w:t>
            </w:r>
          </w:p>
        </w:tc>
        <w:tc>
          <w:tcPr>
            <w:tcW w:w="4400" w:type="dxa"/>
            <w:vAlign w:val="center"/>
            <w:hideMark/>
          </w:tcPr>
          <w:p w14:paraId="5CF7ACEC" w14:textId="4DC68F1F" w:rsidR="00A645FB" w:rsidRPr="00E777B3" w:rsidRDefault="00A645FB" w:rsidP="00065528">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Puede deberse a un filtrado intencionado o a la falta de conjuntos de datos estándar de PI.</w:t>
            </w:r>
          </w:p>
        </w:tc>
      </w:tr>
      <w:tr w:rsidR="00A645FB" w:rsidRPr="00E777B3" w14:paraId="0BDB2079"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545C10DF" w14:textId="77777777" w:rsidR="00A645FB" w:rsidRPr="00E777B3" w:rsidRDefault="00A645FB" w:rsidP="00065528">
            <w:pPr>
              <w:spacing w:before="40" w:after="40"/>
              <w:rPr>
                <w:b w:val="0"/>
                <w:lang w:val="es-419"/>
              </w:rPr>
            </w:pPr>
            <w:r w:rsidRPr="00E777B3">
              <w:rPr>
                <w:b w:val="0"/>
                <w:lang w:val="es-419"/>
              </w:rPr>
              <w:t>Suministro irregular de datos</w:t>
            </w:r>
          </w:p>
        </w:tc>
        <w:tc>
          <w:tcPr>
            <w:tcW w:w="1080" w:type="dxa"/>
            <w:vAlign w:val="center"/>
            <w:hideMark/>
          </w:tcPr>
          <w:p w14:paraId="6B000C62" w14:textId="77777777" w:rsidR="00A645FB" w:rsidRPr="00E777B3" w:rsidRDefault="00A645FB" w:rsidP="00065528">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4</w:t>
            </w:r>
          </w:p>
        </w:tc>
        <w:tc>
          <w:tcPr>
            <w:tcW w:w="4400" w:type="dxa"/>
            <w:vAlign w:val="center"/>
            <w:hideMark/>
          </w:tcPr>
          <w:p w14:paraId="7BE7EF7A" w14:textId="23598C99" w:rsidR="00A645FB" w:rsidRPr="00E777B3" w:rsidRDefault="00065528" w:rsidP="00065528">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Las actualizaciones imprevisibles perturban la automatización y reducen la fiabilidad de los datos.</w:t>
            </w:r>
          </w:p>
        </w:tc>
      </w:tr>
      <w:tr w:rsidR="00A645FB" w:rsidRPr="00E777B3" w14:paraId="72CC87BA"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70796CE3" w14:textId="77777777" w:rsidR="00A645FB" w:rsidRPr="00E777B3" w:rsidRDefault="00A645FB" w:rsidP="00065528">
            <w:pPr>
              <w:spacing w:before="40" w:after="40"/>
              <w:rPr>
                <w:b w:val="0"/>
                <w:lang w:val="es-419"/>
              </w:rPr>
            </w:pPr>
            <w:r w:rsidRPr="00E777B3">
              <w:rPr>
                <w:b w:val="0"/>
                <w:lang w:val="es-419"/>
              </w:rPr>
              <w:t>Suspensión repentina sin previo aviso</w:t>
            </w:r>
          </w:p>
        </w:tc>
        <w:tc>
          <w:tcPr>
            <w:tcW w:w="1080" w:type="dxa"/>
            <w:vAlign w:val="center"/>
            <w:hideMark/>
          </w:tcPr>
          <w:p w14:paraId="7D5343BC" w14:textId="77777777" w:rsidR="00A645FB" w:rsidRPr="00E777B3" w:rsidRDefault="00A645FB" w:rsidP="00065528">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3</w:t>
            </w:r>
          </w:p>
        </w:tc>
        <w:tc>
          <w:tcPr>
            <w:tcW w:w="4400" w:type="dxa"/>
            <w:vAlign w:val="center"/>
            <w:hideMark/>
          </w:tcPr>
          <w:p w14:paraId="7E5A8C7D" w14:textId="3D7396FC" w:rsidR="00A645FB" w:rsidRPr="00E777B3" w:rsidRDefault="00065528" w:rsidP="00065528">
            <w:pPr>
              <w:spacing w:before="40" w:after="40"/>
              <w:cnfStyle w:val="000000100000" w:firstRow="0" w:lastRow="0" w:firstColumn="0" w:lastColumn="0" w:oddVBand="0" w:evenVBand="0" w:oddHBand="1" w:evenHBand="0" w:firstRowFirstColumn="0" w:firstRowLastColumn="0" w:lastRowFirstColumn="0" w:lastRowLastColumn="0"/>
              <w:rPr>
                <w:vanish/>
                <w:lang w:val="es-419"/>
              </w:rPr>
            </w:pPr>
            <w:r w:rsidRPr="00E777B3">
              <w:rPr>
                <w:lang w:val="es-419"/>
              </w:rPr>
              <w:t>Indica una mala coordinación y falta de comunicación entre oficinas.</w:t>
            </w:r>
          </w:p>
        </w:tc>
      </w:tr>
      <w:tr w:rsidR="00A645FB" w:rsidRPr="00E777B3" w14:paraId="18DCA0BE"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2B7FCF33" w14:textId="77777777" w:rsidR="00A645FB" w:rsidRPr="00E777B3" w:rsidRDefault="00A645FB" w:rsidP="00065528">
            <w:pPr>
              <w:spacing w:before="40" w:after="40"/>
              <w:rPr>
                <w:b w:val="0"/>
                <w:lang w:val="es-419"/>
              </w:rPr>
            </w:pPr>
            <w:r w:rsidRPr="00E777B3">
              <w:rPr>
                <w:b w:val="0"/>
                <w:lang w:val="es-419"/>
              </w:rPr>
              <w:t>Diferencias en la comercialización de datos</w:t>
            </w:r>
          </w:p>
        </w:tc>
        <w:tc>
          <w:tcPr>
            <w:tcW w:w="1080" w:type="dxa"/>
            <w:vAlign w:val="center"/>
            <w:hideMark/>
          </w:tcPr>
          <w:p w14:paraId="613CAF44" w14:textId="77777777" w:rsidR="00A645FB" w:rsidRPr="00E777B3" w:rsidRDefault="00A645FB" w:rsidP="00065528">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3</w:t>
            </w:r>
          </w:p>
        </w:tc>
        <w:tc>
          <w:tcPr>
            <w:tcW w:w="4400" w:type="dxa"/>
            <w:vAlign w:val="center"/>
            <w:hideMark/>
          </w:tcPr>
          <w:p w14:paraId="701CB870" w14:textId="16740D61" w:rsidR="00A645FB" w:rsidRPr="00E777B3" w:rsidRDefault="008519A2" w:rsidP="00065528">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Las opiniones contrapuestas sobre si los datos deben ser gratuitos o rentables causan fricciones.</w:t>
            </w:r>
          </w:p>
        </w:tc>
      </w:tr>
      <w:tr w:rsidR="00A645FB" w:rsidRPr="00E777B3" w14:paraId="15BA064E"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630F5CD5" w14:textId="77777777" w:rsidR="00A645FB" w:rsidRPr="00E777B3" w:rsidRDefault="00A645FB" w:rsidP="00065528">
            <w:pPr>
              <w:spacing w:before="40" w:after="40"/>
              <w:rPr>
                <w:b w:val="0"/>
                <w:lang w:val="es-419"/>
              </w:rPr>
            </w:pPr>
            <w:r w:rsidRPr="00E777B3">
              <w:rPr>
                <w:b w:val="0"/>
                <w:lang w:val="es-419"/>
              </w:rPr>
              <w:t>Ausencia de recopilación de datos de terceros</w:t>
            </w:r>
          </w:p>
        </w:tc>
        <w:tc>
          <w:tcPr>
            <w:tcW w:w="1080" w:type="dxa"/>
            <w:vAlign w:val="center"/>
            <w:hideMark/>
          </w:tcPr>
          <w:p w14:paraId="5F693FFA" w14:textId="77777777" w:rsidR="00A645FB" w:rsidRPr="00E777B3" w:rsidRDefault="00A645FB" w:rsidP="00065528">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5</w:t>
            </w:r>
          </w:p>
        </w:tc>
        <w:tc>
          <w:tcPr>
            <w:tcW w:w="4400" w:type="dxa"/>
            <w:vAlign w:val="center"/>
            <w:hideMark/>
          </w:tcPr>
          <w:p w14:paraId="63C84989" w14:textId="7D31EED1" w:rsidR="00A645FB" w:rsidRPr="00E777B3" w:rsidRDefault="00483480" w:rsidP="00065528">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Las oficinas pueden estar aisladas o carecer de acuerdos para recibir datos de otras.</w:t>
            </w:r>
          </w:p>
        </w:tc>
      </w:tr>
    </w:tbl>
    <w:p w14:paraId="74C8C11B" w14:textId="7FA3CB0C" w:rsidR="00A645FB" w:rsidRPr="00E777B3" w:rsidRDefault="00A645FB" w:rsidP="00D9594F">
      <w:pPr>
        <w:pStyle w:val="Heading3"/>
        <w:keepLines/>
        <w:spacing w:after="220"/>
        <w:rPr>
          <w:lang w:val="es-419"/>
        </w:rPr>
      </w:pPr>
      <w:r w:rsidRPr="00E777B3">
        <w:rPr>
          <w:lang w:val="es-419"/>
        </w:rPr>
        <w:t>Retos estratégicos y de otro tipo</w:t>
      </w:r>
    </w:p>
    <w:tbl>
      <w:tblPr>
        <w:tblStyle w:val="ListTable4-Accent1"/>
        <w:tblW w:w="0" w:type="auto"/>
        <w:tblLook w:val="04A0" w:firstRow="1" w:lastRow="0" w:firstColumn="1" w:lastColumn="0" w:noHBand="0" w:noVBand="1"/>
      </w:tblPr>
      <w:tblGrid>
        <w:gridCol w:w="3775"/>
        <w:gridCol w:w="5570"/>
      </w:tblGrid>
      <w:tr w:rsidR="00A645FB" w:rsidRPr="00E777B3" w14:paraId="7AD470B8"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themeFill="text2"/>
            <w:hideMark/>
          </w:tcPr>
          <w:p w14:paraId="54A5226B" w14:textId="49B186C4" w:rsidR="00A645FB" w:rsidRPr="00E777B3" w:rsidRDefault="00A86B6C" w:rsidP="006007D5">
            <w:pPr>
              <w:spacing w:before="40" w:after="40"/>
              <w:rPr>
                <w:lang w:val="es-419"/>
              </w:rPr>
            </w:pPr>
            <w:r w:rsidRPr="00E777B3">
              <w:rPr>
                <w:lang w:val="es-419"/>
              </w:rPr>
              <w:t>Reto</w:t>
            </w:r>
          </w:p>
        </w:tc>
        <w:tc>
          <w:tcPr>
            <w:tcW w:w="5570" w:type="dxa"/>
            <w:shd w:val="clear" w:color="auto" w:fill="1F497D" w:themeFill="text2"/>
            <w:hideMark/>
          </w:tcPr>
          <w:p w14:paraId="5E263537" w14:textId="3A8BED56" w:rsidR="00A645FB" w:rsidRPr="00E777B3" w:rsidRDefault="00A86B6C" w:rsidP="006007D5">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Análisis/Observaciones</w:t>
            </w:r>
          </w:p>
        </w:tc>
      </w:tr>
      <w:tr w:rsidR="00A645FB" w:rsidRPr="00E777B3" w14:paraId="4AE7D841"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42F538B5" w14:textId="77777777" w:rsidR="00A645FB" w:rsidRPr="00E777B3" w:rsidRDefault="00A645FB" w:rsidP="006007D5">
            <w:pPr>
              <w:spacing w:before="40" w:after="40"/>
              <w:rPr>
                <w:b w:val="0"/>
                <w:lang w:val="es-419"/>
              </w:rPr>
            </w:pPr>
            <w:r w:rsidRPr="00E777B3">
              <w:rPr>
                <w:b w:val="0"/>
                <w:lang w:val="es-419"/>
              </w:rPr>
              <w:t>Gobernanza de datos y políticas de acceso</w:t>
            </w:r>
          </w:p>
        </w:tc>
        <w:tc>
          <w:tcPr>
            <w:tcW w:w="5570" w:type="dxa"/>
            <w:hideMark/>
          </w:tcPr>
          <w:p w14:paraId="548D46F4" w14:textId="77777777" w:rsidR="00A645FB" w:rsidRPr="00E777B3" w:rsidRDefault="00A645FB" w:rsidP="006007D5">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Falta de claridad sobre quién puede utilizar los datos, cómo pueden almacenarse y qué derechos de difusión existen.</w:t>
            </w:r>
          </w:p>
        </w:tc>
      </w:tr>
      <w:tr w:rsidR="00A645FB" w:rsidRPr="00E777B3" w14:paraId="15509D66"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3B6018BE" w14:textId="77777777" w:rsidR="00A645FB" w:rsidRPr="00E777B3" w:rsidRDefault="00A645FB" w:rsidP="006007D5">
            <w:pPr>
              <w:spacing w:before="40" w:after="40"/>
              <w:rPr>
                <w:b w:val="0"/>
                <w:lang w:val="es-419"/>
              </w:rPr>
            </w:pPr>
            <w:r w:rsidRPr="00E777B3">
              <w:rPr>
                <w:b w:val="0"/>
                <w:lang w:val="es-419"/>
              </w:rPr>
              <w:t>Integridad de los datos</w:t>
            </w:r>
          </w:p>
        </w:tc>
        <w:tc>
          <w:tcPr>
            <w:tcW w:w="5570" w:type="dxa"/>
            <w:hideMark/>
          </w:tcPr>
          <w:p w14:paraId="70A216C6" w14:textId="77777777" w:rsidR="00A645FB" w:rsidRPr="00E777B3" w:rsidRDefault="00A645FB" w:rsidP="006007D5">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Los registros incompletos limitan la utilidad de los datos compartidos.</w:t>
            </w:r>
          </w:p>
        </w:tc>
      </w:tr>
      <w:tr w:rsidR="00A645FB" w:rsidRPr="00E777B3" w14:paraId="554A45AF"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50B30215" w14:textId="77777777" w:rsidR="00A645FB" w:rsidRPr="00E777B3" w:rsidRDefault="00A645FB" w:rsidP="006007D5">
            <w:pPr>
              <w:spacing w:before="40" w:after="40"/>
              <w:rPr>
                <w:b w:val="0"/>
                <w:lang w:val="es-419"/>
              </w:rPr>
            </w:pPr>
            <w:r w:rsidRPr="00E777B3">
              <w:rPr>
                <w:b w:val="0"/>
                <w:lang w:val="es-419"/>
              </w:rPr>
              <w:t>Problemas con el diccionario de datos</w:t>
            </w:r>
          </w:p>
        </w:tc>
        <w:tc>
          <w:tcPr>
            <w:tcW w:w="5570" w:type="dxa"/>
            <w:hideMark/>
          </w:tcPr>
          <w:p w14:paraId="7E63CA06" w14:textId="77777777" w:rsidR="00A645FB" w:rsidRPr="00E777B3" w:rsidRDefault="00A645FB" w:rsidP="006007D5">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Limita la interoperabilidad debido a la falta de definiciones y estructuras compartidas.</w:t>
            </w:r>
          </w:p>
        </w:tc>
      </w:tr>
    </w:tbl>
    <w:p w14:paraId="1D602E02" w14:textId="2F44CDE1" w:rsidR="00A645FB" w:rsidRPr="00E777B3" w:rsidRDefault="00A645FB" w:rsidP="00D9594F">
      <w:pPr>
        <w:pStyle w:val="Heading2"/>
        <w:spacing w:after="220"/>
        <w:rPr>
          <w:lang w:val="es-419"/>
        </w:rPr>
      </w:pPr>
      <w:r w:rsidRPr="00E777B3">
        <w:rPr>
          <w:lang w:val="es-419"/>
        </w:rPr>
        <w:t>Cuestiones clave y conclusiones</w:t>
      </w:r>
    </w:p>
    <w:p w14:paraId="0DD1B7A1" w14:textId="76F0CA5B" w:rsidR="00A645FB" w:rsidRPr="00E777B3" w:rsidRDefault="00A645FB" w:rsidP="001565FD">
      <w:pPr>
        <w:pStyle w:val="ONUME"/>
        <w:rPr>
          <w:lang w:val="es-419"/>
        </w:rPr>
      </w:pPr>
      <w:r w:rsidRPr="00E777B3">
        <w:rPr>
          <w:lang w:val="es-419"/>
        </w:rPr>
        <w:t>Los problemas de interoperabilidad y la mala calidad de los datos son predominantes.</w:t>
      </w:r>
    </w:p>
    <w:p w14:paraId="417E581B" w14:textId="2B2CD31B"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Los formatos no normalizados y la baja calidad de los datos son persistentes y dificultan la integración.</w:t>
      </w:r>
    </w:p>
    <w:p w14:paraId="2706DBA0" w14:textId="17192E24"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Los registros incompletos limitan la utilidad de los datos compartidos.</w:t>
      </w:r>
    </w:p>
    <w:p w14:paraId="4D245E78" w14:textId="1DB37D14"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Existe una falta de claridad sobre quién puede utilizar los datos, cómo pueden almacenarse y qué derechos de difusión existen.</w:t>
      </w:r>
    </w:p>
    <w:p w14:paraId="0748F72A" w14:textId="42840235"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Suministro irregular de datos.</w:t>
      </w:r>
    </w:p>
    <w:p w14:paraId="153ECA5F" w14:textId="0AC115A4"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Interrupción repentina sin previo aviso.</w:t>
      </w:r>
    </w:p>
    <w:p w14:paraId="24E65643" w14:textId="5A65A6D5" w:rsidR="00A645FB" w:rsidRPr="00E777B3" w:rsidRDefault="00A645FB" w:rsidP="001565FD">
      <w:pPr>
        <w:pStyle w:val="ListParagraph"/>
        <w:numPr>
          <w:ilvl w:val="0"/>
          <w:numId w:val="22"/>
        </w:numPr>
        <w:spacing w:before="0" w:after="220"/>
        <w:ind w:left="935" w:hanging="357"/>
        <w:contextualSpacing w:val="0"/>
        <w:rPr>
          <w:lang w:val="es-419"/>
        </w:rPr>
      </w:pPr>
      <w:r w:rsidRPr="00E777B3">
        <w:rPr>
          <w:lang w:val="es-419"/>
        </w:rPr>
        <w:t>Diferencias en la comercialización de datos.</w:t>
      </w:r>
    </w:p>
    <w:p w14:paraId="33880136" w14:textId="50E993B7" w:rsidR="00A645FB" w:rsidRPr="00E777B3" w:rsidRDefault="00A645FB" w:rsidP="001565FD">
      <w:pPr>
        <w:pStyle w:val="ONUME"/>
        <w:rPr>
          <w:lang w:val="es-419"/>
        </w:rPr>
      </w:pPr>
      <w:r w:rsidRPr="00E777B3">
        <w:rPr>
          <w:lang w:val="es-419"/>
        </w:rPr>
        <w:t>Los obstáculos jurídicos y políticos son considerables.</w:t>
      </w:r>
    </w:p>
    <w:p w14:paraId="03A3494A" w14:textId="592E1563" w:rsidR="00A645FB" w:rsidRPr="00E777B3" w:rsidRDefault="00A645FB" w:rsidP="001A1C0C">
      <w:pPr>
        <w:spacing w:before="0" w:after="220"/>
        <w:ind w:firstLine="567"/>
        <w:rPr>
          <w:rFonts w:cs="Arial"/>
          <w:lang w:val="es-419"/>
        </w:rPr>
      </w:pPr>
      <w:r w:rsidRPr="00E777B3">
        <w:rPr>
          <w:lang w:val="es-419"/>
        </w:rPr>
        <w:t xml:space="preserve">La titularidad de los datos, las restricciones de alojamiento y de redistribución, así como los modelos basados en los ingresos, impiden el intercambio abierto. </w:t>
      </w:r>
    </w:p>
    <w:p w14:paraId="2A3F591A" w14:textId="469B3608" w:rsidR="00A645FB" w:rsidRPr="00E777B3" w:rsidRDefault="00A645FB" w:rsidP="001565FD">
      <w:pPr>
        <w:pStyle w:val="ONUME"/>
        <w:rPr>
          <w:lang w:val="es-419"/>
        </w:rPr>
      </w:pPr>
      <w:r w:rsidRPr="00E777B3">
        <w:rPr>
          <w:lang w:val="es-419"/>
        </w:rPr>
        <w:t>Carencias de infraestructuras y recursos humanos.</w:t>
      </w:r>
    </w:p>
    <w:p w14:paraId="023AB230" w14:textId="14DC548C" w:rsidR="00811011" w:rsidRPr="00E777B3" w:rsidRDefault="00A645FB" w:rsidP="007D105F">
      <w:pPr>
        <w:pStyle w:val="ListParagraph"/>
        <w:numPr>
          <w:ilvl w:val="0"/>
          <w:numId w:val="15"/>
        </w:numPr>
        <w:spacing w:before="0" w:after="220"/>
        <w:ind w:left="935" w:hanging="357"/>
        <w:contextualSpacing w:val="0"/>
        <w:rPr>
          <w:rFonts w:cs="Arial"/>
          <w:lang w:val="es-419"/>
        </w:rPr>
      </w:pPr>
      <w:r w:rsidRPr="00E777B3">
        <w:rPr>
          <w:lang w:val="es-419"/>
        </w:rPr>
        <w:t>La falta de recursos informáticos, tanto en las oficinas locales como en las oficinas colaboradoras de PI, es un obstáculo fundamental.</w:t>
      </w:r>
    </w:p>
    <w:p w14:paraId="5B52C48C" w14:textId="1B0AED1A" w:rsidR="00A645FB" w:rsidRPr="00E777B3" w:rsidRDefault="00A645FB" w:rsidP="001565FD">
      <w:pPr>
        <w:pStyle w:val="ListParagraph"/>
        <w:numPr>
          <w:ilvl w:val="0"/>
          <w:numId w:val="15"/>
        </w:numPr>
        <w:spacing w:before="0" w:after="220"/>
        <w:ind w:left="935" w:hanging="357"/>
        <w:contextualSpacing w:val="0"/>
        <w:rPr>
          <w:rFonts w:cs="Arial"/>
          <w:lang w:val="es-419"/>
        </w:rPr>
      </w:pPr>
      <w:r w:rsidRPr="00E777B3">
        <w:rPr>
          <w:lang w:val="es-419"/>
        </w:rPr>
        <w:t>La falta de personal para desarrollar o mantener sistemas de intercambio de datos socava los avances.</w:t>
      </w:r>
    </w:p>
    <w:p w14:paraId="04FE62C3" w14:textId="79BB5290" w:rsidR="00A645FB" w:rsidRPr="00E777B3" w:rsidRDefault="00A645FB" w:rsidP="001565FD">
      <w:pPr>
        <w:pStyle w:val="ONUME"/>
        <w:rPr>
          <w:lang w:val="es-419"/>
        </w:rPr>
      </w:pPr>
      <w:r w:rsidRPr="00E777B3">
        <w:rPr>
          <w:lang w:val="es-419"/>
        </w:rPr>
        <w:t>Asimetría entre las oficinas de PI.</w:t>
      </w:r>
    </w:p>
    <w:p w14:paraId="2E1F7AC7" w14:textId="540D38F3" w:rsidR="002C67F0" w:rsidRPr="00E777B3" w:rsidRDefault="00A645FB" w:rsidP="001A1C0C">
      <w:pPr>
        <w:spacing w:before="0" w:after="220"/>
        <w:ind w:firstLine="567"/>
        <w:rPr>
          <w:lang w:val="es-419"/>
        </w:rPr>
      </w:pPr>
      <w:r w:rsidRPr="00E777B3">
        <w:rPr>
          <w:lang w:val="es-419"/>
        </w:rPr>
        <w:t>Algunas oficinas de PI están avanzadas y comparten sus datos, pero otras aún están parcialmente digitalizadas o aisladas.</w:t>
      </w:r>
    </w:p>
    <w:p w14:paraId="1A4EA051" w14:textId="77777777" w:rsidR="002C67F0" w:rsidRPr="00E777B3" w:rsidRDefault="002C67F0">
      <w:pPr>
        <w:spacing w:before="0" w:after="0"/>
        <w:rPr>
          <w:lang w:val="es-419"/>
        </w:rPr>
      </w:pPr>
      <w:r w:rsidRPr="00E777B3">
        <w:rPr>
          <w:lang w:val="es-419"/>
        </w:rPr>
        <w:br w:type="page"/>
      </w:r>
    </w:p>
    <w:p w14:paraId="6EC699F5" w14:textId="77777777" w:rsidR="00A645FB" w:rsidRPr="00E777B3" w:rsidRDefault="00A645FB" w:rsidP="001A1C0C">
      <w:pPr>
        <w:spacing w:before="0" w:after="220"/>
        <w:ind w:firstLine="567"/>
        <w:rPr>
          <w:rFonts w:cs="Arial"/>
          <w:lang w:val="es-419"/>
        </w:rPr>
      </w:pPr>
    </w:p>
    <w:p w14:paraId="08B5F704" w14:textId="54AE7A37" w:rsidR="00A645FB" w:rsidRPr="00E777B3" w:rsidRDefault="00A645FB" w:rsidP="00D9594F">
      <w:pPr>
        <w:pStyle w:val="Heading2"/>
        <w:spacing w:after="220"/>
        <w:rPr>
          <w:lang w:val="es-419"/>
        </w:rPr>
      </w:pPr>
      <w:r w:rsidRPr="00E777B3">
        <w:rPr>
          <w:lang w:val="es-419"/>
        </w:rPr>
        <w:t xml:space="preserve">Soluciones propuestas </w:t>
      </w:r>
    </w:p>
    <w:tbl>
      <w:tblPr>
        <w:tblStyle w:val="ListTable4-Accent1"/>
        <w:tblW w:w="0" w:type="auto"/>
        <w:tblLook w:val="04A0" w:firstRow="1" w:lastRow="0" w:firstColumn="1" w:lastColumn="0" w:noHBand="0" w:noVBand="1"/>
      </w:tblPr>
      <w:tblGrid>
        <w:gridCol w:w="2155"/>
        <w:gridCol w:w="7190"/>
      </w:tblGrid>
      <w:tr w:rsidR="00A645FB" w:rsidRPr="00E777B3" w14:paraId="04F9FF01" w14:textId="77777777" w:rsidTr="000A0B1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shd w:val="clear" w:color="auto" w:fill="1F497D" w:themeFill="text2"/>
            <w:hideMark/>
          </w:tcPr>
          <w:p w14:paraId="47D21C4F" w14:textId="77777777" w:rsidR="00A645FB" w:rsidRPr="00E777B3" w:rsidRDefault="00A645FB" w:rsidP="00217E2A">
            <w:pPr>
              <w:spacing w:before="40" w:after="40"/>
              <w:rPr>
                <w:lang w:val="es-419"/>
              </w:rPr>
            </w:pPr>
            <w:r w:rsidRPr="00E777B3">
              <w:rPr>
                <w:lang w:val="es-419"/>
              </w:rPr>
              <w:t>Ámbito</w:t>
            </w:r>
          </w:p>
        </w:tc>
        <w:tc>
          <w:tcPr>
            <w:tcW w:w="7190" w:type="dxa"/>
            <w:shd w:val="clear" w:color="auto" w:fill="1F497D" w:themeFill="text2"/>
            <w:hideMark/>
          </w:tcPr>
          <w:p w14:paraId="6294E3F4" w14:textId="77777777" w:rsidR="00A645FB" w:rsidRPr="00E777B3" w:rsidRDefault="00A645FB" w:rsidP="00217E2A">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Medida</w:t>
            </w:r>
          </w:p>
        </w:tc>
      </w:tr>
      <w:tr w:rsidR="00A645FB" w:rsidRPr="00E777B3" w14:paraId="64450103" w14:textId="77777777" w:rsidTr="000A0B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05B88A68" w14:textId="77777777" w:rsidR="00A645FB" w:rsidRPr="00E777B3" w:rsidRDefault="00A645FB" w:rsidP="00217E2A">
            <w:pPr>
              <w:spacing w:before="40" w:after="40"/>
              <w:rPr>
                <w:b w:val="0"/>
                <w:lang w:val="es-419"/>
              </w:rPr>
            </w:pPr>
            <w:r w:rsidRPr="00E777B3">
              <w:rPr>
                <w:b w:val="0"/>
                <w:lang w:val="es-419"/>
              </w:rPr>
              <w:t>Técnico</w:t>
            </w:r>
          </w:p>
        </w:tc>
        <w:tc>
          <w:tcPr>
            <w:tcW w:w="7190" w:type="dxa"/>
            <w:hideMark/>
          </w:tcPr>
          <w:p w14:paraId="13A25E5F" w14:textId="4E84A7D9" w:rsidR="00A645FB" w:rsidRPr="00E777B3" w:rsidRDefault="00A645FB" w:rsidP="00217E2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Se debe adoptar una norma de la OMPI sobre el intercambio de datos de PI y promover la aplicación generalizada de las normas de la OMPI existentes, como las normas ST.90, ST.96 y ST.97.</w:t>
            </w:r>
          </w:p>
          <w:p w14:paraId="570B2AE4" w14:textId="77777777" w:rsidR="00A645FB" w:rsidRPr="00E777B3" w:rsidRDefault="00A645FB" w:rsidP="00217E2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 xml:space="preserve">Mejorar la calidad de los datos de PI utilizando, si es posible, herramientas de IA. </w:t>
            </w:r>
          </w:p>
          <w:p w14:paraId="62795880" w14:textId="45EE297C" w:rsidR="00A645FB" w:rsidRPr="00E777B3" w:rsidRDefault="00A645FB" w:rsidP="00217E2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Apoyo a la digitalización de datos PI.</w:t>
            </w:r>
          </w:p>
        </w:tc>
      </w:tr>
      <w:tr w:rsidR="00A645FB" w:rsidRPr="00E777B3" w14:paraId="2D2E0720" w14:textId="77777777" w:rsidTr="000A0B16">
        <w:trPr>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4644BA1D" w14:textId="77777777" w:rsidR="00A645FB" w:rsidRPr="00E777B3" w:rsidRDefault="00A645FB" w:rsidP="00217E2A">
            <w:pPr>
              <w:spacing w:before="40" w:after="40"/>
              <w:rPr>
                <w:b w:val="0"/>
                <w:lang w:val="es-419"/>
              </w:rPr>
            </w:pPr>
            <w:r w:rsidRPr="00E777B3">
              <w:rPr>
                <w:b w:val="0"/>
                <w:lang w:val="es-419"/>
              </w:rPr>
              <w:t>Jurídico y políticas</w:t>
            </w:r>
          </w:p>
        </w:tc>
        <w:tc>
          <w:tcPr>
            <w:tcW w:w="7190" w:type="dxa"/>
            <w:hideMark/>
          </w:tcPr>
          <w:p w14:paraId="55A4C533" w14:textId="738DC050" w:rsidR="00A645FB" w:rsidRPr="00E777B3" w:rsidRDefault="00A645FB" w:rsidP="00217E2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 xml:space="preserve">Crear modelos de acuerdos para compartir datos. </w:t>
            </w:r>
          </w:p>
        </w:tc>
      </w:tr>
      <w:tr w:rsidR="00A645FB" w:rsidRPr="00E777B3" w14:paraId="5BC48221" w14:textId="77777777" w:rsidTr="000A0B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59D4290B" w14:textId="77777777" w:rsidR="00A645FB" w:rsidRPr="00E777B3" w:rsidRDefault="00A645FB" w:rsidP="00217E2A">
            <w:pPr>
              <w:spacing w:before="40" w:after="40"/>
              <w:rPr>
                <w:b w:val="0"/>
                <w:lang w:val="es-419"/>
              </w:rPr>
            </w:pPr>
            <w:r w:rsidRPr="00E777B3">
              <w:rPr>
                <w:b w:val="0"/>
                <w:lang w:val="es-419"/>
              </w:rPr>
              <w:t>Coordinación</w:t>
            </w:r>
          </w:p>
        </w:tc>
        <w:tc>
          <w:tcPr>
            <w:tcW w:w="7190" w:type="dxa"/>
            <w:hideMark/>
          </w:tcPr>
          <w:p w14:paraId="3B3783B5" w14:textId="3B18F5B0" w:rsidR="00A645FB" w:rsidRPr="00E777B3" w:rsidRDefault="00A645FB" w:rsidP="00217E2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Asignar coordinadores de intercambio de datos, aplicar acuerdos de nivel de servicio multilaterales y crear un calendario de actualización compartido.</w:t>
            </w:r>
          </w:p>
        </w:tc>
      </w:tr>
      <w:tr w:rsidR="00A645FB" w:rsidRPr="00E777B3" w14:paraId="02BA5770" w14:textId="77777777" w:rsidTr="000A0B16">
        <w:trPr>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1CC121DA" w14:textId="77777777" w:rsidR="00A645FB" w:rsidRPr="00E777B3" w:rsidRDefault="00A645FB" w:rsidP="00217E2A">
            <w:pPr>
              <w:spacing w:before="40" w:after="40"/>
              <w:rPr>
                <w:b w:val="0"/>
                <w:lang w:val="es-419"/>
              </w:rPr>
            </w:pPr>
            <w:r w:rsidRPr="00E777B3">
              <w:rPr>
                <w:b w:val="0"/>
                <w:lang w:val="es-419"/>
              </w:rPr>
              <w:t>Fortalecimiento de capacidades</w:t>
            </w:r>
          </w:p>
        </w:tc>
        <w:tc>
          <w:tcPr>
            <w:tcW w:w="7190" w:type="dxa"/>
            <w:hideMark/>
          </w:tcPr>
          <w:p w14:paraId="383C7752" w14:textId="2AE7CB27" w:rsidR="00A645FB" w:rsidRPr="00E777B3" w:rsidRDefault="00A645FB" w:rsidP="00217E2A">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Poner en marcha programas de formación y establecer un programa de intercambio de conocimientos.</w:t>
            </w:r>
          </w:p>
        </w:tc>
      </w:tr>
      <w:tr w:rsidR="00A645FB" w:rsidRPr="00E777B3" w14:paraId="4BD3E048" w14:textId="77777777" w:rsidTr="000A0B1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41B92493" w14:textId="77777777" w:rsidR="00A645FB" w:rsidRPr="00E777B3" w:rsidRDefault="00A645FB" w:rsidP="00217E2A">
            <w:pPr>
              <w:spacing w:before="40" w:after="40"/>
              <w:rPr>
                <w:b w:val="0"/>
                <w:lang w:val="es-419"/>
              </w:rPr>
            </w:pPr>
            <w:r w:rsidRPr="00E777B3">
              <w:rPr>
                <w:b w:val="0"/>
                <w:lang w:val="es-419"/>
              </w:rPr>
              <w:t>Gobernanza</w:t>
            </w:r>
          </w:p>
        </w:tc>
        <w:tc>
          <w:tcPr>
            <w:tcW w:w="7190" w:type="dxa"/>
            <w:hideMark/>
          </w:tcPr>
          <w:p w14:paraId="76BD00C8" w14:textId="2EF6311F" w:rsidR="00A645FB" w:rsidRPr="00E777B3" w:rsidRDefault="00A645FB" w:rsidP="00217E2A">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Establecer un marco mundial de intercambio de datos sobre PI, desarrollar un portal central de datos y supervisar los avances a través de un panel de transparencia.</w:t>
            </w:r>
          </w:p>
        </w:tc>
      </w:tr>
    </w:tbl>
    <w:p w14:paraId="7D307CDC" w14:textId="77777777" w:rsidR="00F46BEC" w:rsidRPr="00E777B3" w:rsidRDefault="00F46BEC" w:rsidP="003F4AC7">
      <w:pPr>
        <w:pStyle w:val="Heading2"/>
        <w:rPr>
          <w:lang w:val="es-419"/>
        </w:rPr>
      </w:pPr>
    </w:p>
    <w:p w14:paraId="1A500C17" w14:textId="48330ADE" w:rsidR="00A645FB" w:rsidRPr="00E777B3" w:rsidRDefault="00A645FB" w:rsidP="00D9594F">
      <w:pPr>
        <w:pStyle w:val="Heading2"/>
        <w:spacing w:after="220"/>
        <w:rPr>
          <w:lang w:val="es-419"/>
        </w:rPr>
      </w:pPr>
      <w:r w:rsidRPr="00E777B3">
        <w:rPr>
          <w:lang w:val="es-419"/>
        </w:rPr>
        <w:t>Ventajas de las soluciones propuestas</w:t>
      </w:r>
    </w:p>
    <w:tbl>
      <w:tblPr>
        <w:tblStyle w:val="GridTable4-Accent1"/>
        <w:tblW w:w="0" w:type="auto"/>
        <w:tblLook w:val="04A0" w:firstRow="1" w:lastRow="0" w:firstColumn="1" w:lastColumn="0" w:noHBand="0" w:noVBand="1"/>
      </w:tblPr>
      <w:tblGrid>
        <w:gridCol w:w="2155"/>
        <w:gridCol w:w="7190"/>
      </w:tblGrid>
      <w:tr w:rsidR="00A645FB" w:rsidRPr="00E777B3" w14:paraId="003B5D7C" w14:textId="77777777" w:rsidTr="00BA427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shd w:val="clear" w:color="auto" w:fill="1F497D" w:themeFill="text2"/>
            <w:vAlign w:val="center"/>
            <w:hideMark/>
          </w:tcPr>
          <w:p w14:paraId="0BEC9158" w14:textId="77777777" w:rsidR="00A645FB" w:rsidRPr="00E777B3" w:rsidRDefault="00A645FB" w:rsidP="00F46BEC">
            <w:pPr>
              <w:spacing w:before="40" w:after="40"/>
              <w:rPr>
                <w:lang w:val="es-419"/>
              </w:rPr>
            </w:pPr>
            <w:r w:rsidRPr="00E777B3">
              <w:rPr>
                <w:lang w:val="es-419"/>
              </w:rPr>
              <w:t>Ventaja</w:t>
            </w:r>
          </w:p>
        </w:tc>
        <w:tc>
          <w:tcPr>
            <w:tcW w:w="7190" w:type="dxa"/>
            <w:shd w:val="clear" w:color="auto" w:fill="1F497D" w:themeFill="text2"/>
            <w:vAlign w:val="center"/>
            <w:hideMark/>
          </w:tcPr>
          <w:p w14:paraId="0D909F49" w14:textId="77777777" w:rsidR="00A645FB" w:rsidRPr="00E777B3" w:rsidRDefault="00A645FB" w:rsidP="00F46BEC">
            <w:pPr>
              <w:spacing w:before="40" w:after="40"/>
              <w:cnfStyle w:val="100000000000" w:firstRow="1" w:lastRow="0" w:firstColumn="0" w:lastColumn="0" w:oddVBand="0" w:evenVBand="0" w:oddHBand="0" w:evenHBand="0" w:firstRowFirstColumn="0" w:firstRowLastColumn="0" w:lastRowFirstColumn="0" w:lastRowLastColumn="0"/>
              <w:rPr>
                <w:lang w:val="es-419"/>
              </w:rPr>
            </w:pPr>
            <w:r w:rsidRPr="00E777B3">
              <w:rPr>
                <w:lang w:val="es-419"/>
              </w:rPr>
              <w:t>Descripción</w:t>
            </w:r>
          </w:p>
        </w:tc>
      </w:tr>
      <w:tr w:rsidR="00A645FB" w:rsidRPr="00E777B3" w14:paraId="751EBB33"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07E06BD" w14:textId="77777777" w:rsidR="00A645FB" w:rsidRPr="00E777B3" w:rsidRDefault="00A645FB" w:rsidP="00F46BEC">
            <w:pPr>
              <w:spacing w:before="40" w:after="40"/>
              <w:rPr>
                <w:b w:val="0"/>
                <w:lang w:val="es-419"/>
              </w:rPr>
            </w:pPr>
            <w:r w:rsidRPr="00E777B3">
              <w:rPr>
                <w:b w:val="0"/>
                <w:lang w:val="es-419"/>
              </w:rPr>
              <w:t>Eficiencia</w:t>
            </w:r>
          </w:p>
        </w:tc>
        <w:tc>
          <w:tcPr>
            <w:tcW w:w="7190" w:type="dxa"/>
            <w:vAlign w:val="center"/>
            <w:hideMark/>
          </w:tcPr>
          <w:p w14:paraId="7DD525F9" w14:textId="6B0C852C" w:rsidR="00A645FB" w:rsidRPr="00E777B3" w:rsidRDefault="00A645FB" w:rsidP="00F46BEC">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Agilización del procesamiento de datos y reducción de la duplicación de esfuerzos.</w:t>
            </w:r>
          </w:p>
        </w:tc>
      </w:tr>
      <w:tr w:rsidR="00A645FB" w:rsidRPr="00E777B3" w14:paraId="63BA2CC8"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37008EC9" w14:textId="77777777" w:rsidR="00A645FB" w:rsidRPr="00E777B3" w:rsidRDefault="00A645FB" w:rsidP="00F46BEC">
            <w:pPr>
              <w:spacing w:before="40" w:after="40"/>
              <w:rPr>
                <w:b w:val="0"/>
                <w:lang w:val="es-419"/>
              </w:rPr>
            </w:pPr>
            <w:r w:rsidRPr="00E777B3">
              <w:rPr>
                <w:b w:val="0"/>
                <w:lang w:val="es-419"/>
              </w:rPr>
              <w:t>Interoperabilidad</w:t>
            </w:r>
          </w:p>
        </w:tc>
        <w:tc>
          <w:tcPr>
            <w:tcW w:w="7190" w:type="dxa"/>
            <w:vAlign w:val="center"/>
            <w:hideMark/>
          </w:tcPr>
          <w:p w14:paraId="2B728738" w14:textId="5A5DE703" w:rsidR="00A645FB" w:rsidRPr="00E777B3" w:rsidRDefault="00A645FB" w:rsidP="00F46BEC">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Mayor integración de los sistemas mundiales de PI y automatización de los servicios.</w:t>
            </w:r>
          </w:p>
        </w:tc>
      </w:tr>
      <w:tr w:rsidR="00A645FB" w:rsidRPr="00E777B3" w14:paraId="75BFA4D1"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7854F2C2" w14:textId="77777777" w:rsidR="00A645FB" w:rsidRPr="00E777B3" w:rsidRDefault="00A645FB" w:rsidP="00F46BEC">
            <w:pPr>
              <w:spacing w:before="40" w:after="40"/>
              <w:rPr>
                <w:b w:val="0"/>
                <w:lang w:val="es-419"/>
              </w:rPr>
            </w:pPr>
            <w:r w:rsidRPr="00E777B3">
              <w:rPr>
                <w:b w:val="0"/>
                <w:lang w:val="es-419"/>
              </w:rPr>
              <w:t>Transparencia</w:t>
            </w:r>
          </w:p>
        </w:tc>
        <w:tc>
          <w:tcPr>
            <w:tcW w:w="7190" w:type="dxa"/>
            <w:vAlign w:val="center"/>
            <w:hideMark/>
          </w:tcPr>
          <w:p w14:paraId="6DF1F136" w14:textId="5F744C02" w:rsidR="00A645FB" w:rsidRPr="00E777B3" w:rsidRDefault="00A645FB" w:rsidP="00F46BEC">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Acceso fiable y previsible a información jurídica y bibliográfica sobre PI.</w:t>
            </w:r>
          </w:p>
        </w:tc>
      </w:tr>
      <w:tr w:rsidR="00A645FB" w:rsidRPr="00E777B3" w14:paraId="7B0ECD76" w14:textId="77777777" w:rsidTr="00BA4271">
        <w:trPr>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5422DE09" w14:textId="77777777" w:rsidR="00A645FB" w:rsidRPr="00E777B3" w:rsidRDefault="00A645FB" w:rsidP="00F46BEC">
            <w:pPr>
              <w:spacing w:before="40" w:after="40"/>
              <w:rPr>
                <w:b w:val="0"/>
                <w:lang w:val="es-419"/>
              </w:rPr>
            </w:pPr>
            <w:r w:rsidRPr="00E777B3">
              <w:rPr>
                <w:b w:val="0"/>
                <w:lang w:val="es-419"/>
              </w:rPr>
              <w:t>Confianza jurídica</w:t>
            </w:r>
          </w:p>
        </w:tc>
        <w:tc>
          <w:tcPr>
            <w:tcW w:w="7190" w:type="dxa"/>
            <w:vAlign w:val="center"/>
            <w:hideMark/>
          </w:tcPr>
          <w:p w14:paraId="58ACDFB3" w14:textId="0B94D47A" w:rsidR="00A645FB" w:rsidRPr="00E777B3" w:rsidRDefault="00A645FB" w:rsidP="00F46BEC">
            <w:pPr>
              <w:spacing w:before="40" w:after="40"/>
              <w:cnfStyle w:val="000000000000" w:firstRow="0" w:lastRow="0" w:firstColumn="0" w:lastColumn="0" w:oddVBand="0" w:evenVBand="0" w:oddHBand="0" w:evenHBand="0" w:firstRowFirstColumn="0" w:firstRowLastColumn="0" w:lastRowFirstColumn="0" w:lastRowLastColumn="0"/>
              <w:rPr>
                <w:lang w:val="es-419"/>
              </w:rPr>
            </w:pPr>
            <w:r w:rsidRPr="00E777B3">
              <w:rPr>
                <w:lang w:val="es-419"/>
              </w:rPr>
              <w:t>Reglas claras sobre uso, alojamiento y redistribución de datos.</w:t>
            </w:r>
          </w:p>
        </w:tc>
      </w:tr>
      <w:tr w:rsidR="00A645FB" w:rsidRPr="00E777B3" w14:paraId="2998BAE7" w14:textId="77777777" w:rsidTr="00BA427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1ED163E" w14:textId="46CE06FE" w:rsidR="00A645FB" w:rsidRPr="00E777B3" w:rsidRDefault="00A645FB" w:rsidP="00F46BEC">
            <w:pPr>
              <w:spacing w:before="40" w:after="40"/>
              <w:rPr>
                <w:b w:val="0"/>
                <w:lang w:val="es-419"/>
              </w:rPr>
            </w:pPr>
            <w:r w:rsidRPr="00E777B3">
              <w:rPr>
                <w:b w:val="0"/>
                <w:lang w:val="es-419"/>
              </w:rPr>
              <w:t>Fortalecimiento de capacidades</w:t>
            </w:r>
          </w:p>
        </w:tc>
        <w:tc>
          <w:tcPr>
            <w:tcW w:w="7190" w:type="dxa"/>
            <w:vAlign w:val="center"/>
            <w:hideMark/>
          </w:tcPr>
          <w:p w14:paraId="7F7AEB10" w14:textId="67A80770" w:rsidR="00A645FB" w:rsidRPr="00E777B3" w:rsidRDefault="00A645FB" w:rsidP="00F46BEC">
            <w:pPr>
              <w:spacing w:before="40" w:after="40"/>
              <w:cnfStyle w:val="000000100000" w:firstRow="0" w:lastRow="0" w:firstColumn="0" w:lastColumn="0" w:oddVBand="0" w:evenVBand="0" w:oddHBand="1" w:evenHBand="0" w:firstRowFirstColumn="0" w:firstRowLastColumn="0" w:lastRowFirstColumn="0" w:lastRowLastColumn="0"/>
              <w:rPr>
                <w:lang w:val="es-419"/>
              </w:rPr>
            </w:pPr>
            <w:r w:rsidRPr="00E777B3">
              <w:rPr>
                <w:lang w:val="es-419"/>
              </w:rPr>
              <w:t>Apoyo al desarrollo de las oficinas de PI para que puedan participar de manera significativa en el intercambio global.</w:t>
            </w:r>
          </w:p>
        </w:tc>
      </w:tr>
    </w:tbl>
    <w:p w14:paraId="316934D7" w14:textId="77777777" w:rsidR="000F777E" w:rsidRPr="00E777B3" w:rsidRDefault="000F777E" w:rsidP="005A62A6">
      <w:pPr>
        <w:spacing w:before="0" w:after="0"/>
        <w:ind w:left="5533"/>
        <w:jc w:val="center"/>
        <w:rPr>
          <w:lang w:val="es-419"/>
        </w:rPr>
      </w:pPr>
    </w:p>
    <w:p w14:paraId="1E0D060A" w14:textId="77777777" w:rsidR="001565FD" w:rsidRPr="00E777B3" w:rsidRDefault="001565FD" w:rsidP="005A62A6">
      <w:pPr>
        <w:spacing w:before="0" w:after="0"/>
        <w:ind w:left="5533"/>
        <w:jc w:val="center"/>
        <w:rPr>
          <w:lang w:val="es-419"/>
        </w:rPr>
      </w:pPr>
    </w:p>
    <w:p w14:paraId="3EFC8C99" w14:textId="77777777" w:rsidR="001565FD" w:rsidRPr="00E777B3" w:rsidRDefault="001565FD" w:rsidP="005A62A6">
      <w:pPr>
        <w:spacing w:before="0" w:after="0"/>
        <w:ind w:left="5533"/>
        <w:jc w:val="center"/>
        <w:rPr>
          <w:lang w:val="es-419"/>
        </w:rPr>
      </w:pPr>
    </w:p>
    <w:p w14:paraId="3C4981FC" w14:textId="77777777" w:rsidR="00547987" w:rsidRPr="00E777B3" w:rsidRDefault="00547987" w:rsidP="005A62A6">
      <w:pPr>
        <w:spacing w:before="0" w:after="0"/>
        <w:ind w:left="5533"/>
        <w:jc w:val="center"/>
        <w:rPr>
          <w:lang w:val="es-419"/>
        </w:rPr>
      </w:pPr>
    </w:p>
    <w:p w14:paraId="64012F87" w14:textId="0710FA91" w:rsidR="008B2CC1" w:rsidRPr="00E777B3" w:rsidRDefault="000F777E" w:rsidP="00E915D2">
      <w:pPr>
        <w:ind w:left="5533"/>
        <w:jc w:val="center"/>
        <w:rPr>
          <w:lang w:val="es-419"/>
        </w:rPr>
      </w:pPr>
      <w:r w:rsidRPr="00E777B3">
        <w:rPr>
          <w:lang w:val="es-419"/>
        </w:rPr>
        <w:t>[Fin del Anexo y del documento]</w:t>
      </w:r>
    </w:p>
    <w:sectPr w:rsidR="008B2CC1" w:rsidRPr="00E777B3" w:rsidSect="00B07C3A">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B279" w14:textId="77777777" w:rsidR="004B4820" w:rsidRDefault="004B4820">
      <w:r>
        <w:separator/>
      </w:r>
    </w:p>
  </w:endnote>
  <w:endnote w:type="continuationSeparator" w:id="0">
    <w:p w14:paraId="2F538DCD" w14:textId="77777777" w:rsidR="004B4820" w:rsidRDefault="004B4820" w:rsidP="003B38C1">
      <w:r>
        <w:separator/>
      </w:r>
    </w:p>
    <w:p w14:paraId="3373AC25" w14:textId="77777777" w:rsidR="004B4820" w:rsidRPr="007F3D50" w:rsidRDefault="004B4820" w:rsidP="003B38C1">
      <w:pPr>
        <w:spacing w:after="60"/>
        <w:rPr>
          <w:sz w:val="17"/>
          <w:lang w:val="en-US"/>
        </w:rPr>
      </w:pPr>
      <w:r w:rsidRPr="007F3D50">
        <w:rPr>
          <w:sz w:val="17"/>
          <w:lang w:val="en-US"/>
        </w:rPr>
        <w:t>[Endnote continued from previous page]</w:t>
      </w:r>
    </w:p>
  </w:endnote>
  <w:endnote w:type="continuationNotice" w:id="1">
    <w:p w14:paraId="471D2C2C" w14:textId="77777777" w:rsidR="004B4820" w:rsidRPr="007F3D50" w:rsidRDefault="004B4820" w:rsidP="003B38C1">
      <w:pPr>
        <w:spacing w:before="60"/>
        <w:jc w:val="right"/>
        <w:rPr>
          <w:sz w:val="17"/>
          <w:szCs w:val="17"/>
          <w:lang w:val="en-US"/>
        </w:rPr>
      </w:pPr>
      <w:r w:rsidRPr="007F3D5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0852" w14:textId="77777777" w:rsidR="004B4820" w:rsidRDefault="004B4820">
      <w:r>
        <w:separator/>
      </w:r>
    </w:p>
  </w:footnote>
  <w:footnote w:type="continuationSeparator" w:id="0">
    <w:p w14:paraId="2B62D846" w14:textId="77777777" w:rsidR="004B4820" w:rsidRDefault="004B4820" w:rsidP="008B60B2">
      <w:r>
        <w:separator/>
      </w:r>
    </w:p>
    <w:p w14:paraId="0A0FCB4D" w14:textId="77777777" w:rsidR="004B4820" w:rsidRPr="007F3D50" w:rsidRDefault="004B4820" w:rsidP="008B60B2">
      <w:pPr>
        <w:spacing w:after="60"/>
        <w:rPr>
          <w:sz w:val="17"/>
          <w:szCs w:val="17"/>
          <w:lang w:val="en-US"/>
        </w:rPr>
      </w:pPr>
      <w:r w:rsidRPr="007F3D50">
        <w:rPr>
          <w:sz w:val="17"/>
          <w:szCs w:val="17"/>
          <w:lang w:val="en-US"/>
        </w:rPr>
        <w:t>[Footnote continued from previous page]</w:t>
      </w:r>
    </w:p>
  </w:footnote>
  <w:footnote w:type="continuationNotice" w:id="1">
    <w:p w14:paraId="112B4ED9" w14:textId="77777777" w:rsidR="004B4820" w:rsidRPr="007F3D50" w:rsidRDefault="004B4820" w:rsidP="008B60B2">
      <w:pPr>
        <w:spacing w:before="60"/>
        <w:jc w:val="right"/>
        <w:rPr>
          <w:sz w:val="17"/>
          <w:szCs w:val="17"/>
          <w:lang w:val="en-US"/>
        </w:rPr>
      </w:pPr>
      <w:r w:rsidRPr="007F3D5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A91B" w14:textId="3225CBE5" w:rsidR="00452A31" w:rsidRDefault="00452A31" w:rsidP="00452A31">
    <w:pPr>
      <w:pStyle w:val="Header"/>
      <w:spacing w:before="0" w:after="0"/>
      <w:jc w:val="right"/>
    </w:pPr>
    <w:r>
      <w:t>CWS/13/14</w:t>
    </w:r>
  </w:p>
  <w:p w14:paraId="7207ACF4" w14:textId="4EB25AF5" w:rsidR="00ED0BE3" w:rsidRDefault="00452A31" w:rsidP="00EE71F5">
    <w:pPr>
      <w:pStyle w:val="Header"/>
      <w:spacing w:before="0" w:after="0"/>
      <w:jc w:val="right"/>
    </w:pPr>
    <w:r>
      <w:t xml:space="preserve">Anexo, página </w:t>
    </w:r>
    <w:r>
      <w:fldChar w:fldCharType="begin"/>
    </w:r>
    <w:r>
      <w:instrText xml:space="preserve"> PAGE  \* Arabic  \* MERGEFORMAT </w:instrText>
    </w:r>
    <w:r>
      <w:fldChar w:fldCharType="separate"/>
    </w:r>
    <w:r>
      <w:t>2</w:t>
    </w:r>
    <w:r>
      <w:fldChar w:fldCharType="end"/>
    </w:r>
  </w:p>
  <w:p w14:paraId="53451D13" w14:textId="77777777" w:rsidR="00FD5F33" w:rsidRDefault="00FD5F33" w:rsidP="00EE71F5">
    <w:pPr>
      <w:pStyle w:val="Header"/>
      <w:spacing w:before="0" w:after="0"/>
      <w:jc w:val="right"/>
    </w:pPr>
  </w:p>
  <w:p w14:paraId="5D11E2EF" w14:textId="77777777" w:rsidR="00ED0BE3" w:rsidRDefault="00ED0BE3" w:rsidP="00EE71F5">
    <w:pPr>
      <w:pStyle w:val="Header"/>
      <w:spacing w:before="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8D5C" w14:textId="261E4C3D" w:rsidR="004E76C9" w:rsidRDefault="004E76C9" w:rsidP="004E76C9">
    <w:pPr>
      <w:pStyle w:val="Header"/>
      <w:spacing w:before="0" w:after="0"/>
      <w:jc w:val="right"/>
    </w:pPr>
    <w:r>
      <w:t>CWS/13/14</w:t>
    </w:r>
  </w:p>
  <w:p w14:paraId="399BDA63" w14:textId="7C414D5B" w:rsidR="00ED0BE3" w:rsidRPr="006A58B9" w:rsidRDefault="004E76C9" w:rsidP="004E76C9">
    <w:pPr>
      <w:pStyle w:val="Header"/>
      <w:spacing w:before="0" w:after="0"/>
      <w:jc w:val="right"/>
    </w:pPr>
    <w:r>
      <w:t>ANEXO</w:t>
    </w:r>
  </w:p>
  <w:p w14:paraId="005C78DE" w14:textId="77777777" w:rsidR="006A58B9" w:rsidRPr="006A58B9" w:rsidRDefault="006A58B9" w:rsidP="004E76C9">
    <w:pPr>
      <w:pStyle w:val="Header"/>
      <w:spacing w:before="0" w:after="0"/>
      <w:jc w:val="right"/>
    </w:pPr>
  </w:p>
  <w:p w14:paraId="4744270D" w14:textId="77777777" w:rsidR="00ED0BE3" w:rsidRPr="00ED0BE3" w:rsidRDefault="00ED0BE3" w:rsidP="004E76C9">
    <w:pPr>
      <w:pStyle w:val="Header"/>
      <w:spacing w:before="0"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1B15AE"/>
    <w:multiLevelType w:val="hybridMultilevel"/>
    <w:tmpl w:val="ED50A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92E50"/>
    <w:multiLevelType w:val="hybridMultilevel"/>
    <w:tmpl w:val="015C7CEC"/>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D911CC5"/>
    <w:multiLevelType w:val="hybridMultilevel"/>
    <w:tmpl w:val="E3B8C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60CE8"/>
    <w:multiLevelType w:val="hybridMultilevel"/>
    <w:tmpl w:val="A42A5482"/>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CB1B8A"/>
    <w:multiLevelType w:val="multilevel"/>
    <w:tmpl w:val="3F1A5984"/>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8A5292"/>
    <w:multiLevelType w:val="hybridMultilevel"/>
    <w:tmpl w:val="B48CC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F338D"/>
    <w:multiLevelType w:val="hybridMultilevel"/>
    <w:tmpl w:val="B922EE02"/>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B32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BC70F8"/>
    <w:multiLevelType w:val="hybridMultilevel"/>
    <w:tmpl w:val="6A0E3B08"/>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53D130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5D2A72"/>
    <w:multiLevelType w:val="hybridMultilevel"/>
    <w:tmpl w:val="6946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68334802"/>
    <w:multiLevelType w:val="multilevel"/>
    <w:tmpl w:val="4FFC0B86"/>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68E31970"/>
    <w:multiLevelType w:val="hybridMultilevel"/>
    <w:tmpl w:val="15022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C300D"/>
    <w:multiLevelType w:val="hybridMultilevel"/>
    <w:tmpl w:val="46A23B3A"/>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C24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36703C"/>
    <w:multiLevelType w:val="hybridMultilevel"/>
    <w:tmpl w:val="0F4E8876"/>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CB4EE6"/>
    <w:multiLevelType w:val="multilevel"/>
    <w:tmpl w:val="7780FCEE"/>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609242770">
    <w:abstractNumId w:val="7"/>
  </w:num>
  <w:num w:numId="2" w16cid:durableId="1707562677">
    <w:abstractNumId w:val="15"/>
  </w:num>
  <w:num w:numId="3" w16cid:durableId="488402972">
    <w:abstractNumId w:val="0"/>
  </w:num>
  <w:num w:numId="4" w16cid:durableId="1646352287">
    <w:abstractNumId w:val="16"/>
  </w:num>
  <w:num w:numId="5" w16cid:durableId="656806783">
    <w:abstractNumId w:val="4"/>
  </w:num>
  <w:num w:numId="6" w16cid:durableId="222833342">
    <w:abstractNumId w:val="9"/>
  </w:num>
  <w:num w:numId="7" w16cid:durableId="320819985">
    <w:abstractNumId w:val="13"/>
  </w:num>
  <w:num w:numId="8" w16cid:durableId="1012142412">
    <w:abstractNumId w:val="17"/>
  </w:num>
  <w:num w:numId="9" w16cid:durableId="1069696050">
    <w:abstractNumId w:val="20"/>
  </w:num>
  <w:num w:numId="10" w16cid:durableId="672034078">
    <w:abstractNumId w:val="3"/>
  </w:num>
  <w:num w:numId="11" w16cid:durableId="392896001">
    <w:abstractNumId w:val="18"/>
  </w:num>
  <w:num w:numId="12" w16cid:durableId="1838962211">
    <w:abstractNumId w:val="12"/>
  </w:num>
  <w:num w:numId="13" w16cid:durableId="478889660">
    <w:abstractNumId w:val="24"/>
  </w:num>
  <w:num w:numId="14" w16cid:durableId="1797336091">
    <w:abstractNumId w:val="11"/>
  </w:num>
  <w:num w:numId="15" w16cid:durableId="1559364812">
    <w:abstractNumId w:val="14"/>
  </w:num>
  <w:num w:numId="16" w16cid:durableId="966928489">
    <w:abstractNumId w:val="25"/>
  </w:num>
  <w:num w:numId="17" w16cid:durableId="153686518">
    <w:abstractNumId w:val="26"/>
  </w:num>
  <w:num w:numId="18" w16cid:durableId="1139961226">
    <w:abstractNumId w:val="21"/>
  </w:num>
  <w:num w:numId="19" w16cid:durableId="769817949">
    <w:abstractNumId w:val="8"/>
  </w:num>
  <w:num w:numId="20" w16cid:durableId="1408768314">
    <w:abstractNumId w:val="22"/>
  </w:num>
  <w:num w:numId="21" w16cid:durableId="629752762">
    <w:abstractNumId w:val="2"/>
  </w:num>
  <w:num w:numId="22" w16cid:durableId="1836190934">
    <w:abstractNumId w:val="6"/>
  </w:num>
  <w:num w:numId="23" w16cid:durableId="401871576">
    <w:abstractNumId w:val="10"/>
  </w:num>
  <w:num w:numId="24" w16cid:durableId="1934170216">
    <w:abstractNumId w:val="5"/>
  </w:num>
  <w:num w:numId="25" w16cid:durableId="2028168414">
    <w:abstractNumId w:val="19"/>
  </w:num>
  <w:num w:numId="26" w16cid:durableId="240717724">
    <w:abstractNumId w:val="1"/>
  </w:num>
  <w:num w:numId="27" w16cid:durableId="2556761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177"/>
    <w:rsid w:val="00004229"/>
    <w:rsid w:val="000066CD"/>
    <w:rsid w:val="0000700B"/>
    <w:rsid w:val="00010742"/>
    <w:rsid w:val="000127E3"/>
    <w:rsid w:val="00015DCA"/>
    <w:rsid w:val="0001647B"/>
    <w:rsid w:val="000219A2"/>
    <w:rsid w:val="000230F1"/>
    <w:rsid w:val="000238C8"/>
    <w:rsid w:val="000259D0"/>
    <w:rsid w:val="000260C5"/>
    <w:rsid w:val="000269C7"/>
    <w:rsid w:val="00032C13"/>
    <w:rsid w:val="00033A57"/>
    <w:rsid w:val="00034C54"/>
    <w:rsid w:val="000358D1"/>
    <w:rsid w:val="00043CAA"/>
    <w:rsid w:val="00045752"/>
    <w:rsid w:val="000474DC"/>
    <w:rsid w:val="00047EE3"/>
    <w:rsid w:val="00050663"/>
    <w:rsid w:val="00055E85"/>
    <w:rsid w:val="000566E3"/>
    <w:rsid w:val="00060204"/>
    <w:rsid w:val="0006159B"/>
    <w:rsid w:val="000626DD"/>
    <w:rsid w:val="00065528"/>
    <w:rsid w:val="00067ED9"/>
    <w:rsid w:val="00075432"/>
    <w:rsid w:val="000817DB"/>
    <w:rsid w:val="0008522F"/>
    <w:rsid w:val="000914E3"/>
    <w:rsid w:val="00092C12"/>
    <w:rsid w:val="000968ED"/>
    <w:rsid w:val="000A0B16"/>
    <w:rsid w:val="000A223C"/>
    <w:rsid w:val="000A34A3"/>
    <w:rsid w:val="000A5C2D"/>
    <w:rsid w:val="000B2413"/>
    <w:rsid w:val="000B7EAC"/>
    <w:rsid w:val="000C2C67"/>
    <w:rsid w:val="000C503C"/>
    <w:rsid w:val="000D34BC"/>
    <w:rsid w:val="000D61EF"/>
    <w:rsid w:val="000D6A08"/>
    <w:rsid w:val="000F0E86"/>
    <w:rsid w:val="000F40E9"/>
    <w:rsid w:val="000F5E56"/>
    <w:rsid w:val="000F6694"/>
    <w:rsid w:val="000F777E"/>
    <w:rsid w:val="001024FE"/>
    <w:rsid w:val="001026AF"/>
    <w:rsid w:val="0010601F"/>
    <w:rsid w:val="0011547B"/>
    <w:rsid w:val="001157E5"/>
    <w:rsid w:val="00115BB5"/>
    <w:rsid w:val="00117C95"/>
    <w:rsid w:val="0012698E"/>
    <w:rsid w:val="00130649"/>
    <w:rsid w:val="001362B8"/>
    <w:rsid w:val="001362EE"/>
    <w:rsid w:val="00136BAD"/>
    <w:rsid w:val="00136D8B"/>
    <w:rsid w:val="0013754C"/>
    <w:rsid w:val="00137690"/>
    <w:rsid w:val="00137C05"/>
    <w:rsid w:val="00141C1C"/>
    <w:rsid w:val="00142868"/>
    <w:rsid w:val="00151753"/>
    <w:rsid w:val="00151D73"/>
    <w:rsid w:val="001539AF"/>
    <w:rsid w:val="00153C77"/>
    <w:rsid w:val="001565FD"/>
    <w:rsid w:val="00157EB4"/>
    <w:rsid w:val="001707DA"/>
    <w:rsid w:val="00171DA8"/>
    <w:rsid w:val="00173439"/>
    <w:rsid w:val="001832A6"/>
    <w:rsid w:val="00187B3C"/>
    <w:rsid w:val="00193DFF"/>
    <w:rsid w:val="001955DC"/>
    <w:rsid w:val="001A19A5"/>
    <w:rsid w:val="001A1C0C"/>
    <w:rsid w:val="001A2AA6"/>
    <w:rsid w:val="001A48BF"/>
    <w:rsid w:val="001A5E5F"/>
    <w:rsid w:val="001A73F5"/>
    <w:rsid w:val="001B68E9"/>
    <w:rsid w:val="001C6808"/>
    <w:rsid w:val="001D0193"/>
    <w:rsid w:val="001D0C22"/>
    <w:rsid w:val="001D0DBF"/>
    <w:rsid w:val="001D3160"/>
    <w:rsid w:val="001E373D"/>
    <w:rsid w:val="001E72CD"/>
    <w:rsid w:val="002038E8"/>
    <w:rsid w:val="00205930"/>
    <w:rsid w:val="00211964"/>
    <w:rsid w:val="002119A8"/>
    <w:rsid w:val="002121FA"/>
    <w:rsid w:val="00213E8A"/>
    <w:rsid w:val="00216B6D"/>
    <w:rsid w:val="00217E2A"/>
    <w:rsid w:val="002249AA"/>
    <w:rsid w:val="00225D1F"/>
    <w:rsid w:val="0023052B"/>
    <w:rsid w:val="00231C8B"/>
    <w:rsid w:val="00233C45"/>
    <w:rsid w:val="00235EBA"/>
    <w:rsid w:val="0023695D"/>
    <w:rsid w:val="00241A1F"/>
    <w:rsid w:val="00243909"/>
    <w:rsid w:val="00245377"/>
    <w:rsid w:val="00261055"/>
    <w:rsid w:val="00261A6D"/>
    <w:rsid w:val="00261F00"/>
    <w:rsid w:val="00262C56"/>
    <w:rsid w:val="002634C4"/>
    <w:rsid w:val="002665D9"/>
    <w:rsid w:val="00275462"/>
    <w:rsid w:val="00276EBC"/>
    <w:rsid w:val="00284642"/>
    <w:rsid w:val="002928D3"/>
    <w:rsid w:val="00294B6B"/>
    <w:rsid w:val="00296682"/>
    <w:rsid w:val="00297AAE"/>
    <w:rsid w:val="002A33F5"/>
    <w:rsid w:val="002A3BB0"/>
    <w:rsid w:val="002A5333"/>
    <w:rsid w:val="002B0843"/>
    <w:rsid w:val="002B2F74"/>
    <w:rsid w:val="002B55A9"/>
    <w:rsid w:val="002B58EF"/>
    <w:rsid w:val="002B5EBE"/>
    <w:rsid w:val="002C67F0"/>
    <w:rsid w:val="002D0460"/>
    <w:rsid w:val="002D2765"/>
    <w:rsid w:val="002D4656"/>
    <w:rsid w:val="002D7F2C"/>
    <w:rsid w:val="002E1589"/>
    <w:rsid w:val="002F1FE6"/>
    <w:rsid w:val="002F282A"/>
    <w:rsid w:val="002F2B6B"/>
    <w:rsid w:val="002F3A3E"/>
    <w:rsid w:val="002F4D60"/>
    <w:rsid w:val="002F4E68"/>
    <w:rsid w:val="002F5682"/>
    <w:rsid w:val="002F56E1"/>
    <w:rsid w:val="002F6B25"/>
    <w:rsid w:val="00300BCF"/>
    <w:rsid w:val="00304C81"/>
    <w:rsid w:val="00311B63"/>
    <w:rsid w:val="00312F7F"/>
    <w:rsid w:val="00314E7C"/>
    <w:rsid w:val="00320582"/>
    <w:rsid w:val="003223E9"/>
    <w:rsid w:val="003228B7"/>
    <w:rsid w:val="00324767"/>
    <w:rsid w:val="00324B11"/>
    <w:rsid w:val="00336514"/>
    <w:rsid w:val="00340AC0"/>
    <w:rsid w:val="00341258"/>
    <w:rsid w:val="00342DCC"/>
    <w:rsid w:val="00343B9F"/>
    <w:rsid w:val="00346B5F"/>
    <w:rsid w:val="003508A3"/>
    <w:rsid w:val="00352BB5"/>
    <w:rsid w:val="003568DA"/>
    <w:rsid w:val="003605E4"/>
    <w:rsid w:val="00361A2B"/>
    <w:rsid w:val="003673CF"/>
    <w:rsid w:val="00372B1B"/>
    <w:rsid w:val="0037320F"/>
    <w:rsid w:val="003733B0"/>
    <w:rsid w:val="00376914"/>
    <w:rsid w:val="00377808"/>
    <w:rsid w:val="00382837"/>
    <w:rsid w:val="00384133"/>
    <w:rsid w:val="003845C1"/>
    <w:rsid w:val="0038614F"/>
    <w:rsid w:val="00387F84"/>
    <w:rsid w:val="003929B5"/>
    <w:rsid w:val="003A07EA"/>
    <w:rsid w:val="003A1B35"/>
    <w:rsid w:val="003A6F89"/>
    <w:rsid w:val="003B38C1"/>
    <w:rsid w:val="003B5122"/>
    <w:rsid w:val="003C2567"/>
    <w:rsid w:val="003D16AC"/>
    <w:rsid w:val="003D352A"/>
    <w:rsid w:val="003D3DC8"/>
    <w:rsid w:val="003D63BF"/>
    <w:rsid w:val="003D6F3A"/>
    <w:rsid w:val="003E30A0"/>
    <w:rsid w:val="003F1270"/>
    <w:rsid w:val="003F4AC7"/>
    <w:rsid w:val="003F60A4"/>
    <w:rsid w:val="00404EA4"/>
    <w:rsid w:val="004058F5"/>
    <w:rsid w:val="00412C22"/>
    <w:rsid w:val="00421EBF"/>
    <w:rsid w:val="004222A7"/>
    <w:rsid w:val="00422DC7"/>
    <w:rsid w:val="00423E3E"/>
    <w:rsid w:val="00427AF4"/>
    <w:rsid w:val="00431DE8"/>
    <w:rsid w:val="00432527"/>
    <w:rsid w:val="004357D9"/>
    <w:rsid w:val="004361F9"/>
    <w:rsid w:val="004400E2"/>
    <w:rsid w:val="00441DA2"/>
    <w:rsid w:val="00445666"/>
    <w:rsid w:val="00452A31"/>
    <w:rsid w:val="00453E77"/>
    <w:rsid w:val="00457974"/>
    <w:rsid w:val="00460916"/>
    <w:rsid w:val="00461632"/>
    <w:rsid w:val="004647DA"/>
    <w:rsid w:val="00467502"/>
    <w:rsid w:val="0046770B"/>
    <w:rsid w:val="00474062"/>
    <w:rsid w:val="004753F1"/>
    <w:rsid w:val="00475EBA"/>
    <w:rsid w:val="00476163"/>
    <w:rsid w:val="00477D6B"/>
    <w:rsid w:val="00481447"/>
    <w:rsid w:val="00482AE3"/>
    <w:rsid w:val="00483480"/>
    <w:rsid w:val="00484F4A"/>
    <w:rsid w:val="00493AFC"/>
    <w:rsid w:val="004A5CBB"/>
    <w:rsid w:val="004B07AA"/>
    <w:rsid w:val="004B1285"/>
    <w:rsid w:val="004B3E4A"/>
    <w:rsid w:val="004B4820"/>
    <w:rsid w:val="004C0C6B"/>
    <w:rsid w:val="004C16A6"/>
    <w:rsid w:val="004C1854"/>
    <w:rsid w:val="004C7DFD"/>
    <w:rsid w:val="004D238D"/>
    <w:rsid w:val="004D39C4"/>
    <w:rsid w:val="004D478C"/>
    <w:rsid w:val="004E023E"/>
    <w:rsid w:val="004E0EEF"/>
    <w:rsid w:val="004E272B"/>
    <w:rsid w:val="004E4789"/>
    <w:rsid w:val="004E70DD"/>
    <w:rsid w:val="004E76C9"/>
    <w:rsid w:val="004F054A"/>
    <w:rsid w:val="004F2FF7"/>
    <w:rsid w:val="004F5C9B"/>
    <w:rsid w:val="004F602D"/>
    <w:rsid w:val="00500FEC"/>
    <w:rsid w:val="0050209A"/>
    <w:rsid w:val="005052F8"/>
    <w:rsid w:val="00511695"/>
    <w:rsid w:val="00511EE2"/>
    <w:rsid w:val="00513C1D"/>
    <w:rsid w:val="00521A4B"/>
    <w:rsid w:val="00525AA9"/>
    <w:rsid w:val="0053057A"/>
    <w:rsid w:val="00530DE7"/>
    <w:rsid w:val="00534CE4"/>
    <w:rsid w:val="0053769E"/>
    <w:rsid w:val="00540C46"/>
    <w:rsid w:val="00541D65"/>
    <w:rsid w:val="0054763B"/>
    <w:rsid w:val="00547987"/>
    <w:rsid w:val="0055346A"/>
    <w:rsid w:val="0055655B"/>
    <w:rsid w:val="00557406"/>
    <w:rsid w:val="00560A29"/>
    <w:rsid w:val="00560FA1"/>
    <w:rsid w:val="005618DE"/>
    <w:rsid w:val="00566B9A"/>
    <w:rsid w:val="005745E0"/>
    <w:rsid w:val="0058193D"/>
    <w:rsid w:val="00582BCD"/>
    <w:rsid w:val="00586C98"/>
    <w:rsid w:val="00594D27"/>
    <w:rsid w:val="005A3385"/>
    <w:rsid w:val="005A62A6"/>
    <w:rsid w:val="005B3E5E"/>
    <w:rsid w:val="005B5E30"/>
    <w:rsid w:val="005C4CE1"/>
    <w:rsid w:val="005C7622"/>
    <w:rsid w:val="005D0180"/>
    <w:rsid w:val="005D45D5"/>
    <w:rsid w:val="005E1746"/>
    <w:rsid w:val="005F4387"/>
    <w:rsid w:val="005F4A36"/>
    <w:rsid w:val="005F6618"/>
    <w:rsid w:val="005F666B"/>
    <w:rsid w:val="00600743"/>
    <w:rsid w:val="006007D5"/>
    <w:rsid w:val="00601760"/>
    <w:rsid w:val="00602EDE"/>
    <w:rsid w:val="00602F6F"/>
    <w:rsid w:val="00605827"/>
    <w:rsid w:val="00606024"/>
    <w:rsid w:val="006103AA"/>
    <w:rsid w:val="006127C7"/>
    <w:rsid w:val="00612C34"/>
    <w:rsid w:val="0062425A"/>
    <w:rsid w:val="00626D98"/>
    <w:rsid w:val="00627809"/>
    <w:rsid w:val="00627F4B"/>
    <w:rsid w:val="00631613"/>
    <w:rsid w:val="00634208"/>
    <w:rsid w:val="0063524C"/>
    <w:rsid w:val="0063666F"/>
    <w:rsid w:val="00640A58"/>
    <w:rsid w:val="00641469"/>
    <w:rsid w:val="00642163"/>
    <w:rsid w:val="00642CF6"/>
    <w:rsid w:val="00646050"/>
    <w:rsid w:val="006511D7"/>
    <w:rsid w:val="00651675"/>
    <w:rsid w:val="006604BB"/>
    <w:rsid w:val="006713CA"/>
    <w:rsid w:val="0067194E"/>
    <w:rsid w:val="006736CB"/>
    <w:rsid w:val="00676C5C"/>
    <w:rsid w:val="00683C18"/>
    <w:rsid w:val="00685341"/>
    <w:rsid w:val="00687937"/>
    <w:rsid w:val="00693173"/>
    <w:rsid w:val="0069346B"/>
    <w:rsid w:val="006939BE"/>
    <w:rsid w:val="00695558"/>
    <w:rsid w:val="00696710"/>
    <w:rsid w:val="006A33B8"/>
    <w:rsid w:val="006A4057"/>
    <w:rsid w:val="006A58B9"/>
    <w:rsid w:val="006A677B"/>
    <w:rsid w:val="006B09F1"/>
    <w:rsid w:val="006B1A55"/>
    <w:rsid w:val="006C02E0"/>
    <w:rsid w:val="006C309E"/>
    <w:rsid w:val="006C360F"/>
    <w:rsid w:val="006C416A"/>
    <w:rsid w:val="006C450E"/>
    <w:rsid w:val="006C52CA"/>
    <w:rsid w:val="006C6EBF"/>
    <w:rsid w:val="006D3C99"/>
    <w:rsid w:val="006D5E0F"/>
    <w:rsid w:val="006D6A44"/>
    <w:rsid w:val="006E4BB7"/>
    <w:rsid w:val="006E5CBA"/>
    <w:rsid w:val="006E6D6C"/>
    <w:rsid w:val="006E70C6"/>
    <w:rsid w:val="006F3417"/>
    <w:rsid w:val="006F5E9D"/>
    <w:rsid w:val="006F5F9F"/>
    <w:rsid w:val="006F6731"/>
    <w:rsid w:val="00704B46"/>
    <w:rsid w:val="007058FB"/>
    <w:rsid w:val="00713F7B"/>
    <w:rsid w:val="00717CF9"/>
    <w:rsid w:val="007214B1"/>
    <w:rsid w:val="007239A7"/>
    <w:rsid w:val="007252FA"/>
    <w:rsid w:val="00727AA7"/>
    <w:rsid w:val="0073181E"/>
    <w:rsid w:val="0073282B"/>
    <w:rsid w:val="0073573C"/>
    <w:rsid w:val="007430E1"/>
    <w:rsid w:val="0075228C"/>
    <w:rsid w:val="00756DD3"/>
    <w:rsid w:val="00765AEA"/>
    <w:rsid w:val="0077155D"/>
    <w:rsid w:val="00772A74"/>
    <w:rsid w:val="00782B88"/>
    <w:rsid w:val="0079265B"/>
    <w:rsid w:val="00795393"/>
    <w:rsid w:val="00795AAF"/>
    <w:rsid w:val="007A0952"/>
    <w:rsid w:val="007A4A0A"/>
    <w:rsid w:val="007B1FD0"/>
    <w:rsid w:val="007B6A58"/>
    <w:rsid w:val="007B7B2C"/>
    <w:rsid w:val="007D105F"/>
    <w:rsid w:val="007D1613"/>
    <w:rsid w:val="007D3B8F"/>
    <w:rsid w:val="007D76E1"/>
    <w:rsid w:val="007D79BD"/>
    <w:rsid w:val="007E14A0"/>
    <w:rsid w:val="007E1B2F"/>
    <w:rsid w:val="007F0007"/>
    <w:rsid w:val="007F1BCF"/>
    <w:rsid w:val="007F1F95"/>
    <w:rsid w:val="007F3669"/>
    <w:rsid w:val="007F3D50"/>
    <w:rsid w:val="007F4C15"/>
    <w:rsid w:val="007F63E1"/>
    <w:rsid w:val="00801DAE"/>
    <w:rsid w:val="00802DAE"/>
    <w:rsid w:val="00803189"/>
    <w:rsid w:val="0080419E"/>
    <w:rsid w:val="00811011"/>
    <w:rsid w:val="00813F61"/>
    <w:rsid w:val="0081603F"/>
    <w:rsid w:val="00817921"/>
    <w:rsid w:val="00821157"/>
    <w:rsid w:val="00827EED"/>
    <w:rsid w:val="0083443F"/>
    <w:rsid w:val="00841883"/>
    <w:rsid w:val="008509A9"/>
    <w:rsid w:val="008519A2"/>
    <w:rsid w:val="00855775"/>
    <w:rsid w:val="00857BEA"/>
    <w:rsid w:val="0086193A"/>
    <w:rsid w:val="0086418C"/>
    <w:rsid w:val="008679AA"/>
    <w:rsid w:val="00867B89"/>
    <w:rsid w:val="00873EE5"/>
    <w:rsid w:val="00883C91"/>
    <w:rsid w:val="00885AD9"/>
    <w:rsid w:val="0089179D"/>
    <w:rsid w:val="008926EB"/>
    <w:rsid w:val="00894DB7"/>
    <w:rsid w:val="008A07E1"/>
    <w:rsid w:val="008A3F5D"/>
    <w:rsid w:val="008A4CF6"/>
    <w:rsid w:val="008A5313"/>
    <w:rsid w:val="008B0DF4"/>
    <w:rsid w:val="008B1BDA"/>
    <w:rsid w:val="008B2CC1"/>
    <w:rsid w:val="008B4B5E"/>
    <w:rsid w:val="008B60B2"/>
    <w:rsid w:val="008B62EB"/>
    <w:rsid w:val="008B74DE"/>
    <w:rsid w:val="008C140E"/>
    <w:rsid w:val="008C1A78"/>
    <w:rsid w:val="008C2ED4"/>
    <w:rsid w:val="008C6872"/>
    <w:rsid w:val="008D44DF"/>
    <w:rsid w:val="008D7BEE"/>
    <w:rsid w:val="008E2502"/>
    <w:rsid w:val="008F6627"/>
    <w:rsid w:val="00901B26"/>
    <w:rsid w:val="00901E75"/>
    <w:rsid w:val="00904E83"/>
    <w:rsid w:val="009058D0"/>
    <w:rsid w:val="0090731E"/>
    <w:rsid w:val="00907BCB"/>
    <w:rsid w:val="00907CBA"/>
    <w:rsid w:val="00916EE2"/>
    <w:rsid w:val="00927C79"/>
    <w:rsid w:val="00927EA8"/>
    <w:rsid w:val="0093695A"/>
    <w:rsid w:val="00941161"/>
    <w:rsid w:val="00943F5A"/>
    <w:rsid w:val="009542B8"/>
    <w:rsid w:val="00966A22"/>
    <w:rsid w:val="0096722F"/>
    <w:rsid w:val="009727CF"/>
    <w:rsid w:val="00972AA4"/>
    <w:rsid w:val="00972B86"/>
    <w:rsid w:val="00973743"/>
    <w:rsid w:val="00974EE8"/>
    <w:rsid w:val="00980843"/>
    <w:rsid w:val="009859E2"/>
    <w:rsid w:val="009863F4"/>
    <w:rsid w:val="00993638"/>
    <w:rsid w:val="00996C32"/>
    <w:rsid w:val="009A05C0"/>
    <w:rsid w:val="009A75E0"/>
    <w:rsid w:val="009A766E"/>
    <w:rsid w:val="009A7806"/>
    <w:rsid w:val="009B0128"/>
    <w:rsid w:val="009B173C"/>
    <w:rsid w:val="009B2879"/>
    <w:rsid w:val="009C1D9A"/>
    <w:rsid w:val="009C37C9"/>
    <w:rsid w:val="009C4AA8"/>
    <w:rsid w:val="009C4CC2"/>
    <w:rsid w:val="009D012B"/>
    <w:rsid w:val="009D25DA"/>
    <w:rsid w:val="009D399D"/>
    <w:rsid w:val="009D7226"/>
    <w:rsid w:val="009E061E"/>
    <w:rsid w:val="009E2791"/>
    <w:rsid w:val="009E39C0"/>
    <w:rsid w:val="009E3F6F"/>
    <w:rsid w:val="009E5CBC"/>
    <w:rsid w:val="009F0851"/>
    <w:rsid w:val="009F2E96"/>
    <w:rsid w:val="009F3BF9"/>
    <w:rsid w:val="009F499F"/>
    <w:rsid w:val="009F7DB8"/>
    <w:rsid w:val="00A03ED2"/>
    <w:rsid w:val="00A05BC8"/>
    <w:rsid w:val="00A06BB8"/>
    <w:rsid w:val="00A11800"/>
    <w:rsid w:val="00A146F3"/>
    <w:rsid w:val="00A2013E"/>
    <w:rsid w:val="00A20427"/>
    <w:rsid w:val="00A20CF4"/>
    <w:rsid w:val="00A23465"/>
    <w:rsid w:val="00A255E4"/>
    <w:rsid w:val="00A307D8"/>
    <w:rsid w:val="00A30DDE"/>
    <w:rsid w:val="00A31302"/>
    <w:rsid w:val="00A36BAF"/>
    <w:rsid w:val="00A37A13"/>
    <w:rsid w:val="00A416D5"/>
    <w:rsid w:val="00A42DAF"/>
    <w:rsid w:val="00A44732"/>
    <w:rsid w:val="00A44C87"/>
    <w:rsid w:val="00A45BD8"/>
    <w:rsid w:val="00A471A9"/>
    <w:rsid w:val="00A63917"/>
    <w:rsid w:val="00A645FB"/>
    <w:rsid w:val="00A650CB"/>
    <w:rsid w:val="00A723E1"/>
    <w:rsid w:val="00A72C0B"/>
    <w:rsid w:val="00A743D8"/>
    <w:rsid w:val="00A778BF"/>
    <w:rsid w:val="00A77FB7"/>
    <w:rsid w:val="00A85B8E"/>
    <w:rsid w:val="00A86B6C"/>
    <w:rsid w:val="00A9753B"/>
    <w:rsid w:val="00AA37FE"/>
    <w:rsid w:val="00AA5A33"/>
    <w:rsid w:val="00AB2EDA"/>
    <w:rsid w:val="00AB3A1A"/>
    <w:rsid w:val="00AB54B0"/>
    <w:rsid w:val="00AB724A"/>
    <w:rsid w:val="00AB7632"/>
    <w:rsid w:val="00AC1E59"/>
    <w:rsid w:val="00AC205C"/>
    <w:rsid w:val="00AC6E2A"/>
    <w:rsid w:val="00AD0386"/>
    <w:rsid w:val="00AD069A"/>
    <w:rsid w:val="00AD3697"/>
    <w:rsid w:val="00AD694C"/>
    <w:rsid w:val="00AE6B1D"/>
    <w:rsid w:val="00AE79AF"/>
    <w:rsid w:val="00AF0B3B"/>
    <w:rsid w:val="00AF121B"/>
    <w:rsid w:val="00AF1B19"/>
    <w:rsid w:val="00AF3B13"/>
    <w:rsid w:val="00AF3E59"/>
    <w:rsid w:val="00AF5C73"/>
    <w:rsid w:val="00B014A9"/>
    <w:rsid w:val="00B01A17"/>
    <w:rsid w:val="00B01BD9"/>
    <w:rsid w:val="00B01DE9"/>
    <w:rsid w:val="00B05A69"/>
    <w:rsid w:val="00B07C3A"/>
    <w:rsid w:val="00B1188E"/>
    <w:rsid w:val="00B11C1D"/>
    <w:rsid w:val="00B11C71"/>
    <w:rsid w:val="00B26C9C"/>
    <w:rsid w:val="00B2726D"/>
    <w:rsid w:val="00B30BFB"/>
    <w:rsid w:val="00B31E90"/>
    <w:rsid w:val="00B37018"/>
    <w:rsid w:val="00B40598"/>
    <w:rsid w:val="00B414DC"/>
    <w:rsid w:val="00B46E69"/>
    <w:rsid w:val="00B47A08"/>
    <w:rsid w:val="00B50603"/>
    <w:rsid w:val="00B50B99"/>
    <w:rsid w:val="00B547AA"/>
    <w:rsid w:val="00B62CD9"/>
    <w:rsid w:val="00B670C3"/>
    <w:rsid w:val="00B67EB3"/>
    <w:rsid w:val="00B713BE"/>
    <w:rsid w:val="00B71BA1"/>
    <w:rsid w:val="00B801C9"/>
    <w:rsid w:val="00B80E7F"/>
    <w:rsid w:val="00B8454B"/>
    <w:rsid w:val="00B91349"/>
    <w:rsid w:val="00B91D4B"/>
    <w:rsid w:val="00B9470F"/>
    <w:rsid w:val="00B96783"/>
    <w:rsid w:val="00B9734B"/>
    <w:rsid w:val="00B97D45"/>
    <w:rsid w:val="00BA3544"/>
    <w:rsid w:val="00BA358C"/>
    <w:rsid w:val="00BA39D4"/>
    <w:rsid w:val="00BA4271"/>
    <w:rsid w:val="00BA6F30"/>
    <w:rsid w:val="00BA706D"/>
    <w:rsid w:val="00BB20AE"/>
    <w:rsid w:val="00BB30EA"/>
    <w:rsid w:val="00BB37FC"/>
    <w:rsid w:val="00BB4CEB"/>
    <w:rsid w:val="00BB4F8C"/>
    <w:rsid w:val="00BB6059"/>
    <w:rsid w:val="00BC08B4"/>
    <w:rsid w:val="00BC3A10"/>
    <w:rsid w:val="00BD0DFC"/>
    <w:rsid w:val="00BD40B3"/>
    <w:rsid w:val="00BE5E15"/>
    <w:rsid w:val="00BF1AB7"/>
    <w:rsid w:val="00BF5630"/>
    <w:rsid w:val="00C05E76"/>
    <w:rsid w:val="00C11BFE"/>
    <w:rsid w:val="00C13CCD"/>
    <w:rsid w:val="00C14814"/>
    <w:rsid w:val="00C22E26"/>
    <w:rsid w:val="00C247E9"/>
    <w:rsid w:val="00C2667D"/>
    <w:rsid w:val="00C274EB"/>
    <w:rsid w:val="00C31E14"/>
    <w:rsid w:val="00C33946"/>
    <w:rsid w:val="00C340D6"/>
    <w:rsid w:val="00C402E3"/>
    <w:rsid w:val="00C435F1"/>
    <w:rsid w:val="00C44EE7"/>
    <w:rsid w:val="00C45C11"/>
    <w:rsid w:val="00C46C87"/>
    <w:rsid w:val="00C479EC"/>
    <w:rsid w:val="00C50CC4"/>
    <w:rsid w:val="00C6511A"/>
    <w:rsid w:val="00C6569E"/>
    <w:rsid w:val="00C73902"/>
    <w:rsid w:val="00C755F4"/>
    <w:rsid w:val="00C815A6"/>
    <w:rsid w:val="00C8328C"/>
    <w:rsid w:val="00C8528F"/>
    <w:rsid w:val="00C94629"/>
    <w:rsid w:val="00C946ED"/>
    <w:rsid w:val="00C951A8"/>
    <w:rsid w:val="00C95A04"/>
    <w:rsid w:val="00C967D3"/>
    <w:rsid w:val="00CA25FA"/>
    <w:rsid w:val="00CA36BB"/>
    <w:rsid w:val="00CA38C5"/>
    <w:rsid w:val="00CB0603"/>
    <w:rsid w:val="00CB3054"/>
    <w:rsid w:val="00CC27F7"/>
    <w:rsid w:val="00CC3B6D"/>
    <w:rsid w:val="00CD227A"/>
    <w:rsid w:val="00CD246E"/>
    <w:rsid w:val="00CE1751"/>
    <w:rsid w:val="00CE583D"/>
    <w:rsid w:val="00CE65D4"/>
    <w:rsid w:val="00CF268F"/>
    <w:rsid w:val="00CF5FBC"/>
    <w:rsid w:val="00CF6152"/>
    <w:rsid w:val="00D00A80"/>
    <w:rsid w:val="00D01054"/>
    <w:rsid w:val="00D07CCD"/>
    <w:rsid w:val="00D13901"/>
    <w:rsid w:val="00D21858"/>
    <w:rsid w:val="00D37924"/>
    <w:rsid w:val="00D401CB"/>
    <w:rsid w:val="00D45252"/>
    <w:rsid w:val="00D53636"/>
    <w:rsid w:val="00D54AF8"/>
    <w:rsid w:val="00D55A38"/>
    <w:rsid w:val="00D56178"/>
    <w:rsid w:val="00D56919"/>
    <w:rsid w:val="00D63A19"/>
    <w:rsid w:val="00D6563B"/>
    <w:rsid w:val="00D667CD"/>
    <w:rsid w:val="00D71B4D"/>
    <w:rsid w:val="00D8155C"/>
    <w:rsid w:val="00D81759"/>
    <w:rsid w:val="00D834D7"/>
    <w:rsid w:val="00D84DD0"/>
    <w:rsid w:val="00D851A1"/>
    <w:rsid w:val="00D85776"/>
    <w:rsid w:val="00D87CBC"/>
    <w:rsid w:val="00D93D55"/>
    <w:rsid w:val="00D94773"/>
    <w:rsid w:val="00D9530E"/>
    <w:rsid w:val="00D9594F"/>
    <w:rsid w:val="00DA15A4"/>
    <w:rsid w:val="00DA20A6"/>
    <w:rsid w:val="00DA588A"/>
    <w:rsid w:val="00DB152B"/>
    <w:rsid w:val="00DC39BB"/>
    <w:rsid w:val="00DD2AAF"/>
    <w:rsid w:val="00DD487F"/>
    <w:rsid w:val="00DD6EE1"/>
    <w:rsid w:val="00DF1418"/>
    <w:rsid w:val="00DF1EFF"/>
    <w:rsid w:val="00E00B98"/>
    <w:rsid w:val="00E019FD"/>
    <w:rsid w:val="00E01BAE"/>
    <w:rsid w:val="00E074B4"/>
    <w:rsid w:val="00E161A2"/>
    <w:rsid w:val="00E242B6"/>
    <w:rsid w:val="00E27EF1"/>
    <w:rsid w:val="00E31A34"/>
    <w:rsid w:val="00E335FE"/>
    <w:rsid w:val="00E35711"/>
    <w:rsid w:val="00E360FC"/>
    <w:rsid w:val="00E3666F"/>
    <w:rsid w:val="00E40A12"/>
    <w:rsid w:val="00E427D7"/>
    <w:rsid w:val="00E4387E"/>
    <w:rsid w:val="00E440D2"/>
    <w:rsid w:val="00E442F6"/>
    <w:rsid w:val="00E479EF"/>
    <w:rsid w:val="00E5021F"/>
    <w:rsid w:val="00E52D1C"/>
    <w:rsid w:val="00E55C5F"/>
    <w:rsid w:val="00E57462"/>
    <w:rsid w:val="00E57A9A"/>
    <w:rsid w:val="00E63575"/>
    <w:rsid w:val="00E649C1"/>
    <w:rsid w:val="00E670D9"/>
    <w:rsid w:val="00E671A6"/>
    <w:rsid w:val="00E6744D"/>
    <w:rsid w:val="00E75437"/>
    <w:rsid w:val="00E76071"/>
    <w:rsid w:val="00E777B3"/>
    <w:rsid w:val="00E8793C"/>
    <w:rsid w:val="00E91598"/>
    <w:rsid w:val="00E915D2"/>
    <w:rsid w:val="00E93335"/>
    <w:rsid w:val="00E953FA"/>
    <w:rsid w:val="00E96913"/>
    <w:rsid w:val="00EA1527"/>
    <w:rsid w:val="00EA347F"/>
    <w:rsid w:val="00EA4B86"/>
    <w:rsid w:val="00EB6878"/>
    <w:rsid w:val="00EC4E49"/>
    <w:rsid w:val="00ED02AB"/>
    <w:rsid w:val="00ED0BE3"/>
    <w:rsid w:val="00ED2643"/>
    <w:rsid w:val="00ED77FB"/>
    <w:rsid w:val="00EE4D5E"/>
    <w:rsid w:val="00EE71F5"/>
    <w:rsid w:val="00EF0542"/>
    <w:rsid w:val="00EF1DA2"/>
    <w:rsid w:val="00EF210F"/>
    <w:rsid w:val="00EF2439"/>
    <w:rsid w:val="00EF3696"/>
    <w:rsid w:val="00EF62BC"/>
    <w:rsid w:val="00F021A6"/>
    <w:rsid w:val="00F023FF"/>
    <w:rsid w:val="00F0315D"/>
    <w:rsid w:val="00F052CF"/>
    <w:rsid w:val="00F07D73"/>
    <w:rsid w:val="00F07FEB"/>
    <w:rsid w:val="00F11D94"/>
    <w:rsid w:val="00F143B8"/>
    <w:rsid w:val="00F1496A"/>
    <w:rsid w:val="00F14B01"/>
    <w:rsid w:val="00F21A54"/>
    <w:rsid w:val="00F25C86"/>
    <w:rsid w:val="00F310B7"/>
    <w:rsid w:val="00F31508"/>
    <w:rsid w:val="00F36385"/>
    <w:rsid w:val="00F41B0D"/>
    <w:rsid w:val="00F43065"/>
    <w:rsid w:val="00F46BEC"/>
    <w:rsid w:val="00F50E9E"/>
    <w:rsid w:val="00F527D4"/>
    <w:rsid w:val="00F53A0A"/>
    <w:rsid w:val="00F5421F"/>
    <w:rsid w:val="00F60712"/>
    <w:rsid w:val="00F60C63"/>
    <w:rsid w:val="00F632CD"/>
    <w:rsid w:val="00F63FAB"/>
    <w:rsid w:val="00F66152"/>
    <w:rsid w:val="00F72064"/>
    <w:rsid w:val="00F73972"/>
    <w:rsid w:val="00F74936"/>
    <w:rsid w:val="00F7516B"/>
    <w:rsid w:val="00F76CAB"/>
    <w:rsid w:val="00F81A3D"/>
    <w:rsid w:val="00F82E7C"/>
    <w:rsid w:val="00FA0533"/>
    <w:rsid w:val="00FA102B"/>
    <w:rsid w:val="00FA6367"/>
    <w:rsid w:val="00FA6DD3"/>
    <w:rsid w:val="00FB062E"/>
    <w:rsid w:val="00FB1C0C"/>
    <w:rsid w:val="00FB455F"/>
    <w:rsid w:val="00FB6449"/>
    <w:rsid w:val="00FC7501"/>
    <w:rsid w:val="00FD1B09"/>
    <w:rsid w:val="00FD2123"/>
    <w:rsid w:val="00FD5F33"/>
    <w:rsid w:val="00FE31E5"/>
    <w:rsid w:val="00FF05F6"/>
    <w:rsid w:val="00FF1736"/>
    <w:rsid w:val="00FF1DA4"/>
    <w:rsid w:val="00FF2BCF"/>
    <w:rsid w:val="00FF306B"/>
    <w:rsid w:val="00FF4062"/>
    <w:rsid w:val="01ED4160"/>
    <w:rsid w:val="028559A1"/>
    <w:rsid w:val="05EA0C95"/>
    <w:rsid w:val="0C83A265"/>
    <w:rsid w:val="10CF5713"/>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5C0536AB-8FFA-4142-98B5-FF09EA89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5FB"/>
    <w:pPr>
      <w:spacing w:before="180" w:after="240"/>
    </w:pPr>
    <w:rPr>
      <w:rFonts w:ascii="Arial" w:eastAsiaTheme="minorHAnsi" w:hAnsi="Arial" w:cs="Noto Sans Display"/>
      <w:sz w:val="22"/>
      <w:szCs w:val="22"/>
      <w:lang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8F6627"/>
    <w:pPr>
      <w:numPr>
        <w:numId w:val="5"/>
      </w:numPr>
      <w:spacing w:before="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uiPriority w:val="9"/>
    <w:rsid w:val="00A645F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A645F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A645FB"/>
    <w:rPr>
      <w:rFonts w:ascii="Arial" w:eastAsia="SimSun" w:hAnsi="Arial" w:cs="Arial"/>
      <w:bCs/>
      <w:i/>
      <w:sz w:val="22"/>
      <w:szCs w:val="28"/>
      <w:lang w:val="es-ES" w:eastAsia="zh-CN"/>
    </w:rPr>
  </w:style>
  <w:style w:type="table" w:styleId="ListTable4-Accent1">
    <w:name w:val="List Table 4 Accent 1"/>
    <w:basedOn w:val="TableNormal"/>
    <w:uiPriority w:val="49"/>
    <w:rsid w:val="00A645FB"/>
    <w:pPr>
      <w:spacing w:before="180"/>
    </w:pPr>
    <w:rPr>
      <w:rFonts w:ascii="Noto Sans" w:eastAsiaTheme="minorHAnsi" w:hAnsi="Noto Sans" w:cs="Noto Sans"/>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A645FB"/>
    <w:pPr>
      <w:spacing w:before="180"/>
    </w:pPr>
    <w:rPr>
      <w:rFonts w:ascii="Noto Sans" w:eastAsiaTheme="minorHAnsi" w:hAnsi="Noto Sans" w:cs="Noto Sans"/>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6511D7"/>
    <w:rPr>
      <w:rFonts w:ascii="Arial" w:eastAsiaTheme="minorHAnsi" w:hAnsi="Arial" w:cs="Noto Sans Display"/>
      <w:sz w:val="22"/>
      <w:szCs w:val="22"/>
      <w:lang w:eastAsia="en-US"/>
    </w:rPr>
  </w:style>
  <w:style w:type="character" w:customStyle="1" w:styleId="HeaderChar">
    <w:name w:val="Header Char"/>
    <w:basedOn w:val="DefaultParagraphFont"/>
    <w:link w:val="Header"/>
    <w:uiPriority w:val="99"/>
    <w:rsid w:val="00452A31"/>
    <w:rPr>
      <w:rFonts w:ascii="Arial" w:eastAsiaTheme="minorHAnsi" w:hAnsi="Arial" w:cs="Noto Sans Display"/>
      <w:sz w:val="22"/>
      <w:szCs w:val="22"/>
      <w:lang w:val="es-ES" w:eastAsia="en-US"/>
    </w:rPr>
  </w:style>
  <w:style w:type="character" w:styleId="CommentReference">
    <w:name w:val="annotation reference"/>
    <w:basedOn w:val="DefaultParagraphFont"/>
    <w:semiHidden/>
    <w:unhideWhenUsed/>
    <w:rsid w:val="00606024"/>
    <w:rPr>
      <w:sz w:val="16"/>
      <w:szCs w:val="16"/>
    </w:rPr>
  </w:style>
  <w:style w:type="paragraph" w:styleId="CommentSubject">
    <w:name w:val="annotation subject"/>
    <w:basedOn w:val="CommentText"/>
    <w:next w:val="CommentText"/>
    <w:link w:val="CommentSubjectChar"/>
    <w:semiHidden/>
    <w:unhideWhenUsed/>
    <w:rsid w:val="00606024"/>
    <w:rPr>
      <w:b/>
      <w:bCs/>
      <w:sz w:val="20"/>
      <w:szCs w:val="20"/>
    </w:rPr>
  </w:style>
  <w:style w:type="character" w:customStyle="1" w:styleId="CommentTextChar">
    <w:name w:val="Comment Text Char"/>
    <w:basedOn w:val="DefaultParagraphFont"/>
    <w:link w:val="CommentText"/>
    <w:semiHidden/>
    <w:rsid w:val="00606024"/>
    <w:rPr>
      <w:rFonts w:ascii="Arial" w:eastAsiaTheme="minorHAnsi" w:hAnsi="Arial" w:cs="Noto Sans Display"/>
      <w:sz w:val="18"/>
      <w:szCs w:val="22"/>
      <w:lang w:val="es-ES" w:eastAsia="en-US"/>
    </w:rPr>
  </w:style>
  <w:style w:type="character" w:customStyle="1" w:styleId="CommentSubjectChar">
    <w:name w:val="Comment Subject Char"/>
    <w:basedOn w:val="CommentTextChar"/>
    <w:link w:val="CommentSubject"/>
    <w:semiHidden/>
    <w:rsid w:val="00606024"/>
    <w:rPr>
      <w:rFonts w:ascii="Arial" w:eastAsiaTheme="minorHAnsi" w:hAnsi="Arial" w:cs="Noto Sans Display"/>
      <w:b/>
      <w:bCs/>
      <w:sz w:val="18"/>
      <w:szCs w:val="22"/>
      <w:lang w:val="es-ES" w:eastAsia="en-US"/>
    </w:rPr>
  </w:style>
  <w:style w:type="character" w:styleId="Mention">
    <w:name w:val="Mention"/>
    <w:basedOn w:val="DefaultParagraphFont"/>
    <w:uiPriority w:val="99"/>
    <w:unhideWhenUsed/>
    <w:rsid w:val="006060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114">
      <w:bodyDiv w:val="1"/>
      <w:marLeft w:val="0"/>
      <w:marRight w:val="0"/>
      <w:marTop w:val="0"/>
      <w:marBottom w:val="0"/>
      <w:divBdr>
        <w:top w:val="none" w:sz="0" w:space="0" w:color="auto"/>
        <w:left w:val="none" w:sz="0" w:space="0" w:color="auto"/>
        <w:bottom w:val="none" w:sz="0" w:space="0" w:color="auto"/>
        <w:right w:val="none" w:sz="0" w:space="0" w:color="auto"/>
      </w:divBdr>
    </w:div>
    <w:div w:id="136531853">
      <w:bodyDiv w:val="1"/>
      <w:marLeft w:val="0"/>
      <w:marRight w:val="0"/>
      <w:marTop w:val="0"/>
      <w:marBottom w:val="0"/>
      <w:divBdr>
        <w:top w:val="none" w:sz="0" w:space="0" w:color="auto"/>
        <w:left w:val="none" w:sz="0" w:space="0" w:color="auto"/>
        <w:bottom w:val="none" w:sz="0" w:space="0" w:color="auto"/>
        <w:right w:val="none" w:sz="0" w:space="0" w:color="auto"/>
      </w:divBdr>
      <w:divsChild>
        <w:div w:id="942809095">
          <w:marLeft w:val="0"/>
          <w:marRight w:val="0"/>
          <w:marTop w:val="0"/>
          <w:marBottom w:val="0"/>
          <w:divBdr>
            <w:top w:val="none" w:sz="0" w:space="0" w:color="auto"/>
            <w:left w:val="none" w:sz="0" w:space="0" w:color="auto"/>
            <w:bottom w:val="none" w:sz="0" w:space="0" w:color="auto"/>
            <w:right w:val="none" w:sz="0" w:space="0" w:color="auto"/>
          </w:divBdr>
        </w:div>
        <w:div w:id="1042707169">
          <w:marLeft w:val="0"/>
          <w:marRight w:val="0"/>
          <w:marTop w:val="0"/>
          <w:marBottom w:val="0"/>
          <w:divBdr>
            <w:top w:val="none" w:sz="0" w:space="0" w:color="auto"/>
            <w:left w:val="none" w:sz="0" w:space="0" w:color="auto"/>
            <w:bottom w:val="none" w:sz="0" w:space="0" w:color="auto"/>
            <w:right w:val="none" w:sz="0" w:space="0" w:color="auto"/>
          </w:divBdr>
        </w:div>
        <w:div w:id="1585337146">
          <w:marLeft w:val="0"/>
          <w:marRight w:val="0"/>
          <w:marTop w:val="0"/>
          <w:marBottom w:val="0"/>
          <w:divBdr>
            <w:top w:val="none" w:sz="0" w:space="0" w:color="auto"/>
            <w:left w:val="none" w:sz="0" w:space="0" w:color="auto"/>
            <w:bottom w:val="none" w:sz="0" w:space="0" w:color="auto"/>
            <w:right w:val="none" w:sz="0" w:space="0" w:color="auto"/>
          </w:divBdr>
        </w:div>
      </w:divsChild>
    </w:div>
    <w:div w:id="287592906">
      <w:bodyDiv w:val="1"/>
      <w:marLeft w:val="0"/>
      <w:marRight w:val="0"/>
      <w:marTop w:val="0"/>
      <w:marBottom w:val="0"/>
      <w:divBdr>
        <w:top w:val="none" w:sz="0" w:space="0" w:color="auto"/>
        <w:left w:val="none" w:sz="0" w:space="0" w:color="auto"/>
        <w:bottom w:val="none" w:sz="0" w:space="0" w:color="auto"/>
        <w:right w:val="none" w:sz="0" w:space="0" w:color="auto"/>
      </w:divBdr>
    </w:div>
    <w:div w:id="450246479">
      <w:bodyDiv w:val="1"/>
      <w:marLeft w:val="0"/>
      <w:marRight w:val="0"/>
      <w:marTop w:val="0"/>
      <w:marBottom w:val="0"/>
      <w:divBdr>
        <w:top w:val="none" w:sz="0" w:space="0" w:color="auto"/>
        <w:left w:val="none" w:sz="0" w:space="0" w:color="auto"/>
        <w:bottom w:val="none" w:sz="0" w:space="0" w:color="auto"/>
        <w:right w:val="none" w:sz="0" w:space="0" w:color="auto"/>
      </w:divBdr>
    </w:div>
    <w:div w:id="669479082">
      <w:bodyDiv w:val="1"/>
      <w:marLeft w:val="0"/>
      <w:marRight w:val="0"/>
      <w:marTop w:val="0"/>
      <w:marBottom w:val="0"/>
      <w:divBdr>
        <w:top w:val="none" w:sz="0" w:space="0" w:color="auto"/>
        <w:left w:val="none" w:sz="0" w:space="0" w:color="auto"/>
        <w:bottom w:val="none" w:sz="0" w:space="0" w:color="auto"/>
        <w:right w:val="none" w:sz="0" w:space="0" w:color="auto"/>
      </w:divBdr>
      <w:divsChild>
        <w:div w:id="442463131">
          <w:marLeft w:val="0"/>
          <w:marRight w:val="0"/>
          <w:marTop w:val="0"/>
          <w:marBottom w:val="0"/>
          <w:divBdr>
            <w:top w:val="none" w:sz="0" w:space="0" w:color="auto"/>
            <w:left w:val="none" w:sz="0" w:space="0" w:color="auto"/>
            <w:bottom w:val="none" w:sz="0" w:space="0" w:color="auto"/>
            <w:right w:val="none" w:sz="0" w:space="0" w:color="auto"/>
          </w:divBdr>
        </w:div>
        <w:div w:id="926885947">
          <w:marLeft w:val="0"/>
          <w:marRight w:val="0"/>
          <w:marTop w:val="0"/>
          <w:marBottom w:val="0"/>
          <w:divBdr>
            <w:top w:val="none" w:sz="0" w:space="0" w:color="auto"/>
            <w:left w:val="none" w:sz="0" w:space="0" w:color="auto"/>
            <w:bottom w:val="none" w:sz="0" w:space="0" w:color="auto"/>
            <w:right w:val="none" w:sz="0" w:space="0" w:color="auto"/>
          </w:divBdr>
        </w:div>
        <w:div w:id="2053117517">
          <w:marLeft w:val="0"/>
          <w:marRight w:val="0"/>
          <w:marTop w:val="0"/>
          <w:marBottom w:val="0"/>
          <w:divBdr>
            <w:top w:val="none" w:sz="0" w:space="0" w:color="auto"/>
            <w:left w:val="none" w:sz="0" w:space="0" w:color="auto"/>
            <w:bottom w:val="none" w:sz="0" w:space="0" w:color="auto"/>
            <w:right w:val="none" w:sz="0" w:space="0" w:color="auto"/>
          </w:divBdr>
        </w:div>
      </w:divsChild>
    </w:div>
    <w:div w:id="774447711">
      <w:bodyDiv w:val="1"/>
      <w:marLeft w:val="0"/>
      <w:marRight w:val="0"/>
      <w:marTop w:val="0"/>
      <w:marBottom w:val="0"/>
      <w:divBdr>
        <w:top w:val="none" w:sz="0" w:space="0" w:color="auto"/>
        <w:left w:val="none" w:sz="0" w:space="0" w:color="auto"/>
        <w:bottom w:val="none" w:sz="0" w:space="0" w:color="auto"/>
        <w:right w:val="none" w:sz="0" w:space="0" w:color="auto"/>
      </w:divBdr>
      <w:divsChild>
        <w:div w:id="409814238">
          <w:marLeft w:val="0"/>
          <w:marRight w:val="0"/>
          <w:marTop w:val="0"/>
          <w:marBottom w:val="0"/>
          <w:divBdr>
            <w:top w:val="none" w:sz="0" w:space="0" w:color="auto"/>
            <w:left w:val="none" w:sz="0" w:space="0" w:color="auto"/>
            <w:bottom w:val="none" w:sz="0" w:space="0" w:color="auto"/>
            <w:right w:val="none" w:sz="0" w:space="0" w:color="auto"/>
          </w:divBdr>
        </w:div>
        <w:div w:id="447237047">
          <w:marLeft w:val="0"/>
          <w:marRight w:val="0"/>
          <w:marTop w:val="0"/>
          <w:marBottom w:val="0"/>
          <w:divBdr>
            <w:top w:val="none" w:sz="0" w:space="0" w:color="auto"/>
            <w:left w:val="none" w:sz="0" w:space="0" w:color="auto"/>
            <w:bottom w:val="none" w:sz="0" w:space="0" w:color="auto"/>
            <w:right w:val="none" w:sz="0" w:space="0" w:color="auto"/>
          </w:divBdr>
        </w:div>
        <w:div w:id="1310011099">
          <w:marLeft w:val="0"/>
          <w:marRight w:val="0"/>
          <w:marTop w:val="0"/>
          <w:marBottom w:val="0"/>
          <w:divBdr>
            <w:top w:val="none" w:sz="0" w:space="0" w:color="auto"/>
            <w:left w:val="none" w:sz="0" w:space="0" w:color="auto"/>
            <w:bottom w:val="none" w:sz="0" w:space="0" w:color="auto"/>
            <w:right w:val="none" w:sz="0" w:space="0" w:color="auto"/>
          </w:divBdr>
        </w:div>
      </w:divsChild>
    </w:div>
    <w:div w:id="800265173">
      <w:bodyDiv w:val="1"/>
      <w:marLeft w:val="0"/>
      <w:marRight w:val="0"/>
      <w:marTop w:val="0"/>
      <w:marBottom w:val="0"/>
      <w:divBdr>
        <w:top w:val="none" w:sz="0" w:space="0" w:color="auto"/>
        <w:left w:val="none" w:sz="0" w:space="0" w:color="auto"/>
        <w:bottom w:val="none" w:sz="0" w:space="0" w:color="auto"/>
        <w:right w:val="none" w:sz="0" w:space="0" w:color="auto"/>
      </w:divBdr>
    </w:div>
    <w:div w:id="860045976">
      <w:bodyDiv w:val="1"/>
      <w:marLeft w:val="0"/>
      <w:marRight w:val="0"/>
      <w:marTop w:val="0"/>
      <w:marBottom w:val="0"/>
      <w:divBdr>
        <w:top w:val="none" w:sz="0" w:space="0" w:color="auto"/>
        <w:left w:val="none" w:sz="0" w:space="0" w:color="auto"/>
        <w:bottom w:val="none" w:sz="0" w:space="0" w:color="auto"/>
        <w:right w:val="none" w:sz="0" w:space="0" w:color="auto"/>
      </w:divBdr>
      <w:divsChild>
        <w:div w:id="195585915">
          <w:marLeft w:val="0"/>
          <w:marRight w:val="0"/>
          <w:marTop w:val="0"/>
          <w:marBottom w:val="0"/>
          <w:divBdr>
            <w:top w:val="none" w:sz="0" w:space="0" w:color="auto"/>
            <w:left w:val="none" w:sz="0" w:space="0" w:color="auto"/>
            <w:bottom w:val="none" w:sz="0" w:space="0" w:color="auto"/>
            <w:right w:val="none" w:sz="0" w:space="0" w:color="auto"/>
          </w:divBdr>
        </w:div>
        <w:div w:id="255602177">
          <w:marLeft w:val="0"/>
          <w:marRight w:val="0"/>
          <w:marTop w:val="0"/>
          <w:marBottom w:val="0"/>
          <w:divBdr>
            <w:top w:val="none" w:sz="0" w:space="0" w:color="auto"/>
            <w:left w:val="none" w:sz="0" w:space="0" w:color="auto"/>
            <w:bottom w:val="none" w:sz="0" w:space="0" w:color="auto"/>
            <w:right w:val="none" w:sz="0" w:space="0" w:color="auto"/>
          </w:divBdr>
        </w:div>
        <w:div w:id="1954435429">
          <w:marLeft w:val="0"/>
          <w:marRight w:val="0"/>
          <w:marTop w:val="0"/>
          <w:marBottom w:val="0"/>
          <w:divBdr>
            <w:top w:val="none" w:sz="0" w:space="0" w:color="auto"/>
            <w:left w:val="none" w:sz="0" w:space="0" w:color="auto"/>
            <w:bottom w:val="none" w:sz="0" w:space="0" w:color="auto"/>
            <w:right w:val="none" w:sz="0" w:space="0" w:color="auto"/>
          </w:divBdr>
        </w:div>
      </w:divsChild>
    </w:div>
    <w:div w:id="905797939">
      <w:bodyDiv w:val="1"/>
      <w:marLeft w:val="0"/>
      <w:marRight w:val="0"/>
      <w:marTop w:val="0"/>
      <w:marBottom w:val="0"/>
      <w:divBdr>
        <w:top w:val="none" w:sz="0" w:space="0" w:color="auto"/>
        <w:left w:val="none" w:sz="0" w:space="0" w:color="auto"/>
        <w:bottom w:val="none" w:sz="0" w:space="0" w:color="auto"/>
        <w:right w:val="none" w:sz="0" w:space="0" w:color="auto"/>
      </w:divBdr>
    </w:div>
    <w:div w:id="956065490">
      <w:bodyDiv w:val="1"/>
      <w:marLeft w:val="0"/>
      <w:marRight w:val="0"/>
      <w:marTop w:val="0"/>
      <w:marBottom w:val="0"/>
      <w:divBdr>
        <w:top w:val="none" w:sz="0" w:space="0" w:color="auto"/>
        <w:left w:val="none" w:sz="0" w:space="0" w:color="auto"/>
        <w:bottom w:val="none" w:sz="0" w:space="0" w:color="auto"/>
        <w:right w:val="none" w:sz="0" w:space="0" w:color="auto"/>
      </w:divBdr>
      <w:divsChild>
        <w:div w:id="485899109">
          <w:marLeft w:val="0"/>
          <w:marRight w:val="0"/>
          <w:marTop w:val="0"/>
          <w:marBottom w:val="0"/>
          <w:divBdr>
            <w:top w:val="none" w:sz="0" w:space="0" w:color="auto"/>
            <w:left w:val="none" w:sz="0" w:space="0" w:color="auto"/>
            <w:bottom w:val="none" w:sz="0" w:space="0" w:color="auto"/>
            <w:right w:val="none" w:sz="0" w:space="0" w:color="auto"/>
          </w:divBdr>
        </w:div>
        <w:div w:id="930234776">
          <w:marLeft w:val="0"/>
          <w:marRight w:val="0"/>
          <w:marTop w:val="0"/>
          <w:marBottom w:val="0"/>
          <w:divBdr>
            <w:top w:val="none" w:sz="0" w:space="0" w:color="auto"/>
            <w:left w:val="none" w:sz="0" w:space="0" w:color="auto"/>
            <w:bottom w:val="none" w:sz="0" w:space="0" w:color="auto"/>
            <w:right w:val="none" w:sz="0" w:space="0" w:color="auto"/>
          </w:divBdr>
        </w:div>
        <w:div w:id="1984002555">
          <w:marLeft w:val="0"/>
          <w:marRight w:val="0"/>
          <w:marTop w:val="0"/>
          <w:marBottom w:val="0"/>
          <w:divBdr>
            <w:top w:val="none" w:sz="0" w:space="0" w:color="auto"/>
            <w:left w:val="none" w:sz="0" w:space="0" w:color="auto"/>
            <w:bottom w:val="none" w:sz="0" w:space="0" w:color="auto"/>
            <w:right w:val="none" w:sz="0" w:space="0" w:color="auto"/>
          </w:divBdr>
        </w:div>
      </w:divsChild>
    </w:div>
    <w:div w:id="1011300589">
      <w:bodyDiv w:val="1"/>
      <w:marLeft w:val="0"/>
      <w:marRight w:val="0"/>
      <w:marTop w:val="0"/>
      <w:marBottom w:val="0"/>
      <w:divBdr>
        <w:top w:val="none" w:sz="0" w:space="0" w:color="auto"/>
        <w:left w:val="none" w:sz="0" w:space="0" w:color="auto"/>
        <w:bottom w:val="none" w:sz="0" w:space="0" w:color="auto"/>
        <w:right w:val="none" w:sz="0" w:space="0" w:color="auto"/>
      </w:divBdr>
      <w:divsChild>
        <w:div w:id="304547829">
          <w:marLeft w:val="0"/>
          <w:marRight w:val="0"/>
          <w:marTop w:val="0"/>
          <w:marBottom w:val="0"/>
          <w:divBdr>
            <w:top w:val="none" w:sz="0" w:space="0" w:color="auto"/>
            <w:left w:val="none" w:sz="0" w:space="0" w:color="auto"/>
            <w:bottom w:val="none" w:sz="0" w:space="0" w:color="auto"/>
            <w:right w:val="none" w:sz="0" w:space="0" w:color="auto"/>
          </w:divBdr>
        </w:div>
        <w:div w:id="1021710664">
          <w:marLeft w:val="0"/>
          <w:marRight w:val="0"/>
          <w:marTop w:val="0"/>
          <w:marBottom w:val="0"/>
          <w:divBdr>
            <w:top w:val="none" w:sz="0" w:space="0" w:color="auto"/>
            <w:left w:val="none" w:sz="0" w:space="0" w:color="auto"/>
            <w:bottom w:val="none" w:sz="0" w:space="0" w:color="auto"/>
            <w:right w:val="none" w:sz="0" w:space="0" w:color="auto"/>
          </w:divBdr>
        </w:div>
        <w:div w:id="1897936727">
          <w:marLeft w:val="0"/>
          <w:marRight w:val="0"/>
          <w:marTop w:val="0"/>
          <w:marBottom w:val="0"/>
          <w:divBdr>
            <w:top w:val="none" w:sz="0" w:space="0" w:color="auto"/>
            <w:left w:val="none" w:sz="0" w:space="0" w:color="auto"/>
            <w:bottom w:val="none" w:sz="0" w:space="0" w:color="auto"/>
            <w:right w:val="none" w:sz="0" w:space="0" w:color="auto"/>
          </w:divBdr>
        </w:div>
      </w:divsChild>
    </w:div>
    <w:div w:id="1185948719">
      <w:bodyDiv w:val="1"/>
      <w:marLeft w:val="0"/>
      <w:marRight w:val="0"/>
      <w:marTop w:val="0"/>
      <w:marBottom w:val="0"/>
      <w:divBdr>
        <w:top w:val="none" w:sz="0" w:space="0" w:color="auto"/>
        <w:left w:val="none" w:sz="0" w:space="0" w:color="auto"/>
        <w:bottom w:val="none" w:sz="0" w:space="0" w:color="auto"/>
        <w:right w:val="none" w:sz="0" w:space="0" w:color="auto"/>
      </w:divBdr>
    </w:div>
    <w:div w:id="1319923743">
      <w:bodyDiv w:val="1"/>
      <w:marLeft w:val="0"/>
      <w:marRight w:val="0"/>
      <w:marTop w:val="0"/>
      <w:marBottom w:val="0"/>
      <w:divBdr>
        <w:top w:val="none" w:sz="0" w:space="0" w:color="auto"/>
        <w:left w:val="none" w:sz="0" w:space="0" w:color="auto"/>
        <w:bottom w:val="none" w:sz="0" w:space="0" w:color="auto"/>
        <w:right w:val="none" w:sz="0" w:space="0" w:color="auto"/>
      </w:divBdr>
    </w:div>
    <w:div w:id="1342977462">
      <w:bodyDiv w:val="1"/>
      <w:marLeft w:val="0"/>
      <w:marRight w:val="0"/>
      <w:marTop w:val="0"/>
      <w:marBottom w:val="0"/>
      <w:divBdr>
        <w:top w:val="none" w:sz="0" w:space="0" w:color="auto"/>
        <w:left w:val="none" w:sz="0" w:space="0" w:color="auto"/>
        <w:bottom w:val="none" w:sz="0" w:space="0" w:color="auto"/>
        <w:right w:val="none" w:sz="0" w:space="0" w:color="auto"/>
      </w:divBdr>
    </w:div>
    <w:div w:id="1619676602">
      <w:bodyDiv w:val="1"/>
      <w:marLeft w:val="0"/>
      <w:marRight w:val="0"/>
      <w:marTop w:val="0"/>
      <w:marBottom w:val="0"/>
      <w:divBdr>
        <w:top w:val="none" w:sz="0" w:space="0" w:color="auto"/>
        <w:left w:val="none" w:sz="0" w:space="0" w:color="auto"/>
        <w:bottom w:val="none" w:sz="0" w:space="0" w:color="auto"/>
        <w:right w:val="none" w:sz="0" w:space="0" w:color="auto"/>
      </w:divBdr>
    </w:div>
    <w:div w:id="1648825911">
      <w:bodyDiv w:val="1"/>
      <w:marLeft w:val="0"/>
      <w:marRight w:val="0"/>
      <w:marTop w:val="0"/>
      <w:marBottom w:val="0"/>
      <w:divBdr>
        <w:top w:val="none" w:sz="0" w:space="0" w:color="auto"/>
        <w:left w:val="none" w:sz="0" w:space="0" w:color="auto"/>
        <w:bottom w:val="none" w:sz="0" w:space="0" w:color="auto"/>
        <w:right w:val="none" w:sz="0" w:space="0" w:color="auto"/>
      </w:divBdr>
    </w:div>
    <w:div w:id="20891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ICSDBFP-360348501-19635</_dlc_DocId>
    <_dlc_DocIdUrl xmlns="ec94eb93-2160-433d-bc9d-10bdc50beb83">
      <Url>https://wipoprod.sharepoint.com/sites/SPS-INT-BFP-ICSD-CWS/_layouts/15/DocIdRedir.aspx?ID=ICSDBFP-360348501-19635</Url>
      <Description>ICSDBFP-360348501-19635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9AA37DF0-7A26-4885-92E9-F54E18C0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(E).dotm</Template>
  <TotalTime>13</TotalTime>
  <Pages>1</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CWS/13/14 Annex (Spanish)</vt:lpstr>
    </vt:vector>
  </TitlesOfParts>
  <Company>WIPO</Company>
  <LinksUpToDate>false</LinksUpToDate>
  <CharactersWithSpaces>10803</CharactersWithSpaces>
  <SharedDoc>false</SharedDoc>
  <HLinks>
    <vt:vector size="6" baseType="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CWS/13/14 Annex (Spanish)</dc:title>
  <dc:subject>Informe sobre la tarea n.° 67 del Equipo Técnico sobre Intercambio de Datos de PI</dc:subject>
  <dc:creator>WIPO</dc:creator>
  <cp:keywords>WIPO CWS decimotercera sesión, Informe, Equipo Técnico sobre Intercambio de Datos de PI, Anexo</cp:keywords>
  <cp:lastModifiedBy>Author</cp:lastModifiedBy>
  <cp:revision>7</cp:revision>
  <cp:lastPrinted>2025-10-30T15:21:00Z</cp:lastPrinted>
  <dcterms:created xsi:type="dcterms:W3CDTF">2025-10-24T10:00:00Z</dcterms:created>
  <dcterms:modified xsi:type="dcterms:W3CDTF">2025-10-30T15:22:00Z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1a73da6d-b2e6-435e-b5e1-97a16395efcd</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2025-10-17T15:21:52Z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1b74672f-8fc1-45fd-9e69-f4a4ef2469bf</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