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C04DE" w14:textId="77777777" w:rsidR="008B2CC1" w:rsidRPr="00804163" w:rsidRDefault="008B14EA" w:rsidP="008B14EA">
      <w:pPr>
        <w:spacing w:after="120"/>
        <w:jc w:val="right"/>
        <w:rPr>
          <w:lang w:val="es-ES_tradnl"/>
        </w:rPr>
      </w:pPr>
      <w:r w:rsidRPr="00804163">
        <w:rPr>
          <w:noProof/>
          <w:lang w:val="es-ES_tradnl" w:eastAsia="en-US"/>
        </w:rPr>
        <w:drawing>
          <wp:inline distT="0" distB="0" distL="0" distR="0" wp14:anchorId="2E2E3EA5" wp14:editId="3F25FAFC">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804163">
        <w:rPr>
          <w:rFonts w:ascii="Arial Black" w:hAnsi="Arial Black"/>
          <w:caps/>
          <w:noProof/>
          <w:sz w:val="15"/>
          <w:szCs w:val="15"/>
          <w:lang w:val="es-ES_tradnl" w:eastAsia="en-US"/>
        </w:rPr>
        <mc:AlternateContent>
          <mc:Choice Requires="wps">
            <w:drawing>
              <wp:inline distT="0" distB="0" distL="0" distR="0" wp14:anchorId="2F1A747B" wp14:editId="24F371D8">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B4EBDDC"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B13C536" w14:textId="77777777" w:rsidR="008B2CC1" w:rsidRPr="00804163" w:rsidRDefault="0066216D" w:rsidP="008B14EA">
      <w:pPr>
        <w:jc w:val="right"/>
        <w:rPr>
          <w:rFonts w:ascii="Arial Black" w:hAnsi="Arial Black"/>
          <w:caps/>
          <w:sz w:val="15"/>
          <w:lang w:val="es-ES_tradnl"/>
        </w:rPr>
      </w:pPr>
      <w:r w:rsidRPr="00804163">
        <w:rPr>
          <w:rFonts w:ascii="Arial Black" w:hAnsi="Arial Black"/>
          <w:caps/>
          <w:sz w:val="15"/>
          <w:lang w:val="es-ES_tradnl"/>
        </w:rPr>
        <w:t>CWS/1</w:t>
      </w:r>
      <w:r w:rsidR="00970F3D" w:rsidRPr="00804163">
        <w:rPr>
          <w:rFonts w:ascii="Arial Black" w:hAnsi="Arial Black"/>
          <w:caps/>
          <w:sz w:val="15"/>
          <w:lang w:val="es-ES_tradnl"/>
        </w:rPr>
        <w:t>2</w:t>
      </w:r>
      <w:r w:rsidRPr="00804163">
        <w:rPr>
          <w:rFonts w:ascii="Arial Black" w:hAnsi="Arial Black"/>
          <w:caps/>
          <w:sz w:val="15"/>
          <w:lang w:val="es-ES_tradnl"/>
        </w:rPr>
        <w:t>/</w:t>
      </w:r>
      <w:bookmarkStart w:id="0" w:name="Code"/>
      <w:bookmarkEnd w:id="0"/>
      <w:r w:rsidR="00804163" w:rsidRPr="00804163">
        <w:rPr>
          <w:rFonts w:ascii="Arial Black" w:hAnsi="Arial Black"/>
          <w:caps/>
          <w:sz w:val="15"/>
          <w:lang w:val="es-ES_tradnl"/>
        </w:rPr>
        <w:t>22</w:t>
      </w:r>
    </w:p>
    <w:p w14:paraId="70819F87" w14:textId="77777777" w:rsidR="008B2CC1" w:rsidRPr="00804163" w:rsidRDefault="008B14EA" w:rsidP="008B14EA">
      <w:pPr>
        <w:jc w:val="right"/>
        <w:rPr>
          <w:rFonts w:ascii="Arial Black" w:hAnsi="Arial Black"/>
          <w:caps/>
          <w:sz w:val="15"/>
          <w:lang w:val="es-ES_tradnl"/>
        </w:rPr>
      </w:pPr>
      <w:r w:rsidRPr="00804163">
        <w:rPr>
          <w:rFonts w:ascii="Arial Black" w:hAnsi="Arial Black"/>
          <w:caps/>
          <w:sz w:val="15"/>
          <w:lang w:val="es-ES_tradnl"/>
        </w:rPr>
        <w:t xml:space="preserve">ORIGINAL: </w:t>
      </w:r>
      <w:bookmarkStart w:id="1" w:name="Original"/>
      <w:r w:rsidR="00804163" w:rsidRPr="00804163">
        <w:rPr>
          <w:rFonts w:ascii="Arial Black" w:hAnsi="Arial Black"/>
          <w:caps/>
          <w:sz w:val="15"/>
          <w:lang w:val="es-ES_tradnl"/>
        </w:rPr>
        <w:t>INGLÉS</w:t>
      </w:r>
    </w:p>
    <w:bookmarkEnd w:id="1"/>
    <w:p w14:paraId="37D1E213" w14:textId="77777777" w:rsidR="008B2CC1" w:rsidRPr="00804163" w:rsidRDefault="008B14EA" w:rsidP="008B14EA">
      <w:pPr>
        <w:spacing w:after="1200"/>
        <w:jc w:val="right"/>
        <w:rPr>
          <w:rFonts w:ascii="Arial Black" w:hAnsi="Arial Black"/>
          <w:caps/>
          <w:sz w:val="15"/>
          <w:lang w:val="es-ES_tradnl"/>
        </w:rPr>
      </w:pPr>
      <w:r w:rsidRPr="00804163">
        <w:rPr>
          <w:rFonts w:ascii="Arial Black" w:hAnsi="Arial Black"/>
          <w:caps/>
          <w:sz w:val="15"/>
          <w:lang w:val="es-ES_tradnl"/>
        </w:rPr>
        <w:t xml:space="preserve">FECHA: </w:t>
      </w:r>
      <w:bookmarkStart w:id="2" w:name="Date"/>
      <w:r w:rsidR="00804163" w:rsidRPr="00804163">
        <w:rPr>
          <w:rFonts w:ascii="Arial Black" w:hAnsi="Arial Black"/>
          <w:caps/>
          <w:sz w:val="15"/>
          <w:lang w:val="es-ES_tradnl"/>
        </w:rPr>
        <w:t>17 DE JULIO DE 2024</w:t>
      </w:r>
    </w:p>
    <w:bookmarkEnd w:id="2"/>
    <w:p w14:paraId="09DAB943" w14:textId="77777777" w:rsidR="008B2CC1" w:rsidRPr="00804163" w:rsidRDefault="0066216D" w:rsidP="008B14EA">
      <w:pPr>
        <w:spacing w:after="600"/>
        <w:rPr>
          <w:b/>
          <w:sz w:val="28"/>
          <w:szCs w:val="28"/>
          <w:lang w:val="es-ES_tradnl"/>
        </w:rPr>
      </w:pPr>
      <w:r w:rsidRPr="00804163">
        <w:rPr>
          <w:b/>
          <w:sz w:val="28"/>
          <w:szCs w:val="28"/>
          <w:lang w:val="es-ES_tradnl"/>
        </w:rPr>
        <w:t>Comité de Normas Técnicas de la OMPI (CWS)</w:t>
      </w:r>
    </w:p>
    <w:p w14:paraId="27020852" w14:textId="77777777" w:rsidR="00511D0C" w:rsidRPr="00804163" w:rsidRDefault="00970F3D" w:rsidP="00511D0C">
      <w:pPr>
        <w:rPr>
          <w:b/>
          <w:sz w:val="28"/>
          <w:szCs w:val="24"/>
          <w:lang w:val="es-ES_tradnl"/>
        </w:rPr>
      </w:pPr>
      <w:r w:rsidRPr="00804163">
        <w:rPr>
          <w:b/>
          <w:sz w:val="24"/>
          <w:lang w:val="es-ES_tradnl"/>
        </w:rPr>
        <w:t>Duodécima</w:t>
      </w:r>
      <w:r w:rsidR="0066216D" w:rsidRPr="00804163">
        <w:rPr>
          <w:b/>
          <w:sz w:val="24"/>
          <w:lang w:val="es-ES_tradnl"/>
        </w:rPr>
        <w:t xml:space="preserve"> sesión</w:t>
      </w:r>
    </w:p>
    <w:p w14:paraId="1406087C" w14:textId="0024AA8A" w:rsidR="008B2CC1" w:rsidRPr="00804163" w:rsidRDefault="0066216D" w:rsidP="008B14EA">
      <w:pPr>
        <w:spacing w:after="720"/>
        <w:rPr>
          <w:b/>
          <w:sz w:val="28"/>
          <w:szCs w:val="24"/>
          <w:lang w:val="es-ES_tradnl"/>
        </w:rPr>
      </w:pPr>
      <w:r w:rsidRPr="00804163">
        <w:rPr>
          <w:b/>
          <w:sz w:val="24"/>
          <w:lang w:val="es-ES_tradnl"/>
        </w:rPr>
        <w:t xml:space="preserve">Ginebra, </w:t>
      </w:r>
      <w:r w:rsidR="00970F3D" w:rsidRPr="00804163">
        <w:rPr>
          <w:b/>
          <w:sz w:val="24"/>
          <w:lang w:val="es-ES_tradnl"/>
        </w:rPr>
        <w:t xml:space="preserve">16 a </w:t>
      </w:r>
      <w:r w:rsidR="00E5366E">
        <w:rPr>
          <w:b/>
          <w:sz w:val="24"/>
          <w:lang w:val="es-ES_tradnl"/>
        </w:rPr>
        <w:t>19</w:t>
      </w:r>
      <w:r w:rsidR="00970F3D" w:rsidRPr="00804163">
        <w:rPr>
          <w:b/>
          <w:sz w:val="24"/>
          <w:lang w:val="es-ES_tradnl"/>
        </w:rPr>
        <w:t xml:space="preserve"> de septiembre de 2024</w:t>
      </w:r>
    </w:p>
    <w:p w14:paraId="46803697" w14:textId="7E7BAFBC" w:rsidR="008B2CC1" w:rsidRPr="00804163" w:rsidRDefault="00804163" w:rsidP="008B14EA">
      <w:pPr>
        <w:spacing w:after="360"/>
        <w:rPr>
          <w:caps/>
          <w:sz w:val="24"/>
          <w:lang w:val="es-ES_tradnl"/>
        </w:rPr>
      </w:pPr>
      <w:bookmarkStart w:id="3" w:name="TitleOfDoc"/>
      <w:r w:rsidRPr="00804163">
        <w:rPr>
          <w:sz w:val="24"/>
          <w:lang w:val="es-ES_tradnl"/>
        </w:rPr>
        <w:t>RECOMENDACIONES SOBRE TIC Y ADMINISTRACIÓN DE LA PI</w:t>
      </w:r>
    </w:p>
    <w:p w14:paraId="3FBB2BE0" w14:textId="10A58BCB" w:rsidR="008B2CC1" w:rsidRPr="00804163" w:rsidRDefault="00804163" w:rsidP="008B14EA">
      <w:pPr>
        <w:spacing w:after="960"/>
        <w:rPr>
          <w:i/>
          <w:lang w:val="es-ES_tradnl"/>
        </w:rPr>
      </w:pPr>
      <w:bookmarkStart w:id="4" w:name="Prepared"/>
      <w:bookmarkEnd w:id="3"/>
      <w:r w:rsidRPr="00804163">
        <w:rPr>
          <w:i/>
          <w:lang w:val="es-ES_tradnl"/>
        </w:rPr>
        <w:t xml:space="preserve">Documento preparado por </w:t>
      </w:r>
      <w:r w:rsidR="00E5366E" w:rsidRPr="00E5366E">
        <w:rPr>
          <w:i/>
          <w:iCs/>
        </w:rPr>
        <w:t>l</w:t>
      </w:r>
      <w:r w:rsidR="00E5366E">
        <w:rPr>
          <w:i/>
          <w:iCs/>
        </w:rPr>
        <w:t>os</w:t>
      </w:r>
      <w:r w:rsidR="00E5366E" w:rsidRPr="00E5366E">
        <w:rPr>
          <w:i/>
          <w:iCs/>
        </w:rPr>
        <w:t xml:space="preserve"> responsable</w:t>
      </w:r>
      <w:r w:rsidR="00775869">
        <w:rPr>
          <w:i/>
          <w:iCs/>
        </w:rPr>
        <w:t>s</w:t>
      </w:r>
      <w:r w:rsidR="00E5366E" w:rsidRPr="00E5366E">
        <w:rPr>
          <w:i/>
          <w:iCs/>
        </w:rPr>
        <w:t xml:space="preserve"> del Equipo Técnico de Estrategia de TIC</w:t>
      </w:r>
    </w:p>
    <w:bookmarkEnd w:id="4"/>
    <w:p w14:paraId="1D2F4A90" w14:textId="77777777" w:rsidR="00804163" w:rsidRPr="00804163" w:rsidRDefault="00804163" w:rsidP="00804163">
      <w:pPr>
        <w:pStyle w:val="Heading2"/>
        <w:spacing w:before="0" w:after="120"/>
        <w:rPr>
          <w:szCs w:val="22"/>
          <w:lang w:val="es-ES_tradnl"/>
        </w:rPr>
      </w:pPr>
      <w:r w:rsidRPr="00804163">
        <w:rPr>
          <w:lang w:val="es-ES_tradnl"/>
        </w:rPr>
        <w:t>RESUMEN</w:t>
      </w:r>
    </w:p>
    <w:p w14:paraId="3A4C38D9" w14:textId="77777777" w:rsidR="00804163" w:rsidRPr="00804163" w:rsidRDefault="00804163" w:rsidP="00804163">
      <w:pPr>
        <w:tabs>
          <w:tab w:val="left" w:pos="0"/>
        </w:tabs>
        <w:autoSpaceDE w:val="0"/>
        <w:autoSpaceDN w:val="0"/>
        <w:spacing w:after="480"/>
        <w:ind w:right="278"/>
        <w:rPr>
          <w:sz w:val="24"/>
          <w:szCs w:val="24"/>
          <w:lang w:val="es-ES_tradnl"/>
        </w:rPr>
      </w:pPr>
      <w:r w:rsidRPr="00804163">
        <w:rPr>
          <w:rFonts w:eastAsia="Arial"/>
          <w:szCs w:val="22"/>
          <w:lang w:val="es-ES_tradnl"/>
        </w:rPr>
        <w:fldChar w:fldCharType="begin"/>
      </w:r>
      <w:r w:rsidRPr="00804163">
        <w:rPr>
          <w:rFonts w:eastAsia="Arial"/>
          <w:szCs w:val="22"/>
          <w:lang w:val="es-ES_tradnl"/>
        </w:rPr>
        <w:instrText xml:space="preserve"> AUTONUM  </w:instrText>
      </w:r>
      <w:r w:rsidRPr="00804163">
        <w:rPr>
          <w:rFonts w:eastAsia="Arial"/>
          <w:szCs w:val="22"/>
          <w:lang w:val="es-ES_tradnl"/>
        </w:rPr>
        <w:fldChar w:fldCharType="end"/>
      </w:r>
      <w:r w:rsidRPr="00804163">
        <w:rPr>
          <w:szCs w:val="22"/>
          <w:lang w:val="es-ES_tradnl"/>
        </w:rPr>
        <w:tab/>
        <w:t>El Equipo Técnico de la Estrategia sobre las TIC presenta un conjunto de proyectos de recomendacione</w:t>
      </w:r>
      <w:r w:rsidRPr="00804163">
        <w:rPr>
          <w:lang w:val="es-ES_tradnl"/>
        </w:rPr>
        <w:t>s revisados sobre las tecnologías de la información y las comunicaciones (TIC) y la administración de la propiedad intelectual (PI) para que el Comité de Normas Técnicas de la OMPI (CWS) lo examine y apruebe. Dichas recomendaciones deberían examinarse a los fines de su aplicación por las oficinas de PI.</w:t>
      </w:r>
    </w:p>
    <w:p w14:paraId="192DC210" w14:textId="77777777" w:rsidR="00804163" w:rsidRPr="00804163" w:rsidRDefault="00804163" w:rsidP="00804163">
      <w:pPr>
        <w:pStyle w:val="Heading2"/>
        <w:spacing w:before="0" w:after="120"/>
        <w:rPr>
          <w:lang w:val="es-ES_tradnl"/>
        </w:rPr>
      </w:pPr>
      <w:r w:rsidRPr="00804163">
        <w:rPr>
          <w:lang w:val="es-ES_tradnl"/>
        </w:rPr>
        <w:t>ANTECEDENTES</w:t>
      </w:r>
    </w:p>
    <w:p w14:paraId="0B7AA281" w14:textId="77777777" w:rsidR="00804163" w:rsidRPr="00804163" w:rsidRDefault="00804163" w:rsidP="00804163">
      <w:pPr>
        <w:tabs>
          <w:tab w:val="left" w:pos="0"/>
        </w:tabs>
        <w:autoSpaceDE w:val="0"/>
        <w:autoSpaceDN w:val="0"/>
        <w:spacing w:after="240"/>
        <w:ind w:right="278"/>
        <w:rPr>
          <w:rFonts w:eastAsia="Arial"/>
          <w:szCs w:val="22"/>
          <w:lang w:val="es-ES_tradnl"/>
        </w:rPr>
      </w:pPr>
      <w:r w:rsidRPr="00804163">
        <w:rPr>
          <w:rFonts w:eastAsia="Arial"/>
          <w:lang w:val="es-ES_tradnl"/>
        </w:rPr>
        <w:fldChar w:fldCharType="begin"/>
      </w:r>
      <w:r w:rsidRPr="00804163">
        <w:rPr>
          <w:rFonts w:eastAsia="Arial"/>
          <w:lang w:val="es-ES_tradnl"/>
        </w:rPr>
        <w:instrText xml:space="preserve"> AUTONUM  </w:instrText>
      </w:r>
      <w:r w:rsidRPr="00804163">
        <w:rPr>
          <w:rFonts w:eastAsia="Arial"/>
          <w:lang w:val="es-ES_tradnl"/>
        </w:rPr>
        <w:fldChar w:fldCharType="end"/>
      </w:r>
      <w:r w:rsidRPr="00804163">
        <w:rPr>
          <w:lang w:val="es-ES_tradnl"/>
        </w:rPr>
        <w:tab/>
        <w:t>En su sexta sesión, celebrada en 2018, el CWS tomó nota de las “40 recomendaciones” preparadas en la reunión de oficinas de PI sobre estrategias de TIC e inteligencia artificial (IA) para la administración de la PI, que la Oficina Internacional convocó para impulsar el intercambio de opiniones y experiencias en la esfera de las TIC y la gestión del trabajo, en pos de la eficacia de la administración de las oficinas de PI (OPI). El CWS tomó nota del análisis de las 40 recomendaciones efectuado por la Secretaría y de su pertinencia para las actividades del CWS, así como de la agrupación de las recomendaciones en tres grupos (véanse los párrafos 17 a 27 del documento CWS/6/34).</w:t>
      </w:r>
    </w:p>
    <w:p w14:paraId="7AB8D54C" w14:textId="77777777" w:rsidR="00804163" w:rsidRPr="00804163" w:rsidRDefault="00804163" w:rsidP="00804163">
      <w:pPr>
        <w:tabs>
          <w:tab w:val="left" w:pos="0"/>
        </w:tabs>
        <w:autoSpaceDE w:val="0"/>
        <w:autoSpaceDN w:val="0"/>
        <w:spacing w:after="240"/>
        <w:ind w:right="278"/>
        <w:rPr>
          <w:rFonts w:eastAsia="Arial"/>
          <w:szCs w:val="22"/>
          <w:lang w:val="es-ES_tradnl"/>
        </w:rPr>
      </w:pPr>
      <w:r w:rsidRPr="00804163">
        <w:rPr>
          <w:rFonts w:eastAsia="Arial"/>
          <w:lang w:val="es-ES_tradnl"/>
        </w:rPr>
        <w:fldChar w:fldCharType="begin"/>
      </w:r>
      <w:r w:rsidRPr="00804163">
        <w:rPr>
          <w:rFonts w:eastAsia="Arial"/>
          <w:lang w:val="es-ES_tradnl"/>
        </w:rPr>
        <w:instrText xml:space="preserve"> AUTONUM  </w:instrText>
      </w:r>
      <w:r w:rsidRPr="00804163">
        <w:rPr>
          <w:rFonts w:eastAsia="Arial"/>
          <w:lang w:val="es-ES_tradnl"/>
        </w:rPr>
        <w:fldChar w:fldCharType="end"/>
      </w:r>
      <w:r w:rsidRPr="00804163">
        <w:rPr>
          <w:lang w:val="es-ES_tradnl"/>
        </w:rPr>
        <w:tab/>
        <w:t xml:space="preserve">El Equipo Técnico de la Estrategia sobre las TIC examinó el análisis de la pertinencia de esas 40 recomendaciones para las actividades del CWS y el establecimiento de prioridades a partir de los resultados de dos encuestas llevadas a cabo en primer lugar por </w:t>
      </w:r>
      <w:r w:rsidRPr="00804163">
        <w:rPr>
          <w:lang w:val="es-ES_tradnl"/>
        </w:rPr>
        <w:lastRenderedPageBreak/>
        <w:t>el Equipo Técnico y ulteriormente también por los miembros del CWS (véase el documento CWS/11/21).</w:t>
      </w:r>
    </w:p>
    <w:p w14:paraId="1FDBCBC8" w14:textId="77777777" w:rsidR="00804163" w:rsidRPr="00804163" w:rsidRDefault="00804163" w:rsidP="00804163">
      <w:pPr>
        <w:tabs>
          <w:tab w:val="left" w:pos="0"/>
        </w:tabs>
        <w:autoSpaceDE w:val="0"/>
        <w:autoSpaceDN w:val="0"/>
        <w:spacing w:after="120"/>
        <w:ind w:right="278"/>
        <w:rPr>
          <w:rFonts w:eastAsia="Arial"/>
          <w:szCs w:val="22"/>
          <w:lang w:val="es-ES_tradnl"/>
        </w:rPr>
      </w:pPr>
      <w:r w:rsidRPr="00804163">
        <w:rPr>
          <w:rFonts w:eastAsia="Arial"/>
          <w:lang w:val="es-ES_tradnl"/>
        </w:rPr>
        <w:fldChar w:fldCharType="begin"/>
      </w:r>
      <w:r w:rsidRPr="00804163">
        <w:rPr>
          <w:rFonts w:eastAsia="Arial"/>
          <w:lang w:val="es-ES_tradnl"/>
        </w:rPr>
        <w:instrText xml:space="preserve"> AUTONUM  </w:instrText>
      </w:r>
      <w:r w:rsidRPr="00804163">
        <w:rPr>
          <w:rFonts w:eastAsia="Arial"/>
          <w:lang w:val="es-ES_tradnl"/>
        </w:rPr>
        <w:fldChar w:fldCharType="end"/>
      </w:r>
      <w:r w:rsidRPr="00804163">
        <w:rPr>
          <w:lang w:val="es-ES_tradnl"/>
        </w:rPr>
        <w:tab/>
        <w:t>Por otra parte, el Equipo Técnico convino en reagrupar las 40 recomendaciones a la luz del mandato del CWS, aprobado en 2022, y teniendo en cuenta los resultados de las encuestas. Además, a fin de mejorar las 40 recomendaciones iniciales, el Equipo Técnico acordó lo siguiente:</w:t>
      </w:r>
    </w:p>
    <w:p w14:paraId="4E258535" w14:textId="1D494898" w:rsidR="00804163" w:rsidRPr="00804163" w:rsidRDefault="00804163" w:rsidP="00804163">
      <w:pPr>
        <w:numPr>
          <w:ilvl w:val="0"/>
          <w:numId w:val="7"/>
        </w:numPr>
        <w:shd w:val="clear" w:color="auto" w:fill="FFFFFF"/>
        <w:tabs>
          <w:tab w:val="num" w:pos="720"/>
        </w:tabs>
        <w:spacing w:after="120"/>
        <w:ind w:left="714" w:hanging="357"/>
        <w:rPr>
          <w:rFonts w:eastAsia="Times New Roman"/>
          <w:szCs w:val="22"/>
          <w:lang w:val="es-ES_tradnl"/>
        </w:rPr>
      </w:pPr>
      <w:r w:rsidRPr="00804163">
        <w:rPr>
          <w:lang w:val="es-ES_tradnl"/>
        </w:rPr>
        <w:t>añadir nuevas recomendaciones;</w:t>
      </w:r>
    </w:p>
    <w:p w14:paraId="10741C05" w14:textId="77777777" w:rsidR="00804163" w:rsidRPr="00804163" w:rsidRDefault="00804163" w:rsidP="00804163">
      <w:pPr>
        <w:numPr>
          <w:ilvl w:val="0"/>
          <w:numId w:val="7"/>
        </w:numPr>
        <w:shd w:val="clear" w:color="auto" w:fill="FFFFFF"/>
        <w:tabs>
          <w:tab w:val="num" w:pos="720"/>
        </w:tabs>
        <w:spacing w:after="120"/>
        <w:ind w:left="714" w:hanging="357"/>
        <w:rPr>
          <w:rFonts w:eastAsia="Times New Roman"/>
          <w:szCs w:val="22"/>
          <w:lang w:val="es-ES_tradnl"/>
        </w:rPr>
      </w:pPr>
      <w:r w:rsidRPr="00804163">
        <w:rPr>
          <w:lang w:val="es-ES_tradnl"/>
        </w:rPr>
        <w:t>algunas ya no tenían vigencia;</w:t>
      </w:r>
    </w:p>
    <w:p w14:paraId="5163B685" w14:textId="77777777" w:rsidR="00804163" w:rsidRPr="00804163" w:rsidRDefault="00804163" w:rsidP="00804163">
      <w:pPr>
        <w:numPr>
          <w:ilvl w:val="0"/>
          <w:numId w:val="7"/>
        </w:numPr>
        <w:shd w:val="clear" w:color="auto" w:fill="FFFFFF"/>
        <w:tabs>
          <w:tab w:val="num" w:pos="720"/>
        </w:tabs>
        <w:spacing w:after="120"/>
        <w:ind w:left="714" w:hanging="357"/>
        <w:rPr>
          <w:rFonts w:eastAsia="Times New Roman"/>
          <w:szCs w:val="22"/>
          <w:lang w:val="es-ES_tradnl"/>
        </w:rPr>
      </w:pPr>
      <w:r w:rsidRPr="00804163">
        <w:rPr>
          <w:lang w:val="es-ES_tradnl"/>
        </w:rPr>
        <w:t>generalizar algunas recomendaciones;</w:t>
      </w:r>
    </w:p>
    <w:p w14:paraId="795DE9D3" w14:textId="77777777" w:rsidR="00804163" w:rsidRPr="00804163" w:rsidRDefault="00804163" w:rsidP="00804163">
      <w:pPr>
        <w:numPr>
          <w:ilvl w:val="0"/>
          <w:numId w:val="7"/>
        </w:numPr>
        <w:shd w:val="clear" w:color="auto" w:fill="FFFFFF"/>
        <w:tabs>
          <w:tab w:val="num" w:pos="720"/>
        </w:tabs>
        <w:spacing w:after="120"/>
        <w:ind w:left="714" w:hanging="357"/>
        <w:rPr>
          <w:rFonts w:eastAsia="Times New Roman"/>
          <w:szCs w:val="22"/>
          <w:lang w:val="es-ES_tradnl"/>
        </w:rPr>
      </w:pPr>
      <w:r w:rsidRPr="00804163">
        <w:rPr>
          <w:lang w:val="es-ES_tradnl"/>
        </w:rPr>
        <w:t>reformular algunas recomendaciones de forma más explícita o precisa;</w:t>
      </w:r>
    </w:p>
    <w:p w14:paraId="22E037DE" w14:textId="77777777" w:rsidR="00804163" w:rsidRPr="00804163" w:rsidRDefault="00804163" w:rsidP="00804163">
      <w:pPr>
        <w:numPr>
          <w:ilvl w:val="0"/>
          <w:numId w:val="7"/>
        </w:numPr>
        <w:shd w:val="clear" w:color="auto" w:fill="FFFFFF"/>
        <w:tabs>
          <w:tab w:val="num" w:pos="720"/>
        </w:tabs>
        <w:spacing w:after="120"/>
        <w:ind w:left="714" w:hanging="357"/>
        <w:rPr>
          <w:rFonts w:eastAsia="Times New Roman"/>
          <w:szCs w:val="22"/>
          <w:lang w:val="es-ES_tradnl"/>
        </w:rPr>
      </w:pPr>
      <w:r w:rsidRPr="00804163">
        <w:rPr>
          <w:lang w:val="es-ES_tradnl"/>
        </w:rPr>
        <w:t xml:space="preserve">dar por concluidas o aplicadas algunas recomendaciones, como la R17, R23, R32 y la R33, y </w:t>
      </w:r>
    </w:p>
    <w:p w14:paraId="0ECC0F00" w14:textId="77777777" w:rsidR="00804163" w:rsidRPr="00804163" w:rsidRDefault="00804163" w:rsidP="00804163">
      <w:pPr>
        <w:numPr>
          <w:ilvl w:val="0"/>
          <w:numId w:val="7"/>
        </w:numPr>
        <w:shd w:val="clear" w:color="auto" w:fill="FFFFFF"/>
        <w:tabs>
          <w:tab w:val="num" w:pos="720"/>
        </w:tabs>
        <w:spacing w:after="240"/>
        <w:rPr>
          <w:rFonts w:eastAsia="Times New Roman"/>
          <w:szCs w:val="22"/>
          <w:lang w:val="es-ES_tradnl"/>
        </w:rPr>
      </w:pPr>
      <w:r w:rsidRPr="00804163">
        <w:rPr>
          <w:lang w:val="es-ES_tradnl"/>
        </w:rPr>
        <w:t>reducir el número de recomendaciones, de manera que las OPI puedan centrarse en su aplicación en el plazo propuesto.</w:t>
      </w:r>
    </w:p>
    <w:p w14:paraId="45683430" w14:textId="77777777" w:rsidR="00804163" w:rsidRPr="00804163" w:rsidRDefault="00804163" w:rsidP="00804163">
      <w:pPr>
        <w:tabs>
          <w:tab w:val="left" w:pos="0"/>
        </w:tabs>
        <w:autoSpaceDE w:val="0"/>
        <w:autoSpaceDN w:val="0"/>
        <w:spacing w:after="240"/>
        <w:ind w:right="278"/>
        <w:rPr>
          <w:rFonts w:eastAsia="Arial"/>
          <w:szCs w:val="22"/>
          <w:lang w:val="es-ES_tradnl"/>
        </w:rPr>
      </w:pPr>
      <w:r w:rsidRPr="00804163">
        <w:rPr>
          <w:rFonts w:eastAsia="Arial"/>
          <w:lang w:val="es-ES_tradnl"/>
        </w:rPr>
        <w:fldChar w:fldCharType="begin"/>
      </w:r>
      <w:r w:rsidRPr="00804163">
        <w:rPr>
          <w:rFonts w:eastAsia="Arial"/>
          <w:lang w:val="es-ES_tradnl"/>
        </w:rPr>
        <w:instrText xml:space="preserve"> AUTONUM  </w:instrText>
      </w:r>
      <w:r w:rsidRPr="00804163">
        <w:rPr>
          <w:rFonts w:eastAsia="Arial"/>
          <w:lang w:val="es-ES_tradnl"/>
        </w:rPr>
        <w:fldChar w:fldCharType="end"/>
      </w:r>
      <w:r w:rsidRPr="00804163">
        <w:rPr>
          <w:lang w:val="es-ES_tradnl"/>
        </w:rPr>
        <w:tab/>
        <w:t xml:space="preserve">El Equipo Técnico de la Estrategia sobre las de TIC elaboró y presentó un nuevo conjunto de 10 recomendaciones sobre TIC y administración de la PI, con sus correspondientes medidas recomendadas (véase el Anexo del documento CWS/11/28) para su examen en la undécima sesión del CWS.  </w:t>
      </w:r>
    </w:p>
    <w:p w14:paraId="49A6F053" w14:textId="77777777" w:rsidR="00804163" w:rsidRPr="00804163" w:rsidRDefault="00804163" w:rsidP="00804163">
      <w:pPr>
        <w:tabs>
          <w:tab w:val="left" w:pos="0"/>
        </w:tabs>
        <w:autoSpaceDE w:val="0"/>
        <w:autoSpaceDN w:val="0"/>
        <w:spacing w:after="480"/>
        <w:ind w:right="278"/>
        <w:rPr>
          <w:rFonts w:eastAsia="Arial"/>
          <w:szCs w:val="22"/>
          <w:lang w:val="es-ES_tradnl"/>
        </w:rPr>
      </w:pPr>
      <w:r w:rsidRPr="00804163">
        <w:rPr>
          <w:rFonts w:eastAsia="Arial"/>
          <w:lang w:val="es-ES_tradnl"/>
        </w:rPr>
        <w:fldChar w:fldCharType="begin"/>
      </w:r>
      <w:r w:rsidRPr="00804163">
        <w:rPr>
          <w:rFonts w:eastAsia="Arial"/>
          <w:lang w:val="es-ES_tradnl"/>
        </w:rPr>
        <w:instrText xml:space="preserve"> AUTONUM  </w:instrText>
      </w:r>
      <w:r w:rsidRPr="00804163">
        <w:rPr>
          <w:rFonts w:eastAsia="Arial"/>
          <w:lang w:val="es-ES_tradnl"/>
        </w:rPr>
        <w:fldChar w:fldCharType="end"/>
      </w:r>
      <w:r w:rsidRPr="00804163">
        <w:rPr>
          <w:lang w:val="es-ES_tradnl"/>
        </w:rPr>
        <w:tab/>
        <w:t>En su undécima sesión, el CWS pidió a la Secretaría que emitiera una circular en la que se invitara a los miembros a formular comentarios sobre las 10 nuevas propuestas de recomendaciones. Asimismo, el CWS pidió al Equipo Técnico de la Estrategia sobre las TIC que, en su duodécima sesión, informara sobre los resultados de las respuestas a esa circular (véanse los párrafos 158 y 159 del documento CWS/11/28).</w:t>
      </w:r>
    </w:p>
    <w:p w14:paraId="245E86A8" w14:textId="77777777" w:rsidR="00804163" w:rsidRPr="00804163" w:rsidRDefault="00804163" w:rsidP="00804163">
      <w:pPr>
        <w:pStyle w:val="Heading2"/>
        <w:spacing w:before="0" w:after="120"/>
        <w:rPr>
          <w:lang w:val="es-ES_tradnl"/>
        </w:rPr>
      </w:pPr>
      <w:r w:rsidRPr="00804163">
        <w:rPr>
          <w:lang w:val="es-ES_tradnl"/>
        </w:rPr>
        <w:t>PROPUESTA DE RECOMENDACIONES REVISADAS</w:t>
      </w:r>
    </w:p>
    <w:p w14:paraId="5960A117" w14:textId="77777777" w:rsidR="00804163" w:rsidRPr="00804163" w:rsidRDefault="00804163" w:rsidP="00804163">
      <w:pPr>
        <w:tabs>
          <w:tab w:val="left" w:pos="0"/>
        </w:tabs>
        <w:autoSpaceDE w:val="0"/>
        <w:autoSpaceDN w:val="0"/>
        <w:spacing w:after="240"/>
        <w:ind w:right="278"/>
        <w:rPr>
          <w:rFonts w:eastAsia="Arial"/>
          <w:szCs w:val="22"/>
          <w:lang w:val="es-ES_tradnl"/>
        </w:rPr>
      </w:pPr>
      <w:r w:rsidRPr="00804163">
        <w:rPr>
          <w:rFonts w:eastAsia="Arial"/>
          <w:lang w:val="es-ES_tradnl"/>
        </w:rPr>
        <w:fldChar w:fldCharType="begin"/>
      </w:r>
      <w:r w:rsidRPr="00804163">
        <w:rPr>
          <w:rFonts w:eastAsia="Arial"/>
          <w:lang w:val="es-ES_tradnl"/>
        </w:rPr>
        <w:instrText xml:space="preserve"> AUTONUM  </w:instrText>
      </w:r>
      <w:r w:rsidRPr="00804163">
        <w:rPr>
          <w:rFonts w:eastAsia="Arial"/>
          <w:lang w:val="es-ES_tradnl"/>
        </w:rPr>
        <w:fldChar w:fldCharType="end"/>
      </w:r>
      <w:r w:rsidRPr="00804163">
        <w:rPr>
          <w:lang w:val="es-ES_tradnl"/>
        </w:rPr>
        <w:tab/>
        <w:t xml:space="preserve">Respondieron a la circular C.CWS 180 los siguientes Estados miembros: Alemania, Australia, Lituania, México, Mozambique, Nigeria y Noruega. </w:t>
      </w:r>
    </w:p>
    <w:p w14:paraId="6B10C2D3" w14:textId="77777777" w:rsidR="00804163" w:rsidRPr="00804163" w:rsidRDefault="00804163" w:rsidP="00804163">
      <w:pPr>
        <w:tabs>
          <w:tab w:val="left" w:pos="0"/>
        </w:tabs>
        <w:autoSpaceDE w:val="0"/>
        <w:autoSpaceDN w:val="0"/>
        <w:spacing w:after="240"/>
        <w:ind w:right="278"/>
        <w:rPr>
          <w:rFonts w:eastAsia="Arial"/>
          <w:szCs w:val="22"/>
          <w:lang w:val="es-ES_tradnl"/>
        </w:rPr>
      </w:pPr>
      <w:r w:rsidRPr="00804163">
        <w:rPr>
          <w:rFonts w:eastAsia="Arial"/>
          <w:lang w:val="es-ES_tradnl"/>
        </w:rPr>
        <w:fldChar w:fldCharType="begin"/>
      </w:r>
      <w:r w:rsidRPr="00804163">
        <w:rPr>
          <w:rFonts w:eastAsia="Arial"/>
          <w:lang w:val="es-ES_tradnl"/>
        </w:rPr>
        <w:instrText xml:space="preserve"> AUTONUM  </w:instrText>
      </w:r>
      <w:r w:rsidRPr="00804163">
        <w:rPr>
          <w:rFonts w:eastAsia="Arial"/>
          <w:lang w:val="es-ES_tradnl"/>
        </w:rPr>
        <w:fldChar w:fldCharType="end"/>
      </w:r>
      <w:r w:rsidRPr="00804163">
        <w:rPr>
          <w:lang w:val="es-ES_tradnl"/>
        </w:rPr>
        <w:tab/>
        <w:t xml:space="preserve">El Equipo Técnico preparó una propuesta final de conjunto de recomendaciones sobre TIC y administración de la PI a partir de los comentarios sustantivos recibidos en la respuesta a la circular y de los comentarios formulados en la undécima sesión del CWS, propuesta que presenta para su examen y aprobación, y que se reproduce en el Anexo del presente documento. </w:t>
      </w:r>
    </w:p>
    <w:p w14:paraId="7D0EFFD3" w14:textId="77777777" w:rsidR="00804163" w:rsidRPr="00804163" w:rsidRDefault="00804163" w:rsidP="00804163">
      <w:pPr>
        <w:tabs>
          <w:tab w:val="left" w:pos="0"/>
        </w:tabs>
        <w:autoSpaceDE w:val="0"/>
        <w:autoSpaceDN w:val="0"/>
        <w:spacing w:after="240"/>
        <w:ind w:right="278"/>
        <w:rPr>
          <w:rFonts w:eastAsia="Arial"/>
          <w:szCs w:val="22"/>
          <w:lang w:val="es-ES_tradnl"/>
        </w:rPr>
      </w:pPr>
      <w:r w:rsidRPr="00804163">
        <w:rPr>
          <w:rFonts w:eastAsia="Arial"/>
          <w:lang w:val="es-ES_tradnl"/>
        </w:rPr>
        <w:fldChar w:fldCharType="begin"/>
      </w:r>
      <w:r w:rsidRPr="00804163">
        <w:rPr>
          <w:rFonts w:eastAsia="Arial"/>
          <w:lang w:val="es-ES_tradnl"/>
        </w:rPr>
        <w:instrText xml:space="preserve"> AUTONUM  </w:instrText>
      </w:r>
      <w:r w:rsidRPr="00804163">
        <w:rPr>
          <w:rFonts w:eastAsia="Arial"/>
          <w:lang w:val="es-ES_tradnl"/>
        </w:rPr>
        <w:fldChar w:fldCharType="end"/>
      </w:r>
      <w:r w:rsidRPr="00804163">
        <w:rPr>
          <w:lang w:val="es-ES_tradnl"/>
        </w:rPr>
        <w:tab/>
        <w:t>A continuación se presenta un resumen de los cambios introducidos en los 10 proyectos de recomendaciones desde la última sesión:</w:t>
      </w:r>
    </w:p>
    <w:p w14:paraId="43794680" w14:textId="77777777" w:rsidR="00804163" w:rsidRPr="00804163" w:rsidRDefault="00804163" w:rsidP="00804163">
      <w:pPr>
        <w:numPr>
          <w:ilvl w:val="0"/>
          <w:numId w:val="7"/>
        </w:numPr>
        <w:shd w:val="clear" w:color="auto" w:fill="FFFFFF"/>
        <w:tabs>
          <w:tab w:val="num" w:pos="720"/>
        </w:tabs>
        <w:spacing w:after="120"/>
        <w:ind w:left="714" w:hanging="357"/>
        <w:rPr>
          <w:rFonts w:eastAsia="Times New Roman"/>
          <w:szCs w:val="22"/>
          <w:lang w:val="es-ES_tradnl"/>
        </w:rPr>
      </w:pPr>
      <w:r w:rsidRPr="00804163">
        <w:rPr>
          <w:lang w:val="es-ES_tradnl"/>
        </w:rPr>
        <w:t>reordenar las recomendaciones para mejorar la fluidez;</w:t>
      </w:r>
    </w:p>
    <w:p w14:paraId="1E92784A" w14:textId="77777777" w:rsidR="00804163" w:rsidRPr="00804163" w:rsidRDefault="00804163" w:rsidP="00804163">
      <w:pPr>
        <w:numPr>
          <w:ilvl w:val="0"/>
          <w:numId w:val="7"/>
        </w:numPr>
        <w:shd w:val="clear" w:color="auto" w:fill="FFFFFF"/>
        <w:tabs>
          <w:tab w:val="num" w:pos="720"/>
        </w:tabs>
        <w:spacing w:after="120"/>
        <w:ind w:left="714" w:hanging="357"/>
        <w:rPr>
          <w:rFonts w:eastAsia="Times New Roman"/>
          <w:szCs w:val="22"/>
          <w:lang w:val="es-ES_tradnl"/>
        </w:rPr>
      </w:pPr>
      <w:r w:rsidRPr="00804163">
        <w:rPr>
          <w:lang w:val="es-ES_tradnl"/>
        </w:rPr>
        <w:t>suprimir las duplicidades de redacción entre las recomendaciones y las medidas recomendadas;</w:t>
      </w:r>
    </w:p>
    <w:p w14:paraId="741D75E9" w14:textId="77777777" w:rsidR="00804163" w:rsidRPr="00804163" w:rsidRDefault="00804163" w:rsidP="00804163">
      <w:pPr>
        <w:numPr>
          <w:ilvl w:val="0"/>
          <w:numId w:val="7"/>
        </w:numPr>
        <w:shd w:val="clear" w:color="auto" w:fill="FFFFFF"/>
        <w:tabs>
          <w:tab w:val="num" w:pos="720"/>
        </w:tabs>
        <w:spacing w:after="120"/>
        <w:ind w:left="714" w:hanging="357"/>
        <w:rPr>
          <w:rFonts w:eastAsia="Times New Roman"/>
          <w:szCs w:val="22"/>
          <w:lang w:val="es-ES_tradnl"/>
        </w:rPr>
      </w:pPr>
      <w:r w:rsidRPr="00804163">
        <w:rPr>
          <w:lang w:val="es-ES_tradnl"/>
        </w:rPr>
        <w:t>introducir pequeños cambios editoriales para mejorar la claridad y asegurar la coherencia;</w:t>
      </w:r>
    </w:p>
    <w:p w14:paraId="29417357" w14:textId="77777777" w:rsidR="00804163" w:rsidRPr="00804163" w:rsidRDefault="00804163" w:rsidP="00804163">
      <w:pPr>
        <w:numPr>
          <w:ilvl w:val="0"/>
          <w:numId w:val="7"/>
        </w:numPr>
        <w:shd w:val="clear" w:color="auto" w:fill="FFFFFF"/>
        <w:tabs>
          <w:tab w:val="num" w:pos="720"/>
        </w:tabs>
        <w:spacing w:after="120"/>
        <w:ind w:left="714" w:hanging="357"/>
        <w:rPr>
          <w:rFonts w:eastAsia="Times New Roman"/>
          <w:szCs w:val="22"/>
          <w:lang w:val="es-ES_tradnl"/>
        </w:rPr>
      </w:pPr>
      <w:r w:rsidRPr="00804163">
        <w:rPr>
          <w:lang w:val="es-ES_tradnl"/>
        </w:rPr>
        <w:t xml:space="preserve">introducir cambios en la medida relativa a la R1 a fin de revisar los procedimientos pertinentes para diferentes derechos de PI y, cuando sea posible, armonizarlos; </w:t>
      </w:r>
    </w:p>
    <w:p w14:paraId="4EF2A8A5" w14:textId="77777777" w:rsidR="00804163" w:rsidRPr="00804163" w:rsidRDefault="00804163" w:rsidP="00804163">
      <w:pPr>
        <w:numPr>
          <w:ilvl w:val="0"/>
          <w:numId w:val="7"/>
        </w:numPr>
        <w:shd w:val="clear" w:color="auto" w:fill="FFFFFF"/>
        <w:tabs>
          <w:tab w:val="num" w:pos="720"/>
        </w:tabs>
        <w:spacing w:after="120"/>
        <w:ind w:left="714" w:hanging="357"/>
        <w:rPr>
          <w:rFonts w:eastAsia="Times New Roman"/>
          <w:szCs w:val="22"/>
          <w:lang w:val="es-ES_tradnl"/>
        </w:rPr>
      </w:pPr>
      <w:r w:rsidRPr="00804163">
        <w:rPr>
          <w:lang w:val="es-ES_tradnl"/>
        </w:rPr>
        <w:lastRenderedPageBreak/>
        <w:t xml:space="preserve">introducir cambios en la R2 para ampliar el alcance del foro a fin de incluir cuestiones de TIC de interés común, e </w:t>
      </w:r>
    </w:p>
    <w:p w14:paraId="4E3CAC30" w14:textId="77777777" w:rsidR="00804163" w:rsidRPr="00804163" w:rsidRDefault="00804163" w:rsidP="00804163">
      <w:pPr>
        <w:numPr>
          <w:ilvl w:val="0"/>
          <w:numId w:val="7"/>
        </w:numPr>
        <w:shd w:val="clear" w:color="auto" w:fill="FFFFFF"/>
        <w:tabs>
          <w:tab w:val="num" w:pos="720"/>
        </w:tabs>
        <w:spacing w:after="240"/>
        <w:rPr>
          <w:rFonts w:eastAsia="Times New Roman"/>
          <w:szCs w:val="22"/>
          <w:lang w:val="es-ES_tradnl"/>
        </w:rPr>
      </w:pPr>
      <w:r w:rsidRPr="00804163">
        <w:rPr>
          <w:lang w:val="es-ES_tradnl"/>
        </w:rPr>
        <w:t xml:space="preserve">introducir cambios en la R10 de modo que sea de mayor nivel y más general, a fin de facilitar la distinción entre cadena de bloques e inteligencia artificial en cuanto que disciplinas diferentes con diferentes posibilidades de casos de uso y alcances. </w:t>
      </w:r>
    </w:p>
    <w:p w14:paraId="08A69D02" w14:textId="77777777" w:rsidR="00804163" w:rsidRPr="00804163" w:rsidRDefault="00804163" w:rsidP="00804163">
      <w:pPr>
        <w:tabs>
          <w:tab w:val="left" w:pos="0"/>
        </w:tabs>
        <w:autoSpaceDE w:val="0"/>
        <w:autoSpaceDN w:val="0"/>
        <w:spacing w:after="240"/>
        <w:ind w:right="278"/>
        <w:rPr>
          <w:rFonts w:eastAsia="Arial"/>
          <w:szCs w:val="22"/>
          <w:lang w:val="es-ES_tradnl"/>
        </w:rPr>
      </w:pPr>
      <w:r w:rsidRPr="00804163">
        <w:rPr>
          <w:rFonts w:eastAsia="Arial"/>
          <w:lang w:val="es-ES_tradnl"/>
        </w:rPr>
        <w:fldChar w:fldCharType="begin"/>
      </w:r>
      <w:r w:rsidRPr="00804163">
        <w:rPr>
          <w:rFonts w:eastAsia="Arial"/>
          <w:lang w:val="es-ES_tradnl"/>
        </w:rPr>
        <w:instrText xml:space="preserve"> AUTONUM  </w:instrText>
      </w:r>
      <w:r w:rsidRPr="00804163">
        <w:rPr>
          <w:rFonts w:eastAsia="Arial"/>
          <w:lang w:val="es-ES_tradnl"/>
        </w:rPr>
        <w:fldChar w:fldCharType="end"/>
      </w:r>
      <w:r w:rsidRPr="00804163">
        <w:rPr>
          <w:lang w:val="es-ES_tradnl"/>
        </w:rPr>
        <w:tab/>
        <w:t>El Equipo Técnico propone que estas recomendaciones se examinen a los fines de su aplicación por las OPI. A ese respecto, se propone que dichas recomendaciones se presenten en la Asamblea General de la OMPI que se celebrará en 2025, tras su aprobación por el CWS. Se propone además que se aliente a las OPI a que apliquen el conjunto de recomendaciones y que comuniquen sus planes o experiencias al respecto.</w:t>
      </w:r>
    </w:p>
    <w:p w14:paraId="7AE21AF5" w14:textId="77777777" w:rsidR="00804163" w:rsidRPr="00804163" w:rsidRDefault="00804163" w:rsidP="00804163">
      <w:pPr>
        <w:spacing w:after="120" w:line="259" w:lineRule="auto"/>
        <w:ind w:left="5489"/>
        <w:rPr>
          <w:rFonts w:eastAsiaTheme="minorEastAsia" w:cstheme="minorBidi"/>
          <w:i/>
          <w:szCs w:val="22"/>
          <w:lang w:val="es-ES_tradnl"/>
        </w:rPr>
      </w:pPr>
      <w:r w:rsidRPr="00804163">
        <w:rPr>
          <w:rFonts w:eastAsiaTheme="minorEastAsia" w:cstheme="minorBidi"/>
          <w:i/>
          <w:lang w:val="es-ES_tradnl"/>
        </w:rPr>
        <w:fldChar w:fldCharType="begin"/>
      </w:r>
      <w:r w:rsidRPr="00804163">
        <w:rPr>
          <w:rFonts w:eastAsiaTheme="minorEastAsia" w:cstheme="minorBidi"/>
          <w:i/>
          <w:lang w:val="es-ES_tradnl"/>
        </w:rPr>
        <w:instrText xml:space="preserve"> AUTONUM  </w:instrText>
      </w:r>
      <w:r w:rsidRPr="00804163">
        <w:rPr>
          <w:rFonts w:eastAsiaTheme="minorEastAsia" w:cstheme="minorBidi"/>
          <w:i/>
          <w:lang w:val="es-ES_tradnl"/>
        </w:rPr>
        <w:fldChar w:fldCharType="end"/>
      </w:r>
      <w:r w:rsidRPr="00804163">
        <w:rPr>
          <w:i/>
          <w:lang w:val="es-ES_tradnl"/>
        </w:rPr>
        <w:tab/>
        <w:t>Se invita al CWS a:</w:t>
      </w:r>
    </w:p>
    <w:p w14:paraId="4F3122E9" w14:textId="101BDF7A" w:rsidR="00804163" w:rsidRPr="00804163" w:rsidRDefault="00804163" w:rsidP="00804163">
      <w:pPr>
        <w:pStyle w:val="ONUME"/>
        <w:numPr>
          <w:ilvl w:val="0"/>
          <w:numId w:val="0"/>
        </w:numPr>
        <w:tabs>
          <w:tab w:val="num" w:pos="1134"/>
          <w:tab w:val="num" w:pos="6101"/>
        </w:tabs>
        <w:spacing w:after="120"/>
        <w:ind w:left="6090"/>
        <w:rPr>
          <w:i/>
          <w:szCs w:val="22"/>
          <w:lang w:val="es-ES_tradnl"/>
        </w:rPr>
      </w:pPr>
      <w:r w:rsidRPr="00804163">
        <w:rPr>
          <w:i/>
          <w:lang w:val="es-ES_tradnl"/>
        </w:rPr>
        <w:tab/>
        <w:t>a)</w:t>
      </w:r>
      <w:r w:rsidRPr="00804163">
        <w:rPr>
          <w:i/>
          <w:lang w:val="es-ES_tradnl"/>
        </w:rPr>
        <w:tab/>
        <w:t>tomar nota del contenido del presente documento y de su Anexo;</w:t>
      </w:r>
    </w:p>
    <w:p w14:paraId="2B1532DE" w14:textId="1858F210" w:rsidR="00804163" w:rsidRPr="00804163" w:rsidRDefault="00804163" w:rsidP="00804163">
      <w:pPr>
        <w:pStyle w:val="ONUME"/>
        <w:numPr>
          <w:ilvl w:val="0"/>
          <w:numId w:val="0"/>
        </w:numPr>
        <w:tabs>
          <w:tab w:val="num" w:pos="1134"/>
          <w:tab w:val="num" w:pos="6101"/>
        </w:tabs>
        <w:spacing w:after="120"/>
        <w:ind w:left="6090"/>
        <w:rPr>
          <w:i/>
          <w:szCs w:val="22"/>
          <w:lang w:val="es-ES_tradnl"/>
        </w:rPr>
      </w:pPr>
      <w:r w:rsidRPr="00804163">
        <w:rPr>
          <w:i/>
          <w:lang w:val="es-ES_tradnl"/>
        </w:rPr>
        <w:t>b)</w:t>
      </w:r>
      <w:r w:rsidRPr="00804163">
        <w:rPr>
          <w:i/>
          <w:lang w:val="es-ES_tradnl"/>
        </w:rPr>
        <w:tab/>
        <w:t>examinar y aprobar el conjunto de recomendaciones que se expone en el Anexo del presente documento;</w:t>
      </w:r>
    </w:p>
    <w:p w14:paraId="674D298A" w14:textId="0342E5A3" w:rsidR="00804163" w:rsidRPr="00804163" w:rsidRDefault="00804163" w:rsidP="00804163">
      <w:pPr>
        <w:pStyle w:val="ONUME"/>
        <w:numPr>
          <w:ilvl w:val="0"/>
          <w:numId w:val="0"/>
        </w:numPr>
        <w:tabs>
          <w:tab w:val="num" w:pos="1134"/>
          <w:tab w:val="num" w:pos="6101"/>
        </w:tabs>
        <w:spacing w:after="120"/>
        <w:ind w:left="6090"/>
        <w:rPr>
          <w:i/>
          <w:szCs w:val="22"/>
          <w:lang w:val="es-ES_tradnl"/>
        </w:rPr>
      </w:pPr>
      <w:r w:rsidRPr="00804163">
        <w:rPr>
          <w:i/>
          <w:lang w:val="es-ES_tradnl"/>
        </w:rPr>
        <w:t>c)</w:t>
      </w:r>
      <w:r w:rsidRPr="00804163">
        <w:rPr>
          <w:i/>
          <w:lang w:val="es-ES_tradnl"/>
        </w:rPr>
        <w:tab/>
        <w:t>acordar que, en la Asamblea General de la OMPI de 2025, se presente el conjunto de recomendaciones, como se propone en el párrafo 10, y</w:t>
      </w:r>
    </w:p>
    <w:p w14:paraId="1EB0EB2D" w14:textId="5B08C4C5" w:rsidR="00804163" w:rsidRPr="00804163" w:rsidRDefault="00804163" w:rsidP="00804163">
      <w:pPr>
        <w:pStyle w:val="ONUME"/>
        <w:numPr>
          <w:ilvl w:val="0"/>
          <w:numId w:val="0"/>
        </w:numPr>
        <w:tabs>
          <w:tab w:val="num" w:pos="6101"/>
        </w:tabs>
        <w:spacing w:after="600"/>
        <w:ind w:left="6090"/>
        <w:rPr>
          <w:i/>
          <w:szCs w:val="22"/>
          <w:lang w:val="es-ES_tradnl"/>
        </w:rPr>
      </w:pPr>
      <w:r w:rsidRPr="00804163">
        <w:rPr>
          <w:i/>
          <w:lang w:val="es-ES_tradnl"/>
        </w:rPr>
        <w:t>d)</w:t>
      </w:r>
      <w:r w:rsidRPr="00804163">
        <w:rPr>
          <w:i/>
          <w:lang w:val="es-ES_tradnl"/>
        </w:rPr>
        <w:tab/>
        <w:t>alentar a sus Miembros a que apliquen el conjunto de recomendaciones y pedirles que compartan sus planes o experiencias al respecto en la próxima sesión del CWS, como se señala en el párrafo 10.</w:t>
      </w:r>
    </w:p>
    <w:p w14:paraId="0976DF44" w14:textId="263548C9" w:rsidR="00152CEA" w:rsidRPr="00804163" w:rsidRDefault="00804163" w:rsidP="00D01E62">
      <w:pPr>
        <w:pStyle w:val="Endofdocument"/>
        <w:ind w:left="5530"/>
        <w:rPr>
          <w:rFonts w:cs="Arial"/>
          <w:sz w:val="22"/>
          <w:szCs w:val="22"/>
          <w:lang w:val="es-ES_tradnl"/>
        </w:rPr>
      </w:pPr>
      <w:r w:rsidRPr="00804163">
        <w:rPr>
          <w:sz w:val="22"/>
          <w:lang w:val="es-ES_tradnl"/>
        </w:rPr>
        <w:t>[Sigue el Anexo]</w:t>
      </w:r>
    </w:p>
    <w:sectPr w:rsidR="00152CEA" w:rsidRPr="00804163" w:rsidSect="00D01E62">
      <w:headerReference w:type="default" r:id="rId8"/>
      <w:headerReference w:type="first" r:id="rId9"/>
      <w:pgSz w:w="11907" w:h="16840" w:code="9"/>
      <w:pgMar w:top="1531"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3953E" w14:textId="77777777" w:rsidR="00804163" w:rsidRDefault="00804163">
      <w:r>
        <w:separator/>
      </w:r>
    </w:p>
  </w:endnote>
  <w:endnote w:type="continuationSeparator" w:id="0">
    <w:p w14:paraId="7F9AA735" w14:textId="77777777" w:rsidR="00804163" w:rsidRPr="009D30E6" w:rsidRDefault="00804163" w:rsidP="007E663E">
      <w:pPr>
        <w:rPr>
          <w:sz w:val="17"/>
          <w:szCs w:val="17"/>
        </w:rPr>
      </w:pPr>
      <w:r w:rsidRPr="009D30E6">
        <w:rPr>
          <w:sz w:val="17"/>
          <w:szCs w:val="17"/>
        </w:rPr>
        <w:separator/>
      </w:r>
    </w:p>
    <w:p w14:paraId="6B0D91E4" w14:textId="77777777" w:rsidR="00804163" w:rsidRPr="007E663E" w:rsidRDefault="00804163" w:rsidP="007E663E">
      <w:pPr>
        <w:spacing w:after="60"/>
        <w:rPr>
          <w:sz w:val="17"/>
          <w:szCs w:val="17"/>
        </w:rPr>
      </w:pPr>
      <w:r>
        <w:rPr>
          <w:sz w:val="17"/>
        </w:rPr>
        <w:t>[Continuación de la nota de la página anterior]</w:t>
      </w:r>
    </w:p>
  </w:endnote>
  <w:endnote w:type="continuationNotice" w:id="1">
    <w:p w14:paraId="378F32F9" w14:textId="77777777" w:rsidR="00804163" w:rsidRPr="007E663E" w:rsidRDefault="0080416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EF707" w14:textId="77777777" w:rsidR="00804163" w:rsidRDefault="00804163">
      <w:r>
        <w:separator/>
      </w:r>
    </w:p>
  </w:footnote>
  <w:footnote w:type="continuationSeparator" w:id="0">
    <w:p w14:paraId="47DE85EB" w14:textId="77777777" w:rsidR="00804163" w:rsidRPr="009D30E6" w:rsidRDefault="00804163" w:rsidP="007E663E">
      <w:pPr>
        <w:rPr>
          <w:sz w:val="17"/>
          <w:szCs w:val="17"/>
        </w:rPr>
      </w:pPr>
      <w:r w:rsidRPr="009D30E6">
        <w:rPr>
          <w:sz w:val="17"/>
          <w:szCs w:val="17"/>
        </w:rPr>
        <w:separator/>
      </w:r>
    </w:p>
    <w:p w14:paraId="3EC47564" w14:textId="77777777" w:rsidR="00804163" w:rsidRPr="007E663E" w:rsidRDefault="00804163" w:rsidP="007E663E">
      <w:pPr>
        <w:spacing w:after="60"/>
        <w:rPr>
          <w:sz w:val="17"/>
          <w:szCs w:val="17"/>
        </w:rPr>
      </w:pPr>
      <w:r>
        <w:rPr>
          <w:sz w:val="17"/>
        </w:rPr>
        <w:t>[Continuación de la nota de la página anterior]</w:t>
      </w:r>
    </w:p>
  </w:footnote>
  <w:footnote w:type="continuationNotice" w:id="1">
    <w:p w14:paraId="353B6B48" w14:textId="77777777" w:rsidR="00804163" w:rsidRPr="007E663E" w:rsidRDefault="00804163"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918F5" w14:textId="77777777" w:rsidR="000B7D31" w:rsidRDefault="000B7D31" w:rsidP="00477D6B">
    <w:pPr>
      <w:jc w:val="right"/>
    </w:pPr>
    <w:r>
      <w:t>CWS/12/22</w:t>
    </w:r>
  </w:p>
  <w:p w14:paraId="3AD019C8" w14:textId="1521CB03" w:rsidR="000B7D31" w:rsidRDefault="000B7D31" w:rsidP="000B7D31">
    <w:pPr>
      <w:jc w:val="right"/>
    </w:pPr>
    <w:r>
      <w:t xml:space="preserve">Anexo, página </w:t>
    </w:r>
    <w:r>
      <w:fldChar w:fldCharType="begin"/>
    </w:r>
    <w:r>
      <w:instrText xml:space="preserve"> PAGE   \* MERGEFORMAT </w:instrText>
    </w:r>
    <w:r>
      <w:fldChar w:fldCharType="separate"/>
    </w:r>
    <w:r>
      <w:rPr>
        <w:noProof/>
      </w:rPr>
      <w:t>1</w:t>
    </w:r>
    <w:r>
      <w:rPr>
        <w:noProof/>
      </w:rPr>
      <w:fldChar w:fldCharType="end"/>
    </w:r>
  </w:p>
  <w:p w14:paraId="5C79EB04" w14:textId="77777777" w:rsidR="000B7D31" w:rsidRDefault="000B7D31"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DB3F" w14:textId="46C466F6" w:rsidR="000B7D31" w:rsidRDefault="000B7D31" w:rsidP="00D01E62">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2912B2"/>
    <w:multiLevelType w:val="multilevel"/>
    <w:tmpl w:val="F502D1C8"/>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77B08DD"/>
    <w:multiLevelType w:val="multilevel"/>
    <w:tmpl w:val="78FE2D3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7F7443"/>
    <w:multiLevelType w:val="multilevel"/>
    <w:tmpl w:val="ACF85282"/>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1BDD30AB"/>
    <w:multiLevelType w:val="multilevel"/>
    <w:tmpl w:val="2D4E92D6"/>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1E427DD7"/>
    <w:multiLevelType w:val="multilevel"/>
    <w:tmpl w:val="8C46E5A4"/>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7E6BCF"/>
    <w:multiLevelType w:val="multilevel"/>
    <w:tmpl w:val="18B410B8"/>
    <w:lvl w:ilvl="0">
      <w:start w:val="1"/>
      <w:numFmt w:val="lowerLetter"/>
      <w:lvlText w:val="%1)"/>
      <w:lvlJc w:val="left"/>
      <w:pPr>
        <w:tabs>
          <w:tab w:val="num" w:pos="360"/>
        </w:tabs>
        <w:ind w:left="360" w:hanging="360"/>
      </w:pPr>
      <w:rPr>
        <w:rFonts w:ascii="Arial" w:hAnsi="Arial" w:cs="Arial"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BF557B"/>
    <w:multiLevelType w:val="multilevel"/>
    <w:tmpl w:val="B58EB810"/>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6F8806F0"/>
    <w:multiLevelType w:val="hybridMultilevel"/>
    <w:tmpl w:val="A95CC4EC"/>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6C32E7"/>
    <w:multiLevelType w:val="multilevel"/>
    <w:tmpl w:val="3318A262"/>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71B336FE"/>
    <w:multiLevelType w:val="multilevel"/>
    <w:tmpl w:val="21981A2C"/>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7C7143B7"/>
    <w:multiLevelType w:val="multilevel"/>
    <w:tmpl w:val="342874C6"/>
    <w:lvl w:ilvl="0">
      <w:start w:val="1"/>
      <w:numFmt w:val="lowerLetter"/>
      <w:lvlText w:val="%1)"/>
      <w:lvlJc w:val="left"/>
      <w:pPr>
        <w:tabs>
          <w:tab w:val="num" w:pos="360"/>
        </w:tabs>
        <w:ind w:left="360" w:hanging="360"/>
      </w:pPr>
      <w:rPr>
        <w:rFonts w:hint="default"/>
        <w:sz w:val="20"/>
      </w:rPr>
    </w:lvl>
    <w:lvl w:ilvl="1">
      <w:start w:val="1"/>
      <w:numFmt w:val="lowerRoman"/>
      <w:lvlText w:val="%2."/>
      <w:lvlJc w:val="right"/>
      <w:pPr>
        <w:ind w:left="1080" w:hanging="360"/>
      </w:p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16cid:durableId="527987169">
    <w:abstractNumId w:val="4"/>
  </w:num>
  <w:num w:numId="2" w16cid:durableId="1368065899">
    <w:abstractNumId w:val="9"/>
  </w:num>
  <w:num w:numId="3" w16cid:durableId="1509633635">
    <w:abstractNumId w:val="0"/>
  </w:num>
  <w:num w:numId="4" w16cid:durableId="677849983">
    <w:abstractNumId w:val="11"/>
  </w:num>
  <w:num w:numId="5" w16cid:durableId="1988243437">
    <w:abstractNumId w:val="1"/>
  </w:num>
  <w:num w:numId="6" w16cid:durableId="2016496202">
    <w:abstractNumId w:val="8"/>
  </w:num>
  <w:num w:numId="7" w16cid:durableId="1130632369">
    <w:abstractNumId w:val="13"/>
  </w:num>
  <w:num w:numId="8" w16cid:durableId="1128162041">
    <w:abstractNumId w:val="10"/>
  </w:num>
  <w:num w:numId="9" w16cid:durableId="1155100633">
    <w:abstractNumId w:val="6"/>
  </w:num>
  <w:num w:numId="10" w16cid:durableId="723066093">
    <w:abstractNumId w:val="5"/>
  </w:num>
  <w:num w:numId="11" w16cid:durableId="1955017201">
    <w:abstractNumId w:val="12"/>
  </w:num>
  <w:num w:numId="12" w16cid:durableId="902789572">
    <w:abstractNumId w:val="16"/>
  </w:num>
  <w:num w:numId="13" w16cid:durableId="524488200">
    <w:abstractNumId w:val="2"/>
  </w:num>
  <w:num w:numId="14" w16cid:durableId="1958295609">
    <w:abstractNumId w:val="3"/>
  </w:num>
  <w:num w:numId="15" w16cid:durableId="533856955">
    <w:abstractNumId w:val="7"/>
  </w:num>
  <w:num w:numId="16" w16cid:durableId="1968199218">
    <w:abstractNumId w:val="14"/>
  </w:num>
  <w:num w:numId="17" w16cid:durableId="598665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63"/>
    <w:rsid w:val="000B7D31"/>
    <w:rsid w:val="000E3BB3"/>
    <w:rsid w:val="000E67FD"/>
    <w:rsid w:val="000F5E56"/>
    <w:rsid w:val="001362EE"/>
    <w:rsid w:val="00152CEA"/>
    <w:rsid w:val="001832A6"/>
    <w:rsid w:val="001C4DD3"/>
    <w:rsid w:val="001D50D1"/>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11D0C"/>
    <w:rsid w:val="0055013B"/>
    <w:rsid w:val="0056224D"/>
    <w:rsid w:val="00571B99"/>
    <w:rsid w:val="005D64EC"/>
    <w:rsid w:val="00605827"/>
    <w:rsid w:val="00615B8E"/>
    <w:rsid w:val="0066216D"/>
    <w:rsid w:val="00664847"/>
    <w:rsid w:val="00675021"/>
    <w:rsid w:val="006A06C6"/>
    <w:rsid w:val="00775869"/>
    <w:rsid w:val="007E63AC"/>
    <w:rsid w:val="007E663E"/>
    <w:rsid w:val="00804163"/>
    <w:rsid w:val="00815082"/>
    <w:rsid w:val="00843582"/>
    <w:rsid w:val="008B14EA"/>
    <w:rsid w:val="008B2CC1"/>
    <w:rsid w:val="0090731E"/>
    <w:rsid w:val="00966A22"/>
    <w:rsid w:val="00970F3D"/>
    <w:rsid w:val="00972F03"/>
    <w:rsid w:val="009A0C8B"/>
    <w:rsid w:val="009B6241"/>
    <w:rsid w:val="00A16FC0"/>
    <w:rsid w:val="00A32C9E"/>
    <w:rsid w:val="00A7453D"/>
    <w:rsid w:val="00AB613D"/>
    <w:rsid w:val="00B65A0A"/>
    <w:rsid w:val="00B72D36"/>
    <w:rsid w:val="00BA063E"/>
    <w:rsid w:val="00BC4164"/>
    <w:rsid w:val="00BD2DCC"/>
    <w:rsid w:val="00BE1A8C"/>
    <w:rsid w:val="00C06472"/>
    <w:rsid w:val="00C90559"/>
    <w:rsid w:val="00D01E62"/>
    <w:rsid w:val="00D36B79"/>
    <w:rsid w:val="00D40CF0"/>
    <w:rsid w:val="00D56C7C"/>
    <w:rsid w:val="00D71B4D"/>
    <w:rsid w:val="00D90289"/>
    <w:rsid w:val="00D93D55"/>
    <w:rsid w:val="00E45C84"/>
    <w:rsid w:val="00E504E5"/>
    <w:rsid w:val="00E5366E"/>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338FA"/>
  <w15:docId w15:val="{03C2B36B-10D7-404B-8AC5-1D7E594F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uiPriority w:val="9"/>
    <w:rsid w:val="00804163"/>
    <w:rPr>
      <w:rFonts w:ascii="Arial" w:eastAsia="SimSun" w:hAnsi="Arial" w:cs="Arial"/>
      <w:bCs/>
      <w:iCs/>
      <w:caps/>
      <w:sz w:val="22"/>
      <w:szCs w:val="28"/>
      <w:lang w:val="es-ES" w:eastAsia="zh-CN"/>
    </w:rPr>
  </w:style>
  <w:style w:type="character" w:customStyle="1" w:styleId="ONUMEChar">
    <w:name w:val="ONUM E Char"/>
    <w:basedOn w:val="DefaultParagraphFont"/>
    <w:link w:val="ONUME"/>
    <w:rsid w:val="00804163"/>
    <w:rPr>
      <w:rFonts w:ascii="Arial" w:eastAsia="SimSun" w:hAnsi="Arial" w:cs="Arial"/>
      <w:sz w:val="22"/>
      <w:lang w:val="es-ES" w:eastAsia="zh-CN"/>
    </w:rPr>
  </w:style>
  <w:style w:type="paragraph" w:customStyle="1" w:styleId="Endofdocument">
    <w:name w:val="End of document"/>
    <w:basedOn w:val="Normal"/>
    <w:rsid w:val="00804163"/>
    <w:pPr>
      <w:spacing w:line="260" w:lineRule="atLeast"/>
      <w:ind w:left="5534"/>
    </w:pPr>
    <w:rPr>
      <w:rFonts w:eastAsia="Times New Roman" w:cs="Times New Roman"/>
      <w:sz w:val="20"/>
      <w:lang w:eastAsia="en-US"/>
    </w:rPr>
  </w:style>
  <w:style w:type="character" w:styleId="Hyperlink">
    <w:name w:val="Hyperlink"/>
    <w:basedOn w:val="DefaultParagraphFont"/>
    <w:uiPriority w:val="99"/>
    <w:unhideWhenUsed/>
    <w:rsid w:val="000B7D31"/>
    <w:rPr>
      <w:color w:val="0000FF" w:themeColor="hyperlink"/>
      <w:u w:val="single"/>
    </w:rPr>
  </w:style>
  <w:style w:type="character" w:customStyle="1" w:styleId="FootnoteTextChar">
    <w:name w:val="Footnote Text Char"/>
    <w:basedOn w:val="DefaultParagraphFont"/>
    <w:link w:val="FootnoteText"/>
    <w:uiPriority w:val="99"/>
    <w:semiHidden/>
    <w:rsid w:val="000B7D31"/>
    <w:rPr>
      <w:rFonts w:ascii="Arial" w:eastAsia="SimSun" w:hAnsi="Arial" w:cs="Arial"/>
      <w:sz w:val="18"/>
      <w:lang w:val="es-ES" w:eastAsia="zh-CN"/>
    </w:rPr>
  </w:style>
  <w:style w:type="character" w:styleId="FootnoteReference">
    <w:name w:val="footnote reference"/>
    <w:basedOn w:val="DefaultParagraphFont"/>
    <w:uiPriority w:val="99"/>
    <w:semiHidden/>
    <w:unhideWhenUsed/>
    <w:rsid w:val="000B7D31"/>
    <w:rPr>
      <w:vertAlign w:val="superscript"/>
    </w:rPr>
  </w:style>
  <w:style w:type="paragraph" w:customStyle="1" w:styleId="paragraph">
    <w:name w:val="paragraph"/>
    <w:basedOn w:val="Normal"/>
    <w:rsid w:val="000B7D31"/>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0B7D31"/>
  </w:style>
  <w:style w:type="character" w:customStyle="1" w:styleId="eop">
    <w:name w:val="eop"/>
    <w:basedOn w:val="DefaultParagraphFont"/>
    <w:rsid w:val="000B7D31"/>
  </w:style>
  <w:style w:type="character" w:customStyle="1" w:styleId="HeaderChar">
    <w:name w:val="Header Char"/>
    <w:basedOn w:val="DefaultParagraphFont"/>
    <w:link w:val="Header"/>
    <w:uiPriority w:val="99"/>
    <w:rsid w:val="000B7D31"/>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(S).dotm</Template>
  <TotalTime>24</TotalTime>
  <Pages>3</Pages>
  <Words>922</Words>
  <Characters>4727</Characters>
  <Application>Microsoft Office Word</Application>
  <DocSecurity>0</DocSecurity>
  <Lines>152</Lines>
  <Paragraphs>58</Paragraphs>
  <ScaleCrop>false</ScaleCrop>
  <HeadingPairs>
    <vt:vector size="2" baseType="variant">
      <vt:variant>
        <vt:lpstr>Title</vt:lpstr>
      </vt:variant>
      <vt:variant>
        <vt:i4>1</vt:i4>
      </vt:variant>
    </vt:vector>
  </HeadingPairs>
  <TitlesOfParts>
    <vt:vector size="1" baseType="lpstr">
      <vt:lpstr>CWS/12/22</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CWS/12/22</dc:title>
  <dc:creator>WIPO</dc:creator>
  <cp:keywords/>
  <cp:lastModifiedBy>BLANCHET Gaspard</cp:lastModifiedBy>
  <cp:revision>7</cp:revision>
  <dcterms:created xsi:type="dcterms:W3CDTF">2024-07-23T13:03:00Z</dcterms:created>
  <dcterms:modified xsi:type="dcterms:W3CDTF">2024-07-25T09:28:00Z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2024-07-23T13:03:51Z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d103176d-c0de-492a-8808-64ff14281730</vt:lpwstr>
  </property>
  <property fmtid="{D5CDD505-2E9C-101B-9397-08002B2CF9AE}" pid="14" name="MSIP_Label_20773ee6-353b-4fb9-a59d-0b94c8c67bea_ContentBits">
    <vt:lpwstr>0</vt:lpwstr>
  </property>
</Properties>
</file>