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A2F78F" w14:textId="77777777" w:rsidR="008B2CC1" w:rsidRPr="00B41A9D" w:rsidRDefault="008B14EA" w:rsidP="008B14EA">
      <w:pPr>
        <w:spacing w:after="120"/>
        <w:jc w:val="right"/>
        <w:rPr>
          <w:lang w:val="es-ES_tradnl"/>
        </w:rPr>
      </w:pPr>
      <w:r w:rsidRPr="00B41A9D">
        <w:rPr>
          <w:noProof/>
          <w:lang w:val="es-ES_tradnl" w:eastAsia="en-US"/>
        </w:rPr>
        <w:drawing>
          <wp:inline distT="0" distB="0" distL="0" distR="0" wp14:anchorId="74F707D7" wp14:editId="43F4C807">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7">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B41A9D">
        <w:rPr>
          <w:rFonts w:ascii="Arial Black" w:hAnsi="Arial Black"/>
          <w:caps/>
          <w:noProof/>
          <w:sz w:val="15"/>
          <w:szCs w:val="15"/>
          <w:lang w:val="es-ES_tradnl" w:eastAsia="en-US"/>
        </w:rPr>
        <mc:AlternateContent>
          <mc:Choice Requires="wps">
            <w:drawing>
              <wp:inline distT="0" distB="0" distL="0" distR="0" wp14:anchorId="20AA9760" wp14:editId="4B7E07C1">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03B53A7"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1DFFCF2A" w14:textId="77777777" w:rsidR="008B2CC1" w:rsidRPr="00B41A9D" w:rsidRDefault="0066216D" w:rsidP="008B14EA">
      <w:pPr>
        <w:jc w:val="right"/>
        <w:rPr>
          <w:rFonts w:ascii="Arial Black" w:hAnsi="Arial Black"/>
          <w:caps/>
          <w:sz w:val="15"/>
          <w:lang w:val="es-ES_tradnl"/>
        </w:rPr>
      </w:pPr>
      <w:r w:rsidRPr="00B41A9D">
        <w:rPr>
          <w:rFonts w:ascii="Arial Black" w:hAnsi="Arial Black"/>
          <w:caps/>
          <w:sz w:val="15"/>
          <w:lang w:val="es-ES_tradnl"/>
        </w:rPr>
        <w:t>CWS/1</w:t>
      </w:r>
      <w:r w:rsidR="00970F3D" w:rsidRPr="00B41A9D">
        <w:rPr>
          <w:rFonts w:ascii="Arial Black" w:hAnsi="Arial Black"/>
          <w:caps/>
          <w:sz w:val="15"/>
          <w:lang w:val="es-ES_tradnl"/>
        </w:rPr>
        <w:t>2</w:t>
      </w:r>
      <w:r w:rsidRPr="00B41A9D">
        <w:rPr>
          <w:rFonts w:ascii="Arial Black" w:hAnsi="Arial Black"/>
          <w:caps/>
          <w:sz w:val="15"/>
          <w:lang w:val="es-ES_tradnl"/>
        </w:rPr>
        <w:t>/</w:t>
      </w:r>
      <w:bookmarkStart w:id="0" w:name="Code"/>
      <w:bookmarkEnd w:id="0"/>
      <w:r w:rsidR="00B41A9D" w:rsidRPr="00B41A9D">
        <w:rPr>
          <w:rFonts w:ascii="Arial Black" w:hAnsi="Arial Black"/>
          <w:caps/>
          <w:sz w:val="15"/>
          <w:lang w:val="es-ES_tradnl"/>
        </w:rPr>
        <w:t>14</w:t>
      </w:r>
    </w:p>
    <w:p w14:paraId="79BB4A28" w14:textId="77777777" w:rsidR="008B2CC1" w:rsidRPr="00B41A9D" w:rsidRDefault="008B14EA" w:rsidP="008B14EA">
      <w:pPr>
        <w:jc w:val="right"/>
        <w:rPr>
          <w:rFonts w:ascii="Arial Black" w:hAnsi="Arial Black"/>
          <w:caps/>
          <w:sz w:val="15"/>
          <w:lang w:val="es-ES_tradnl"/>
        </w:rPr>
      </w:pPr>
      <w:r w:rsidRPr="00B41A9D">
        <w:rPr>
          <w:rFonts w:ascii="Arial Black" w:hAnsi="Arial Black"/>
          <w:caps/>
          <w:sz w:val="15"/>
          <w:lang w:val="es-ES_tradnl"/>
        </w:rPr>
        <w:t xml:space="preserve">ORIGINAL: </w:t>
      </w:r>
      <w:bookmarkStart w:id="1" w:name="Original"/>
      <w:r w:rsidR="00B41A9D" w:rsidRPr="00B41A9D">
        <w:rPr>
          <w:rFonts w:ascii="Arial Black" w:hAnsi="Arial Black"/>
          <w:caps/>
          <w:sz w:val="15"/>
          <w:lang w:val="es-ES_tradnl"/>
        </w:rPr>
        <w:t>INGLÉS</w:t>
      </w:r>
    </w:p>
    <w:bookmarkEnd w:id="1"/>
    <w:p w14:paraId="2118E0D0" w14:textId="77777777" w:rsidR="008B2CC1" w:rsidRPr="00B41A9D" w:rsidRDefault="008B14EA" w:rsidP="008B14EA">
      <w:pPr>
        <w:spacing w:after="1200"/>
        <w:jc w:val="right"/>
        <w:rPr>
          <w:rFonts w:ascii="Arial Black" w:hAnsi="Arial Black"/>
          <w:caps/>
          <w:sz w:val="15"/>
          <w:lang w:val="es-ES_tradnl"/>
        </w:rPr>
      </w:pPr>
      <w:r w:rsidRPr="00B41A9D">
        <w:rPr>
          <w:rFonts w:ascii="Arial Black" w:hAnsi="Arial Black"/>
          <w:caps/>
          <w:sz w:val="15"/>
          <w:lang w:val="es-ES_tradnl"/>
        </w:rPr>
        <w:t xml:space="preserve">FECHA: </w:t>
      </w:r>
      <w:bookmarkStart w:id="2" w:name="Date"/>
      <w:r w:rsidR="00B41A9D" w:rsidRPr="00B41A9D">
        <w:rPr>
          <w:rFonts w:ascii="Arial Black" w:hAnsi="Arial Black"/>
          <w:caps/>
          <w:sz w:val="15"/>
          <w:lang w:val="es-ES_tradnl"/>
        </w:rPr>
        <w:t>18 DE JULIO DE 2024</w:t>
      </w:r>
    </w:p>
    <w:bookmarkEnd w:id="2"/>
    <w:p w14:paraId="52753DD7" w14:textId="77777777" w:rsidR="008B2CC1" w:rsidRPr="00B41A9D" w:rsidRDefault="0066216D" w:rsidP="008B14EA">
      <w:pPr>
        <w:spacing w:after="600"/>
        <w:rPr>
          <w:b/>
          <w:sz w:val="28"/>
          <w:szCs w:val="28"/>
          <w:lang w:val="es-ES_tradnl"/>
        </w:rPr>
      </w:pPr>
      <w:r w:rsidRPr="00B41A9D">
        <w:rPr>
          <w:b/>
          <w:sz w:val="28"/>
          <w:szCs w:val="28"/>
          <w:lang w:val="es-ES_tradnl"/>
        </w:rPr>
        <w:t>Comité de Normas Técnicas de la OMPI (CWS)</w:t>
      </w:r>
    </w:p>
    <w:p w14:paraId="76D2365F" w14:textId="77777777" w:rsidR="00511D0C" w:rsidRPr="00B41A9D" w:rsidRDefault="00970F3D" w:rsidP="00511D0C">
      <w:pPr>
        <w:rPr>
          <w:b/>
          <w:sz w:val="28"/>
          <w:szCs w:val="24"/>
          <w:lang w:val="es-ES_tradnl"/>
        </w:rPr>
      </w:pPr>
      <w:r w:rsidRPr="00B41A9D">
        <w:rPr>
          <w:b/>
          <w:sz w:val="24"/>
          <w:lang w:val="es-ES_tradnl"/>
        </w:rPr>
        <w:t>Duodécima</w:t>
      </w:r>
      <w:r w:rsidR="0066216D" w:rsidRPr="00B41A9D">
        <w:rPr>
          <w:b/>
          <w:sz w:val="24"/>
          <w:lang w:val="es-ES_tradnl"/>
        </w:rPr>
        <w:t xml:space="preserve"> sesión</w:t>
      </w:r>
    </w:p>
    <w:p w14:paraId="797CCF79" w14:textId="5E9C3859" w:rsidR="008B2CC1" w:rsidRPr="00B41A9D" w:rsidRDefault="0066216D" w:rsidP="008B14EA">
      <w:pPr>
        <w:spacing w:after="720"/>
        <w:rPr>
          <w:b/>
          <w:sz w:val="28"/>
          <w:szCs w:val="24"/>
          <w:lang w:val="es-ES_tradnl"/>
        </w:rPr>
      </w:pPr>
      <w:r w:rsidRPr="00B41A9D">
        <w:rPr>
          <w:b/>
          <w:sz w:val="24"/>
          <w:lang w:val="es-ES_tradnl"/>
        </w:rPr>
        <w:t xml:space="preserve">Ginebra, </w:t>
      </w:r>
      <w:r w:rsidR="00970F3D" w:rsidRPr="00B41A9D">
        <w:rPr>
          <w:b/>
          <w:sz w:val="24"/>
          <w:lang w:val="es-ES_tradnl"/>
        </w:rPr>
        <w:t xml:space="preserve">16 a </w:t>
      </w:r>
      <w:r w:rsidR="00882397">
        <w:rPr>
          <w:b/>
          <w:sz w:val="24"/>
          <w:lang w:val="es-ES_tradnl"/>
        </w:rPr>
        <w:t>19</w:t>
      </w:r>
      <w:r w:rsidR="00970F3D" w:rsidRPr="00B41A9D">
        <w:rPr>
          <w:b/>
          <w:sz w:val="24"/>
          <w:lang w:val="es-ES_tradnl"/>
        </w:rPr>
        <w:t xml:space="preserve"> de septiembre de 2024</w:t>
      </w:r>
    </w:p>
    <w:p w14:paraId="443043A0" w14:textId="134E2AF3" w:rsidR="008B2CC1" w:rsidRPr="00B41A9D" w:rsidRDefault="00B41A9D" w:rsidP="008B14EA">
      <w:pPr>
        <w:spacing w:after="360"/>
        <w:rPr>
          <w:caps/>
          <w:sz w:val="24"/>
          <w:lang w:val="es-ES_tradnl"/>
        </w:rPr>
      </w:pPr>
      <w:bookmarkStart w:id="3" w:name="TitleOfDoc"/>
      <w:r w:rsidRPr="00B41A9D">
        <w:rPr>
          <w:caps/>
          <w:sz w:val="24"/>
          <w:lang w:val="es-ES_tradnl"/>
        </w:rPr>
        <w:t>Informe de la Oficina Internacional sobre la tarea n.° 66</w:t>
      </w:r>
    </w:p>
    <w:p w14:paraId="0A9F35E8" w14:textId="07F5BDE0" w:rsidR="008B2CC1" w:rsidRPr="00B41A9D" w:rsidRDefault="00B41A9D" w:rsidP="008B14EA">
      <w:pPr>
        <w:spacing w:after="960"/>
        <w:rPr>
          <w:i/>
          <w:lang w:val="es-ES_tradnl"/>
        </w:rPr>
      </w:pPr>
      <w:bookmarkStart w:id="4" w:name="Prepared"/>
      <w:bookmarkEnd w:id="3"/>
      <w:r w:rsidRPr="00B41A9D">
        <w:rPr>
          <w:i/>
          <w:lang w:val="es-ES_tradnl"/>
        </w:rPr>
        <w:t>preparado por la Oficina Internacional</w:t>
      </w:r>
    </w:p>
    <w:bookmarkEnd w:id="4"/>
    <w:p w14:paraId="7E7FFA1C" w14:textId="77777777" w:rsidR="00B41A9D" w:rsidRPr="00B41A9D" w:rsidRDefault="00B41A9D" w:rsidP="00B41A9D">
      <w:pPr>
        <w:pStyle w:val="Heading2"/>
        <w:keepNext w:val="0"/>
        <w:spacing w:before="0" w:after="120"/>
        <w:rPr>
          <w:lang w:val="es-ES_tradnl"/>
        </w:rPr>
      </w:pPr>
      <w:r w:rsidRPr="00B41A9D">
        <w:rPr>
          <w:lang w:val="es-ES_tradnl"/>
        </w:rPr>
        <w:t>Resumen</w:t>
      </w:r>
    </w:p>
    <w:p w14:paraId="0EAB001B" w14:textId="6D12E788" w:rsidR="00B41A9D" w:rsidRPr="00B41A9D" w:rsidRDefault="00B41A9D" w:rsidP="00B41A9D">
      <w:pPr>
        <w:spacing w:after="480"/>
        <w:rPr>
          <w:lang w:val="es-ES_tradnl"/>
        </w:rPr>
      </w:pPr>
      <w:r w:rsidRPr="00B41A9D">
        <w:rPr>
          <w:lang w:val="es-ES_tradnl"/>
        </w:rPr>
        <w:fldChar w:fldCharType="begin"/>
      </w:r>
      <w:r w:rsidRPr="00B41A9D">
        <w:rPr>
          <w:lang w:val="es-ES_tradnl"/>
        </w:rPr>
        <w:instrText xml:space="preserve"> AUTONUM  </w:instrText>
      </w:r>
      <w:r w:rsidRPr="00B41A9D">
        <w:rPr>
          <w:lang w:val="es-ES_tradnl"/>
        </w:rPr>
        <w:fldChar w:fldCharType="end"/>
      </w:r>
      <w:r w:rsidRPr="00B41A9D">
        <w:rPr>
          <w:lang w:val="es-ES_tradnl"/>
        </w:rPr>
        <w:tab/>
        <w:t>La Oficina Internacional presenta un informe de situación sobre la tarea n.° 66, que incluye su labor de elaboración de talleres de apoyo a las Oficinas de propiedad intelectual (PI), en diversas fases de la creación de su fichero de referencia conforme a la Norma ST.37 de la OMPI.</w:t>
      </w:r>
    </w:p>
    <w:p w14:paraId="324E0839" w14:textId="77777777" w:rsidR="00B41A9D" w:rsidRPr="00B41A9D" w:rsidRDefault="00B41A9D" w:rsidP="00B41A9D">
      <w:pPr>
        <w:pStyle w:val="Heading2"/>
        <w:keepNext w:val="0"/>
        <w:spacing w:before="0" w:after="120"/>
        <w:rPr>
          <w:lang w:val="es-ES_tradnl"/>
        </w:rPr>
      </w:pPr>
      <w:r w:rsidRPr="00B41A9D">
        <w:rPr>
          <w:lang w:val="es-ES_tradnl"/>
        </w:rPr>
        <w:t>Antecedentes</w:t>
      </w:r>
    </w:p>
    <w:p w14:paraId="769E49B2" w14:textId="1D059AF5" w:rsidR="00B41A9D" w:rsidRPr="00B41A9D" w:rsidRDefault="00B41A9D" w:rsidP="00B41A9D">
      <w:pPr>
        <w:spacing w:after="240"/>
        <w:rPr>
          <w:lang w:val="es-ES_tradnl"/>
        </w:rPr>
      </w:pPr>
      <w:r w:rsidRPr="00B41A9D">
        <w:rPr>
          <w:lang w:val="es-ES_tradnl"/>
        </w:rPr>
        <w:fldChar w:fldCharType="begin"/>
      </w:r>
      <w:r w:rsidRPr="00B41A9D">
        <w:rPr>
          <w:lang w:val="es-ES_tradnl"/>
        </w:rPr>
        <w:instrText xml:space="preserve"> AUTONUM  </w:instrText>
      </w:r>
      <w:r w:rsidRPr="00B41A9D">
        <w:rPr>
          <w:lang w:val="es-ES_tradnl"/>
        </w:rPr>
        <w:fldChar w:fldCharType="end"/>
      </w:r>
      <w:r w:rsidRPr="00B41A9D">
        <w:rPr>
          <w:lang w:val="es-ES_tradnl"/>
        </w:rPr>
        <w:tab/>
        <w:t>En su undécima sesión, el Comité de Normas Técnicas de la OMPI (CWS) examinó una propuesta de nueva tarea para apoyar a las Oficinas de PI en la elaboración de sus ficheros de referencia conformes con la Norma ST.37 de la OMPI, especialmente a la luz de los acuerdos alcanzados por los órganos del Tratado de Cooperación en materia de Patentes (PCT) en relación con la documentación mínima del PCT (véase el párrafo 6 del documento CWS/11/15). El CWS aprobó la nueva tarea n.° 66, con la siguiente descripción:</w:t>
      </w:r>
    </w:p>
    <w:p w14:paraId="50A24AF3" w14:textId="5E4DE339" w:rsidR="00B41A9D" w:rsidRPr="00B41A9D" w:rsidRDefault="00B41A9D" w:rsidP="00B41A9D">
      <w:pPr>
        <w:spacing w:after="240"/>
        <w:rPr>
          <w:i/>
          <w:iCs/>
          <w:lang w:val="es-ES_tradnl"/>
        </w:rPr>
      </w:pPr>
      <w:r w:rsidRPr="00B41A9D">
        <w:rPr>
          <w:lang w:val="es-ES_tradnl"/>
        </w:rPr>
        <w:tab/>
        <w:t>“</w:t>
      </w:r>
      <w:r w:rsidRPr="00B41A9D">
        <w:rPr>
          <w:i/>
          <w:lang w:val="es-ES_tradnl"/>
        </w:rPr>
        <w:t>Alentar a las Oficinas de PI a que presenten su fichero de referencia de patentes de conformidad con la Norma ST.37 de la OMPI, prestando toda la asistencia técnica o formación necesaria, en función de los recursos disponibles.</w:t>
      </w:r>
      <w:r w:rsidRPr="00B41A9D">
        <w:rPr>
          <w:lang w:val="es-ES_tradnl"/>
        </w:rPr>
        <w:t>”</w:t>
      </w:r>
    </w:p>
    <w:p w14:paraId="23FD28FA" w14:textId="48AA80E8" w:rsidR="00B41A9D" w:rsidRPr="00B41A9D" w:rsidRDefault="00B41A9D" w:rsidP="00B41A9D">
      <w:pPr>
        <w:spacing w:after="480"/>
        <w:rPr>
          <w:lang w:val="es-ES_tradnl"/>
        </w:rPr>
      </w:pPr>
      <w:r w:rsidRPr="00B41A9D">
        <w:rPr>
          <w:lang w:val="es-ES_tradnl"/>
        </w:rPr>
        <w:fldChar w:fldCharType="begin"/>
      </w:r>
      <w:r w:rsidRPr="00B41A9D">
        <w:rPr>
          <w:lang w:val="es-ES_tradnl"/>
        </w:rPr>
        <w:instrText xml:space="preserve"> AUTONUM  </w:instrText>
      </w:r>
      <w:r w:rsidRPr="00B41A9D">
        <w:rPr>
          <w:lang w:val="es-ES_tradnl"/>
        </w:rPr>
        <w:fldChar w:fldCharType="end"/>
      </w:r>
      <w:r w:rsidRPr="00B41A9D">
        <w:rPr>
          <w:lang w:val="es-ES_tradnl"/>
        </w:rPr>
        <w:tab/>
        <w:t xml:space="preserve">En la misma sesión, el CWS designó a la Oficina Internacional como responsable de la tarea y señaló que la tarea podrá considerarse finalizada una vez que todas las Oficinas de PI que contribuyen tanto al inventario de documentación mínima del PCT como a la base de datos PATENTSCOPE hayan proporcionado a la Oficina Internacional un fichero de referencia conforme a la Norma ST.37 de la OMPI. Para poder iniciar la labor de la nueva tarea, el CWS pidió a las Oficinas de PI que comunicaran a la Oficina Internacional el tipo de apoyo que sería </w:t>
      </w:r>
      <w:r w:rsidRPr="00B41A9D">
        <w:rPr>
          <w:lang w:val="es-ES_tradnl"/>
        </w:rPr>
        <w:lastRenderedPageBreak/>
        <w:t>necesario para la elaboración de ficheros de referencia conformes a la Norma ST.37 de la OMPI. (Párrafos 30 y 32 del documento CWS/11/28)</w:t>
      </w:r>
    </w:p>
    <w:p w14:paraId="4219B43F" w14:textId="77777777" w:rsidR="00B41A9D" w:rsidRPr="00B41A9D" w:rsidRDefault="00B41A9D" w:rsidP="00B41A9D">
      <w:pPr>
        <w:pStyle w:val="Heading2"/>
        <w:keepNext w:val="0"/>
        <w:spacing w:before="0" w:after="240"/>
        <w:rPr>
          <w:lang w:val="es-ES_tradnl"/>
        </w:rPr>
      </w:pPr>
      <w:r w:rsidRPr="00B41A9D">
        <w:rPr>
          <w:lang w:val="es-ES_tradnl"/>
        </w:rPr>
        <w:t>Informe de situación sobre la tarea n.° 66</w:t>
      </w:r>
    </w:p>
    <w:p w14:paraId="6F249BEB" w14:textId="77777777" w:rsidR="00B41A9D" w:rsidRPr="00B41A9D" w:rsidRDefault="00B41A9D" w:rsidP="00B41A9D">
      <w:pPr>
        <w:pStyle w:val="Heading3"/>
        <w:keepNext w:val="0"/>
        <w:spacing w:before="0" w:after="120"/>
        <w:rPr>
          <w:lang w:val="es-ES_tradnl"/>
        </w:rPr>
      </w:pPr>
      <w:r w:rsidRPr="00B41A9D">
        <w:rPr>
          <w:lang w:val="es-ES_tradnl"/>
        </w:rPr>
        <w:t>Objetivos</w:t>
      </w:r>
    </w:p>
    <w:p w14:paraId="6A7E67B3" w14:textId="77777777" w:rsidR="00B41A9D" w:rsidRPr="00B41A9D" w:rsidRDefault="00B41A9D" w:rsidP="00B41A9D">
      <w:pPr>
        <w:spacing w:after="240"/>
        <w:rPr>
          <w:lang w:val="es-ES_tradnl"/>
        </w:rPr>
      </w:pPr>
      <w:r w:rsidRPr="00B41A9D">
        <w:rPr>
          <w:lang w:val="es-ES_tradnl"/>
        </w:rPr>
        <w:fldChar w:fldCharType="begin"/>
      </w:r>
      <w:r w:rsidRPr="00B41A9D">
        <w:rPr>
          <w:lang w:val="es-ES_tradnl"/>
        </w:rPr>
        <w:instrText xml:space="preserve"> AUTONUM  </w:instrText>
      </w:r>
      <w:r w:rsidRPr="00B41A9D">
        <w:rPr>
          <w:lang w:val="es-ES_tradnl"/>
        </w:rPr>
        <w:fldChar w:fldCharType="end"/>
      </w:r>
      <w:r w:rsidRPr="00B41A9D">
        <w:rPr>
          <w:lang w:val="es-ES_tradnl"/>
        </w:rPr>
        <w:tab/>
        <w:t>Los objetivos que la Oficina Internacional desea alcanzar en el marco de la tarea n.° 66 son los siguientes:</w:t>
      </w:r>
    </w:p>
    <w:p w14:paraId="0E5D3C6F" w14:textId="1B90BACD" w:rsidR="00B41A9D" w:rsidRPr="00B41A9D" w:rsidRDefault="00B41A9D" w:rsidP="00B41A9D">
      <w:pPr>
        <w:pStyle w:val="ListParagraph"/>
        <w:numPr>
          <w:ilvl w:val="0"/>
          <w:numId w:val="9"/>
        </w:numPr>
        <w:spacing w:after="120"/>
        <w:ind w:left="714" w:hanging="357"/>
        <w:contextualSpacing w:val="0"/>
        <w:rPr>
          <w:lang w:val="es-ES_tradnl"/>
        </w:rPr>
      </w:pPr>
      <w:r w:rsidRPr="00B41A9D">
        <w:rPr>
          <w:lang w:val="es-ES_tradnl"/>
        </w:rPr>
        <w:t xml:space="preserve">Aumentar el número de ficheros de referencia conformes con la Norma ST.37 que están disponibles en el </w:t>
      </w:r>
      <w:hyperlink r:id="rId8" w:history="1">
        <w:r w:rsidRPr="00B41A9D">
          <w:rPr>
            <w:rStyle w:val="Hyperlink"/>
            <w:lang w:val="es-ES_tradnl"/>
          </w:rPr>
          <w:t>portal de ficheros de referencia de la OMPI</w:t>
        </w:r>
      </w:hyperlink>
      <w:r w:rsidRPr="00B41A9D">
        <w:rPr>
          <w:lang w:val="es-ES_tradnl"/>
        </w:rPr>
        <w:t>; y</w:t>
      </w:r>
    </w:p>
    <w:p w14:paraId="29E43236" w14:textId="719DEFE3" w:rsidR="00B41A9D" w:rsidRPr="00B41A9D" w:rsidRDefault="00B41A9D" w:rsidP="00B41A9D">
      <w:pPr>
        <w:pStyle w:val="ListParagraph"/>
        <w:numPr>
          <w:ilvl w:val="0"/>
          <w:numId w:val="9"/>
        </w:numPr>
        <w:spacing w:after="360"/>
        <w:ind w:left="714" w:hanging="357"/>
        <w:contextualSpacing w:val="0"/>
        <w:rPr>
          <w:lang w:val="es-ES_tradnl"/>
        </w:rPr>
      </w:pPr>
      <w:r w:rsidRPr="00B41A9D">
        <w:rPr>
          <w:lang w:val="es-ES_tradnl"/>
        </w:rPr>
        <w:t>Apoyar las actividades del Equipo Técnico sobre Documentación Mínima del PCT.</w:t>
      </w:r>
    </w:p>
    <w:p w14:paraId="32670AD3" w14:textId="77777777" w:rsidR="00B41A9D" w:rsidRPr="00B41A9D" w:rsidRDefault="00B41A9D" w:rsidP="00B41A9D">
      <w:pPr>
        <w:pStyle w:val="Heading3"/>
        <w:keepNext w:val="0"/>
        <w:spacing w:before="0" w:after="120"/>
        <w:rPr>
          <w:lang w:val="es-ES_tradnl"/>
        </w:rPr>
      </w:pPr>
      <w:r w:rsidRPr="00B41A9D">
        <w:rPr>
          <w:lang w:val="es-ES_tradnl"/>
        </w:rPr>
        <w:t>Situación</w:t>
      </w:r>
    </w:p>
    <w:p w14:paraId="361705E3" w14:textId="2F729906" w:rsidR="00B41A9D" w:rsidRPr="00B41A9D" w:rsidRDefault="00B41A9D" w:rsidP="00B41A9D">
      <w:pPr>
        <w:spacing w:after="240"/>
        <w:rPr>
          <w:lang w:val="es-ES_tradnl"/>
        </w:rPr>
      </w:pPr>
      <w:r w:rsidRPr="00B41A9D">
        <w:rPr>
          <w:lang w:val="es-ES_tradnl"/>
        </w:rPr>
        <w:fldChar w:fldCharType="begin"/>
      </w:r>
      <w:r w:rsidRPr="00B41A9D">
        <w:rPr>
          <w:lang w:val="es-ES_tradnl"/>
        </w:rPr>
        <w:instrText xml:space="preserve"> AUTONUM  </w:instrText>
      </w:r>
      <w:r w:rsidRPr="00B41A9D">
        <w:rPr>
          <w:lang w:val="es-ES_tradnl"/>
        </w:rPr>
        <w:fldChar w:fldCharType="end"/>
      </w:r>
      <w:r w:rsidRPr="00B41A9D">
        <w:rPr>
          <w:lang w:val="es-ES_tradnl"/>
        </w:rPr>
        <w:tab/>
        <w:t xml:space="preserve">Tras la undécima sesión del CWS, la Secretaría envió la circular </w:t>
      </w:r>
      <w:hyperlink r:id="rId9" w:history="1">
        <w:r w:rsidRPr="00B41A9D">
          <w:rPr>
            <w:rStyle w:val="Hyperlink"/>
            <w:lang w:val="es-ES_tradnl"/>
          </w:rPr>
          <w:t>C.CWS 177</w:t>
        </w:r>
      </w:hyperlink>
      <w:r w:rsidRPr="00B41A9D">
        <w:rPr>
          <w:lang w:val="es-ES_tradnl"/>
        </w:rPr>
        <w:t xml:space="preserve"> en la que invitaba a las Oficinas de PI a proporcionar la actualización anual de su fichero de referencia publicado, así como las peticiones de apoyo que pudieran tener. Al no haberse recibido ninguna respuesta de las Oficinas a la circular sobre el apoyo necesario, es difícil determinar con exactitud qué debe hacer la Oficina Internacional para prestarles apoyo. </w:t>
      </w:r>
    </w:p>
    <w:p w14:paraId="2C49A903" w14:textId="44ABCBDD" w:rsidR="00B41A9D" w:rsidRPr="00B41A9D" w:rsidRDefault="00B41A9D" w:rsidP="00B41A9D">
      <w:pPr>
        <w:spacing w:after="240"/>
        <w:rPr>
          <w:lang w:val="es-ES_tradnl"/>
        </w:rPr>
      </w:pPr>
      <w:r w:rsidRPr="00B41A9D">
        <w:rPr>
          <w:lang w:val="es-ES_tradnl"/>
        </w:rPr>
        <w:fldChar w:fldCharType="begin"/>
      </w:r>
      <w:r w:rsidRPr="00B41A9D">
        <w:rPr>
          <w:lang w:val="es-ES_tradnl"/>
        </w:rPr>
        <w:instrText xml:space="preserve"> AUTONUM  </w:instrText>
      </w:r>
      <w:r w:rsidRPr="00B41A9D">
        <w:rPr>
          <w:lang w:val="es-ES_tradnl"/>
        </w:rPr>
        <w:fldChar w:fldCharType="end"/>
      </w:r>
      <w:r w:rsidRPr="00B41A9D">
        <w:rPr>
          <w:lang w:val="es-ES_tradnl"/>
        </w:rPr>
        <w:tab/>
        <w:t xml:space="preserve">El Equipo Técnico sobre Documentación Mínima del PCT celebró su séptima sesión en abril de 2024. En esa reunión se acordó actualizar las Instrucciones Administrativas del PCT, incluida una actualización del Anexo H. También se pidió a las Oficinas del Equipo Técnico que proporcionaran información actualizada sobre el estado de sus preparativos para los nuevos requisitos de documentación mínima del PCT que comienzan a partir del 1 de enero de 2026, y la Oficina Europea de Patentes (OEP), como responsable del Equipo Técnico, preparó unas listas de control para facilitar la tarea. </w:t>
      </w:r>
    </w:p>
    <w:p w14:paraId="20E59FE0" w14:textId="2F77B740" w:rsidR="00B41A9D" w:rsidRPr="00B41A9D" w:rsidRDefault="00B41A9D" w:rsidP="00B41A9D">
      <w:pPr>
        <w:spacing w:after="240"/>
        <w:rPr>
          <w:lang w:val="es-ES_tradnl"/>
        </w:rPr>
      </w:pPr>
      <w:r w:rsidRPr="00B41A9D">
        <w:rPr>
          <w:lang w:val="es-ES_tradnl"/>
        </w:rPr>
        <w:fldChar w:fldCharType="begin"/>
      </w:r>
      <w:r w:rsidRPr="00B41A9D">
        <w:rPr>
          <w:lang w:val="es-ES_tradnl"/>
        </w:rPr>
        <w:instrText xml:space="preserve"> AUTONUM  </w:instrText>
      </w:r>
      <w:r w:rsidRPr="00B41A9D">
        <w:rPr>
          <w:lang w:val="es-ES_tradnl"/>
        </w:rPr>
        <w:fldChar w:fldCharType="end"/>
      </w:r>
      <w:r w:rsidRPr="00B41A9D">
        <w:rPr>
          <w:lang w:val="es-ES_tradnl"/>
        </w:rPr>
        <w:tab/>
        <w:t>En esa reunión del Equipo Técnico, la Oficina Internacional se ofreció a impartir una serie de talleres dirigidos a las Oficinas de PI de distintos niveles para prestarles apoyo independientemente de la fase en la que se encuentren en la aplicación de los nuevos requisitos de documentación en materia de patentes, especificados en el párrafo 6. La participación en esos talleres sería voluntaria y normalmente se realizarían de forma bilateral. Como primer paso, la Oficina Internacional elaboró una lista de autoevaluación para determinar qué tipo de taller sería el más adecuado para una Oficina en particular. Los criterios para evaluar el grado de preparación, que se indican a continuación, se publicaron en el espacio wiki del Equipo Técnico sobre Documentación Mínima del PCT:</w:t>
      </w:r>
    </w:p>
    <w:p w14:paraId="2433084D" w14:textId="77777777" w:rsidR="00B41A9D" w:rsidRPr="00B41A9D" w:rsidRDefault="00B41A9D" w:rsidP="00B41A9D">
      <w:pPr>
        <w:pStyle w:val="ListParagraph"/>
        <w:numPr>
          <w:ilvl w:val="0"/>
          <w:numId w:val="8"/>
        </w:numPr>
        <w:spacing w:after="120"/>
        <w:ind w:left="714" w:hanging="357"/>
        <w:contextualSpacing w:val="0"/>
        <w:rPr>
          <w:lang w:val="es-ES_tradnl"/>
        </w:rPr>
      </w:pPr>
      <w:r w:rsidRPr="00B41A9D">
        <w:rPr>
          <w:lang w:val="es-ES_tradnl"/>
        </w:rPr>
        <w:t>Capacidad para producir textos completos de resúmenes, descripciones y reivindicaciones legibles por máquina y con posibilidad de búsqueda para documentos pertenecientes a la documentación mínima del PCT publicados a partir del 1 de enero de 2026;</w:t>
      </w:r>
    </w:p>
    <w:p w14:paraId="54D24717" w14:textId="77777777" w:rsidR="00B41A9D" w:rsidRPr="00B41A9D" w:rsidRDefault="00B41A9D" w:rsidP="00B41A9D">
      <w:pPr>
        <w:pStyle w:val="ListParagraph"/>
        <w:numPr>
          <w:ilvl w:val="0"/>
          <w:numId w:val="8"/>
        </w:numPr>
        <w:spacing w:after="120"/>
        <w:ind w:left="714" w:hanging="357"/>
        <w:contextualSpacing w:val="0"/>
        <w:rPr>
          <w:lang w:val="es-ES_tradnl"/>
        </w:rPr>
      </w:pPr>
      <w:r w:rsidRPr="00B41A9D">
        <w:rPr>
          <w:lang w:val="es-ES_tradnl"/>
        </w:rPr>
        <w:t>Inventario de datos publicados a partir del 1 de enero de 1991, disponibles en formato legible por máquina;</w:t>
      </w:r>
    </w:p>
    <w:p w14:paraId="21FE2462" w14:textId="77777777" w:rsidR="00B41A9D" w:rsidRPr="00B41A9D" w:rsidRDefault="00B41A9D" w:rsidP="00B41A9D">
      <w:pPr>
        <w:pStyle w:val="ListParagraph"/>
        <w:numPr>
          <w:ilvl w:val="0"/>
          <w:numId w:val="8"/>
        </w:numPr>
        <w:spacing w:after="120"/>
        <w:ind w:left="714" w:hanging="357"/>
        <w:contextualSpacing w:val="0"/>
        <w:rPr>
          <w:lang w:val="es-ES_tradnl"/>
        </w:rPr>
      </w:pPr>
      <w:r w:rsidRPr="00B41A9D">
        <w:rPr>
          <w:lang w:val="es-ES_tradnl"/>
        </w:rPr>
        <w:t>Capacidad para dar formato a los datos de patentes en las Normas ST.36 o ST.96 de la OMPI, texto sin formato o de manera combinada;</w:t>
      </w:r>
    </w:p>
    <w:p w14:paraId="2DC69413" w14:textId="77777777" w:rsidR="00B41A9D" w:rsidRPr="00B41A9D" w:rsidRDefault="00B41A9D" w:rsidP="00B41A9D">
      <w:pPr>
        <w:pStyle w:val="ListParagraph"/>
        <w:numPr>
          <w:ilvl w:val="0"/>
          <w:numId w:val="8"/>
        </w:numPr>
        <w:spacing w:after="120"/>
        <w:ind w:left="714" w:hanging="357"/>
        <w:contextualSpacing w:val="0"/>
        <w:rPr>
          <w:lang w:val="es-ES_tradnl"/>
        </w:rPr>
      </w:pPr>
      <w:r w:rsidRPr="00B41A9D">
        <w:rPr>
          <w:lang w:val="es-ES_tradnl"/>
        </w:rPr>
        <w:t>Capacidad para producir un fichero de referencia según la Norma ST.37 de la OMPI con el inventario a partir del 1 de enero de 1991;</w:t>
      </w:r>
    </w:p>
    <w:p w14:paraId="362B79E4" w14:textId="77777777" w:rsidR="00B41A9D" w:rsidRPr="00B41A9D" w:rsidRDefault="00B41A9D" w:rsidP="00B41A9D">
      <w:pPr>
        <w:pStyle w:val="ListParagraph"/>
        <w:numPr>
          <w:ilvl w:val="0"/>
          <w:numId w:val="8"/>
        </w:numPr>
        <w:spacing w:after="120"/>
        <w:ind w:left="714" w:hanging="357"/>
        <w:contextualSpacing w:val="0"/>
        <w:rPr>
          <w:lang w:val="es-ES_tradnl"/>
        </w:rPr>
      </w:pPr>
      <w:r w:rsidRPr="00B41A9D">
        <w:rPr>
          <w:lang w:val="es-ES_tradnl"/>
        </w:rPr>
        <w:t>Capacidad para producir un fichero de referencia según la Norma ST.37 de la OMPI con información sobre la disponibilidad del texto completo a partir del 1 de enero de 2026;</w:t>
      </w:r>
    </w:p>
    <w:p w14:paraId="3CEFE344" w14:textId="77777777" w:rsidR="00B41A9D" w:rsidRPr="00B41A9D" w:rsidRDefault="00B41A9D" w:rsidP="00B41A9D">
      <w:pPr>
        <w:pStyle w:val="ListParagraph"/>
        <w:numPr>
          <w:ilvl w:val="0"/>
          <w:numId w:val="8"/>
        </w:numPr>
        <w:spacing w:after="120"/>
        <w:ind w:left="714" w:hanging="357"/>
        <w:contextualSpacing w:val="0"/>
        <w:rPr>
          <w:lang w:val="es-ES_tradnl"/>
        </w:rPr>
      </w:pPr>
      <w:r w:rsidRPr="00B41A9D">
        <w:rPr>
          <w:lang w:val="es-ES_tradnl"/>
        </w:rPr>
        <w:lastRenderedPageBreak/>
        <w:t>Almacén seguro de datos de patentes pertenecientes a la documentación mínima del PCT;</w:t>
      </w:r>
    </w:p>
    <w:p w14:paraId="59EE6D76" w14:textId="77777777" w:rsidR="00B41A9D" w:rsidRPr="00B41A9D" w:rsidRDefault="00B41A9D" w:rsidP="00B41A9D">
      <w:pPr>
        <w:pStyle w:val="ListParagraph"/>
        <w:numPr>
          <w:ilvl w:val="0"/>
          <w:numId w:val="8"/>
        </w:numPr>
        <w:spacing w:after="120"/>
        <w:ind w:left="714" w:hanging="357"/>
        <w:contextualSpacing w:val="0"/>
        <w:rPr>
          <w:lang w:val="es-ES_tradnl"/>
        </w:rPr>
      </w:pPr>
      <w:r w:rsidRPr="00B41A9D">
        <w:rPr>
          <w:lang w:val="es-ES_tradnl"/>
        </w:rPr>
        <w:t>Procedimientos para que los datos estén disponibles preferiblemente en el plazo de un mes, pero a más tardar dos meses después de la publicación; y</w:t>
      </w:r>
    </w:p>
    <w:p w14:paraId="2AEA25D4" w14:textId="77777777" w:rsidR="00B41A9D" w:rsidRPr="00B41A9D" w:rsidRDefault="00B41A9D" w:rsidP="00B41A9D">
      <w:pPr>
        <w:pStyle w:val="ListParagraph"/>
        <w:numPr>
          <w:ilvl w:val="0"/>
          <w:numId w:val="8"/>
        </w:numPr>
        <w:spacing w:after="240"/>
        <w:contextualSpacing w:val="0"/>
        <w:rPr>
          <w:lang w:val="es-ES_tradnl"/>
        </w:rPr>
      </w:pPr>
      <w:r w:rsidRPr="00B41A9D">
        <w:rPr>
          <w:lang w:val="es-ES_tradnl"/>
        </w:rPr>
        <w:t>Fichero de definiciones con códigos de excepción disponibles.</w:t>
      </w:r>
    </w:p>
    <w:p w14:paraId="73BA074F" w14:textId="59CF8707" w:rsidR="00B41A9D" w:rsidRPr="00B41A9D" w:rsidRDefault="00B41A9D" w:rsidP="00B41A9D">
      <w:pPr>
        <w:spacing w:after="240"/>
        <w:rPr>
          <w:lang w:val="es-ES_tradnl"/>
        </w:rPr>
      </w:pPr>
      <w:r w:rsidRPr="00B41A9D">
        <w:rPr>
          <w:lang w:val="es-ES_tradnl"/>
        </w:rPr>
        <w:fldChar w:fldCharType="begin"/>
      </w:r>
      <w:r w:rsidRPr="00B41A9D">
        <w:rPr>
          <w:lang w:val="es-ES_tradnl"/>
        </w:rPr>
        <w:instrText xml:space="preserve"> AUTONUM  </w:instrText>
      </w:r>
      <w:r w:rsidRPr="00B41A9D">
        <w:rPr>
          <w:lang w:val="es-ES_tradnl"/>
        </w:rPr>
        <w:fldChar w:fldCharType="end"/>
      </w:r>
      <w:r w:rsidRPr="00B41A9D">
        <w:rPr>
          <w:lang w:val="es-ES_tradnl"/>
        </w:rPr>
        <w:tab/>
        <w:t>Tras la reunión del Equipo Técnico, varias Oficinas se han puesto en contacto con la OEP y la Oficina Internacional para solicitar ayuda en la elaboración de su fichero de referencia, entre ellas Brasil, Singapur y Ucrania. Se ha prestado apoyo a estas Oficinas por correo electrónico y en reuniones en línea.</w:t>
      </w:r>
    </w:p>
    <w:p w14:paraId="42B764F9" w14:textId="77777777" w:rsidR="00B41A9D" w:rsidRPr="00B41A9D" w:rsidRDefault="00B41A9D" w:rsidP="00B41A9D">
      <w:pPr>
        <w:pStyle w:val="Heading3"/>
        <w:keepNext w:val="0"/>
        <w:spacing w:before="0" w:after="120"/>
        <w:rPr>
          <w:lang w:val="es-ES_tradnl"/>
        </w:rPr>
      </w:pPr>
      <w:r w:rsidRPr="00B41A9D">
        <w:rPr>
          <w:lang w:val="es-ES_tradnl"/>
        </w:rPr>
        <w:t>Retos</w:t>
      </w:r>
    </w:p>
    <w:p w14:paraId="10A9874A" w14:textId="105466B5" w:rsidR="00B41A9D" w:rsidRPr="00B41A9D" w:rsidRDefault="00B41A9D" w:rsidP="00B41A9D">
      <w:pPr>
        <w:spacing w:after="240"/>
        <w:rPr>
          <w:lang w:val="es-ES_tradnl"/>
        </w:rPr>
      </w:pPr>
      <w:r w:rsidRPr="00B41A9D">
        <w:rPr>
          <w:lang w:val="es-ES_tradnl"/>
        </w:rPr>
        <w:fldChar w:fldCharType="begin"/>
      </w:r>
      <w:r w:rsidRPr="00B41A9D">
        <w:rPr>
          <w:lang w:val="es-ES_tradnl"/>
        </w:rPr>
        <w:instrText xml:space="preserve"> AUTONUM  </w:instrText>
      </w:r>
      <w:r w:rsidRPr="00B41A9D">
        <w:rPr>
          <w:lang w:val="es-ES_tradnl"/>
        </w:rPr>
        <w:fldChar w:fldCharType="end"/>
      </w:r>
      <w:r w:rsidRPr="00B41A9D">
        <w:rPr>
          <w:lang w:val="es-ES_tradnl"/>
        </w:rPr>
        <w:tab/>
        <w:t>La Oficina Internacional ha tenido que hacer frente a los siguientes retos al tratar de alentar a un mayor número de Oficinas a elaborar un fichero de referencia conforme con la Norma ST.37 de la OMPI:</w:t>
      </w:r>
    </w:p>
    <w:p w14:paraId="52B7EBC3" w14:textId="445FA746" w:rsidR="00B41A9D" w:rsidRPr="00B41A9D" w:rsidRDefault="00B41A9D" w:rsidP="00B41A9D">
      <w:pPr>
        <w:pStyle w:val="ListParagraph"/>
        <w:numPr>
          <w:ilvl w:val="0"/>
          <w:numId w:val="10"/>
        </w:numPr>
        <w:spacing w:after="120"/>
        <w:ind w:left="714" w:hanging="357"/>
        <w:contextualSpacing w:val="0"/>
        <w:rPr>
          <w:lang w:val="es-ES_tradnl"/>
        </w:rPr>
      </w:pPr>
      <w:r w:rsidRPr="00B41A9D">
        <w:rPr>
          <w:lang w:val="es-ES_tradnl"/>
        </w:rPr>
        <w:t>Sin más información sobre las Oficinas de patentes, resulta difícil para la Oficina Internacional planificar la asignación de recursos para llevar a cabo esta tarea. La digitalización de los boletines de patentes y la elaboración de un fichero de referencia requieren competencias diferentes; y</w:t>
      </w:r>
    </w:p>
    <w:p w14:paraId="74DC756C" w14:textId="413B7EAD" w:rsidR="00B41A9D" w:rsidRPr="00B41A9D" w:rsidRDefault="00B41A9D" w:rsidP="00B41A9D">
      <w:pPr>
        <w:pStyle w:val="ListParagraph"/>
        <w:numPr>
          <w:ilvl w:val="0"/>
          <w:numId w:val="10"/>
        </w:numPr>
        <w:spacing w:after="360"/>
        <w:ind w:left="714" w:hanging="357"/>
        <w:contextualSpacing w:val="0"/>
        <w:rPr>
          <w:lang w:val="es-ES_tradnl"/>
        </w:rPr>
      </w:pPr>
      <w:r w:rsidRPr="00B41A9D">
        <w:rPr>
          <w:lang w:val="es-ES_tradnl"/>
        </w:rPr>
        <w:t>Queda un plazo limitado para que los miembros del Equipo Técnico sobre Documentación Mínima del PCT satisfagan los nuevos requisitos de documentación en materia de patentes, siendo la fecha límite para que el documento final esté accesible digitalmente el 1 de enero de 2026.</w:t>
      </w:r>
    </w:p>
    <w:p w14:paraId="4891AB6B" w14:textId="77777777" w:rsidR="00B41A9D" w:rsidRPr="00B41A9D" w:rsidRDefault="00B41A9D" w:rsidP="00B41A9D">
      <w:pPr>
        <w:pStyle w:val="Heading3"/>
        <w:keepNext w:val="0"/>
        <w:spacing w:before="0" w:after="120"/>
        <w:rPr>
          <w:lang w:val="es-ES_tradnl"/>
        </w:rPr>
      </w:pPr>
      <w:r w:rsidRPr="00B41A9D">
        <w:rPr>
          <w:lang w:val="es-ES_tradnl"/>
        </w:rPr>
        <w:t>Labor futura</w:t>
      </w:r>
    </w:p>
    <w:p w14:paraId="1769F307" w14:textId="51848FDB" w:rsidR="00B41A9D" w:rsidRPr="00B41A9D" w:rsidRDefault="00B41A9D" w:rsidP="00B41A9D">
      <w:pPr>
        <w:spacing w:after="240"/>
        <w:rPr>
          <w:lang w:val="es-ES_tradnl"/>
        </w:rPr>
      </w:pPr>
      <w:r w:rsidRPr="00B41A9D">
        <w:rPr>
          <w:lang w:val="es-ES_tradnl"/>
        </w:rPr>
        <w:fldChar w:fldCharType="begin"/>
      </w:r>
      <w:r w:rsidRPr="00B41A9D">
        <w:rPr>
          <w:lang w:val="es-ES_tradnl"/>
        </w:rPr>
        <w:instrText xml:space="preserve"> AUTONUM  </w:instrText>
      </w:r>
      <w:r w:rsidRPr="00B41A9D">
        <w:rPr>
          <w:lang w:val="es-ES_tradnl"/>
        </w:rPr>
        <w:fldChar w:fldCharType="end"/>
      </w:r>
      <w:r w:rsidRPr="00B41A9D">
        <w:rPr>
          <w:lang w:val="es-ES_tradnl"/>
        </w:rPr>
        <w:tab/>
        <w:t>Actualmente, la Oficina Internacional está preparando con las Oficinas interesadas la organización de talleres bilaterales antes de finales de 2024 para las Oficinas con mayor necesidad de apoyo. A continuación, se organizarán talleres específicos para aquellas Oficinas que estén más cerca de cumplir los requisitos de documentación en materia de patentes, si bien aún no están programados.</w:t>
      </w:r>
    </w:p>
    <w:p w14:paraId="732B09F5" w14:textId="1D1109F6" w:rsidR="00B41A9D" w:rsidRPr="00B41A9D" w:rsidRDefault="00B41A9D" w:rsidP="00B41A9D">
      <w:pPr>
        <w:pStyle w:val="ONUME"/>
        <w:numPr>
          <w:ilvl w:val="0"/>
          <w:numId w:val="0"/>
        </w:numPr>
        <w:spacing w:after="120"/>
        <w:ind w:left="5533"/>
        <w:rPr>
          <w:i/>
          <w:lang w:val="es-ES_tradnl"/>
        </w:rPr>
      </w:pPr>
      <w:r w:rsidRPr="00B41A9D">
        <w:rPr>
          <w:i/>
          <w:lang w:val="es-ES_tradnl"/>
        </w:rPr>
        <w:t>11.</w:t>
      </w:r>
      <w:r w:rsidRPr="00B41A9D">
        <w:rPr>
          <w:lang w:val="es-ES_tradnl"/>
        </w:rPr>
        <w:tab/>
      </w:r>
      <w:r w:rsidRPr="00B41A9D">
        <w:rPr>
          <w:i/>
          <w:iCs/>
          <w:lang w:val="es-ES_tradnl"/>
        </w:rPr>
        <w:t>Se invita al CWS a:</w:t>
      </w:r>
    </w:p>
    <w:p w14:paraId="5529F8D5" w14:textId="77777777" w:rsidR="00B41A9D" w:rsidRPr="00B41A9D" w:rsidRDefault="00B41A9D" w:rsidP="00B41A9D">
      <w:pPr>
        <w:pStyle w:val="ONUME"/>
        <w:numPr>
          <w:ilvl w:val="0"/>
          <w:numId w:val="7"/>
        </w:numPr>
        <w:tabs>
          <w:tab w:val="num" w:pos="1134"/>
          <w:tab w:val="num" w:pos="6101"/>
        </w:tabs>
        <w:spacing w:after="120"/>
        <w:ind w:left="5529" w:firstLine="563"/>
        <w:rPr>
          <w:i/>
          <w:lang w:val="es-ES_tradnl"/>
        </w:rPr>
      </w:pPr>
      <w:r w:rsidRPr="00B41A9D">
        <w:rPr>
          <w:i/>
          <w:lang w:val="es-ES_tradnl"/>
        </w:rPr>
        <w:t>tomar nota del contenido del presente documento, en particular de los retos indicados en el párrafo 9; y</w:t>
      </w:r>
    </w:p>
    <w:p w14:paraId="463BF4E5" w14:textId="56DDAA11" w:rsidR="00B41A9D" w:rsidRPr="00B41A9D" w:rsidRDefault="00B41A9D" w:rsidP="00B41A9D">
      <w:pPr>
        <w:pStyle w:val="ONUME"/>
        <w:numPr>
          <w:ilvl w:val="0"/>
          <w:numId w:val="7"/>
        </w:numPr>
        <w:tabs>
          <w:tab w:val="num" w:pos="1134"/>
          <w:tab w:val="num" w:pos="6101"/>
        </w:tabs>
        <w:spacing w:after="600"/>
        <w:ind w:left="5528" w:firstLine="561"/>
        <w:rPr>
          <w:i/>
          <w:lang w:val="es-ES_tradnl"/>
        </w:rPr>
      </w:pPr>
      <w:r w:rsidRPr="00B41A9D">
        <w:rPr>
          <w:i/>
          <w:lang w:val="es-ES_tradnl"/>
        </w:rPr>
        <w:t>alentar a las Oficinas de PI a participar en los talleres organizados por la Oficina Internacional después de realizar la autoevaluación, como se indica en el párrafo 10.</w:t>
      </w:r>
    </w:p>
    <w:p w14:paraId="18E3C486" w14:textId="0A228520" w:rsidR="00152CEA" w:rsidRPr="00B41A9D" w:rsidRDefault="00B41A9D" w:rsidP="00B41A9D">
      <w:pPr>
        <w:pStyle w:val="Endofdocument"/>
        <w:ind w:left="5530"/>
        <w:rPr>
          <w:lang w:val="es-ES_tradnl"/>
        </w:rPr>
      </w:pPr>
      <w:r w:rsidRPr="00B41A9D">
        <w:rPr>
          <w:sz w:val="22"/>
          <w:lang w:val="es-ES_tradnl"/>
        </w:rPr>
        <w:t>[Fin del documento]</w:t>
      </w:r>
    </w:p>
    <w:sectPr w:rsidR="00152CEA" w:rsidRPr="00B41A9D" w:rsidSect="00B41A9D">
      <w:headerReference w:type="default" r:id="rId10"/>
      <w:footerReference w:type="even" r:id="rId11"/>
      <w:footerReference w:type="default" r:id="rId12"/>
      <w:footerReference w:type="first" r:id="rId13"/>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6FB85D" w14:textId="77777777" w:rsidR="00B41A9D" w:rsidRDefault="00B41A9D">
      <w:r>
        <w:separator/>
      </w:r>
    </w:p>
  </w:endnote>
  <w:endnote w:type="continuationSeparator" w:id="0">
    <w:p w14:paraId="23C3C31C" w14:textId="77777777" w:rsidR="00B41A9D" w:rsidRPr="009D30E6" w:rsidRDefault="00B41A9D" w:rsidP="007E663E">
      <w:pPr>
        <w:rPr>
          <w:sz w:val="17"/>
          <w:szCs w:val="17"/>
        </w:rPr>
      </w:pPr>
      <w:r w:rsidRPr="009D30E6">
        <w:rPr>
          <w:sz w:val="17"/>
          <w:szCs w:val="17"/>
        </w:rPr>
        <w:separator/>
      </w:r>
    </w:p>
    <w:p w14:paraId="2820C6B1" w14:textId="77777777" w:rsidR="00B41A9D" w:rsidRPr="007E663E" w:rsidRDefault="00B41A9D" w:rsidP="007E663E">
      <w:pPr>
        <w:spacing w:after="60"/>
        <w:rPr>
          <w:sz w:val="17"/>
          <w:szCs w:val="17"/>
        </w:rPr>
      </w:pPr>
      <w:r>
        <w:rPr>
          <w:sz w:val="17"/>
        </w:rPr>
        <w:t>[Continuación de la nota de la página anterior]</w:t>
      </w:r>
    </w:p>
  </w:endnote>
  <w:endnote w:type="continuationNotice" w:id="1">
    <w:p w14:paraId="3984A68F" w14:textId="77777777" w:rsidR="00B41A9D" w:rsidRPr="007E663E" w:rsidRDefault="00B41A9D"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CC0984" w14:textId="5DA448AA" w:rsidR="001D50D1" w:rsidRDefault="001D50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1883C0" w14:textId="68C1609D" w:rsidR="001D50D1" w:rsidRDefault="001D50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205B13" w14:textId="7ADF6F65" w:rsidR="001D50D1" w:rsidRDefault="001D50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35221A" w14:textId="77777777" w:rsidR="00B41A9D" w:rsidRDefault="00B41A9D">
      <w:r>
        <w:separator/>
      </w:r>
    </w:p>
  </w:footnote>
  <w:footnote w:type="continuationSeparator" w:id="0">
    <w:p w14:paraId="6F138346" w14:textId="77777777" w:rsidR="00B41A9D" w:rsidRPr="009D30E6" w:rsidRDefault="00B41A9D" w:rsidP="007E663E">
      <w:pPr>
        <w:rPr>
          <w:sz w:val="17"/>
          <w:szCs w:val="17"/>
        </w:rPr>
      </w:pPr>
      <w:r w:rsidRPr="009D30E6">
        <w:rPr>
          <w:sz w:val="17"/>
          <w:szCs w:val="17"/>
        </w:rPr>
        <w:separator/>
      </w:r>
    </w:p>
    <w:p w14:paraId="5A9FFF5A" w14:textId="77777777" w:rsidR="00B41A9D" w:rsidRPr="007E663E" w:rsidRDefault="00B41A9D" w:rsidP="007E663E">
      <w:pPr>
        <w:spacing w:after="60"/>
        <w:rPr>
          <w:sz w:val="17"/>
          <w:szCs w:val="17"/>
        </w:rPr>
      </w:pPr>
      <w:r>
        <w:rPr>
          <w:sz w:val="17"/>
        </w:rPr>
        <w:t>[Continuación de la nota de la página anterior]</w:t>
      </w:r>
    </w:p>
  </w:footnote>
  <w:footnote w:type="continuationNotice" w:id="1">
    <w:p w14:paraId="6583C0FD" w14:textId="77777777" w:rsidR="00B41A9D" w:rsidRPr="007E663E" w:rsidRDefault="00B41A9D"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E5D7AA" w14:textId="77777777" w:rsidR="00F84474" w:rsidRDefault="00B41A9D" w:rsidP="00477D6B">
    <w:pPr>
      <w:jc w:val="right"/>
    </w:pPr>
    <w:bookmarkStart w:id="5" w:name="Code2"/>
    <w:bookmarkEnd w:id="5"/>
    <w:r>
      <w:t>CWS/12/14</w:t>
    </w:r>
  </w:p>
  <w:p w14:paraId="528F8826" w14:textId="77777777" w:rsidR="00F84474" w:rsidRDefault="00F84474" w:rsidP="00477D6B">
    <w:pPr>
      <w:jc w:val="right"/>
    </w:pPr>
    <w:r>
      <w:t xml:space="preserve">página </w:t>
    </w:r>
    <w:r>
      <w:fldChar w:fldCharType="begin"/>
    </w:r>
    <w:r>
      <w:instrText xml:space="preserve"> PAGE  \* MERGEFORMAT </w:instrText>
    </w:r>
    <w:r>
      <w:fldChar w:fldCharType="separate"/>
    </w:r>
    <w:r w:rsidR="008B14EA">
      <w:rPr>
        <w:noProof/>
      </w:rPr>
      <w:t>2</w:t>
    </w:r>
    <w:r>
      <w:fldChar w:fldCharType="end"/>
    </w:r>
  </w:p>
  <w:p w14:paraId="6766E927" w14:textId="77777777" w:rsidR="00F84474" w:rsidRDefault="00F84474" w:rsidP="00477D6B">
    <w:pPr>
      <w:jc w:val="right"/>
    </w:pPr>
  </w:p>
  <w:p w14:paraId="720B64B7" w14:textId="77777777" w:rsidR="004F7418" w:rsidRDefault="004F7418"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ACD7EFA"/>
    <w:multiLevelType w:val="hybridMultilevel"/>
    <w:tmpl w:val="6BAC1E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48066F"/>
    <w:multiLevelType w:val="hybridMultilevel"/>
    <w:tmpl w:val="D4240FB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30C93E2A"/>
    <w:multiLevelType w:val="hybridMultilevel"/>
    <w:tmpl w:val="5A8E7B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B1B69F5"/>
    <w:multiLevelType w:val="hybridMultilevel"/>
    <w:tmpl w:val="60AC3794"/>
    <w:lvl w:ilvl="0" w:tplc="DDA6CF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7987169">
    <w:abstractNumId w:val="4"/>
  </w:num>
  <w:num w:numId="2" w16cid:durableId="1368065899">
    <w:abstractNumId w:val="7"/>
  </w:num>
  <w:num w:numId="3" w16cid:durableId="1509633635">
    <w:abstractNumId w:val="0"/>
  </w:num>
  <w:num w:numId="4" w16cid:durableId="677849983">
    <w:abstractNumId w:val="8"/>
  </w:num>
  <w:num w:numId="5" w16cid:durableId="1988243437">
    <w:abstractNumId w:val="1"/>
  </w:num>
  <w:num w:numId="6" w16cid:durableId="2016496202">
    <w:abstractNumId w:val="5"/>
  </w:num>
  <w:num w:numId="7" w16cid:durableId="1079254261">
    <w:abstractNumId w:val="6"/>
  </w:num>
  <w:num w:numId="8" w16cid:durableId="634600611">
    <w:abstractNumId w:val="3"/>
  </w:num>
  <w:num w:numId="9" w16cid:durableId="2103988765">
    <w:abstractNumId w:val="9"/>
  </w:num>
  <w:num w:numId="10" w16cid:durableId="18523794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A9D"/>
    <w:rsid w:val="00035675"/>
    <w:rsid w:val="000E3BB3"/>
    <w:rsid w:val="000E67FD"/>
    <w:rsid w:val="000F5E56"/>
    <w:rsid w:val="001362EE"/>
    <w:rsid w:val="001524DC"/>
    <w:rsid w:val="00152CEA"/>
    <w:rsid w:val="001832A6"/>
    <w:rsid w:val="001C4DD3"/>
    <w:rsid w:val="001D50D1"/>
    <w:rsid w:val="002634C4"/>
    <w:rsid w:val="002F4E68"/>
    <w:rsid w:val="00307787"/>
    <w:rsid w:val="00354647"/>
    <w:rsid w:val="00377273"/>
    <w:rsid w:val="003845C1"/>
    <w:rsid w:val="00387287"/>
    <w:rsid w:val="003D41D4"/>
    <w:rsid w:val="00423E3E"/>
    <w:rsid w:val="00427AF4"/>
    <w:rsid w:val="0045231F"/>
    <w:rsid w:val="004647DA"/>
    <w:rsid w:val="00477D6B"/>
    <w:rsid w:val="004A6C37"/>
    <w:rsid w:val="004F7418"/>
    <w:rsid w:val="00507207"/>
    <w:rsid w:val="00511D0C"/>
    <w:rsid w:val="0055013B"/>
    <w:rsid w:val="0056224D"/>
    <w:rsid w:val="00571B99"/>
    <w:rsid w:val="005D64EC"/>
    <w:rsid w:val="00605827"/>
    <w:rsid w:val="00615B8E"/>
    <w:rsid w:val="0066216D"/>
    <w:rsid w:val="00664847"/>
    <w:rsid w:val="00675021"/>
    <w:rsid w:val="006A06C6"/>
    <w:rsid w:val="007E63AC"/>
    <w:rsid w:val="007E663E"/>
    <w:rsid w:val="00815082"/>
    <w:rsid w:val="00843582"/>
    <w:rsid w:val="00882397"/>
    <w:rsid w:val="008B14EA"/>
    <w:rsid w:val="008B2CC1"/>
    <w:rsid w:val="0090731E"/>
    <w:rsid w:val="00966A22"/>
    <w:rsid w:val="00970F3D"/>
    <w:rsid w:val="00972F03"/>
    <w:rsid w:val="009A0C8B"/>
    <w:rsid w:val="009B6241"/>
    <w:rsid w:val="00A16FC0"/>
    <w:rsid w:val="00A32C9E"/>
    <w:rsid w:val="00A7453D"/>
    <w:rsid w:val="00AB613D"/>
    <w:rsid w:val="00B41A9D"/>
    <w:rsid w:val="00B65A0A"/>
    <w:rsid w:val="00B72D36"/>
    <w:rsid w:val="00BA063E"/>
    <w:rsid w:val="00BC4164"/>
    <w:rsid w:val="00BD2DCC"/>
    <w:rsid w:val="00BE1A8C"/>
    <w:rsid w:val="00C06472"/>
    <w:rsid w:val="00C90559"/>
    <w:rsid w:val="00CB367F"/>
    <w:rsid w:val="00D36B79"/>
    <w:rsid w:val="00D40CF0"/>
    <w:rsid w:val="00D56C7C"/>
    <w:rsid w:val="00D71B4D"/>
    <w:rsid w:val="00D90289"/>
    <w:rsid w:val="00D93D55"/>
    <w:rsid w:val="00E45C84"/>
    <w:rsid w:val="00E504E5"/>
    <w:rsid w:val="00E73ABF"/>
    <w:rsid w:val="00EB7A3E"/>
    <w:rsid w:val="00EC401A"/>
    <w:rsid w:val="00EF530A"/>
    <w:rsid w:val="00EF6622"/>
    <w:rsid w:val="00F55408"/>
    <w:rsid w:val="00F66152"/>
    <w:rsid w:val="00F80845"/>
    <w:rsid w:val="00F84474"/>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54FF9F"/>
  <w15:docId w15:val="{5A5E2963-7D46-471D-9432-981DD128C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ListParagraph">
    <w:name w:val="List Paragraph"/>
    <w:basedOn w:val="Normal"/>
    <w:uiPriority w:val="34"/>
    <w:qFormat/>
    <w:rsid w:val="00B41A9D"/>
    <w:pPr>
      <w:ind w:left="720"/>
      <w:contextualSpacing/>
    </w:pPr>
  </w:style>
  <w:style w:type="character" w:customStyle="1" w:styleId="ONUMEChar">
    <w:name w:val="ONUM E Char"/>
    <w:basedOn w:val="DefaultParagraphFont"/>
    <w:link w:val="ONUME"/>
    <w:rsid w:val="00B41A9D"/>
    <w:rPr>
      <w:rFonts w:ascii="Arial" w:eastAsia="SimSun" w:hAnsi="Arial" w:cs="Arial"/>
      <w:sz w:val="22"/>
      <w:lang w:val="es-ES" w:eastAsia="zh-CN"/>
    </w:rPr>
  </w:style>
  <w:style w:type="paragraph" w:customStyle="1" w:styleId="Endofdocument">
    <w:name w:val="End of document"/>
    <w:basedOn w:val="Normal"/>
    <w:rsid w:val="00B41A9D"/>
    <w:pPr>
      <w:spacing w:line="260" w:lineRule="atLeast"/>
      <w:ind w:left="5534"/>
    </w:pPr>
    <w:rPr>
      <w:rFonts w:eastAsia="Times New Roman" w:cs="Times New Roman"/>
      <w:sz w:val="20"/>
      <w:lang w:eastAsia="en-US"/>
    </w:rPr>
  </w:style>
  <w:style w:type="character" w:styleId="Hyperlink">
    <w:name w:val="Hyperlink"/>
    <w:basedOn w:val="DefaultParagraphFont"/>
    <w:unhideWhenUsed/>
    <w:rsid w:val="00B41A9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ipo.int/standards/es/authority_file.html"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wipo.int/export/sites/www/cws/es/circulars/files/cws_177.pdf"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_12%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CWS_12 (S).dotm</Template>
  <TotalTime>5</TotalTime>
  <Pages>3</Pages>
  <Words>1187</Words>
  <Characters>6197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CWS/12/14</vt:lpstr>
    </vt:vector>
  </TitlesOfParts>
  <Company/>
  <LinksUpToDate>false</LinksUpToDate>
  <CharactersWithSpaces>7370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CWS/12/14</dc:title>
  <dc:creator>WIPO</dc:creator>
  <cp:keywords>Comité de Normas Técnicas de la OMPI (CWS) Duodécima sesión</cp:keywords>
  <cp:lastModifiedBy>BLANCHET Gaspard</cp:lastModifiedBy>
  <cp:revision>4</cp:revision>
  <dcterms:created xsi:type="dcterms:W3CDTF">2024-07-23T07:53:00Z</dcterms:created>
  <dcterms:modified xsi:type="dcterms:W3CDTF">2024-08-21T12:23:00Z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2024-07-23T07:53:42Z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63630da4-50f3-4522-8eaf-02bb0ff4c52d</vt:lpwstr>
  </property>
  <property fmtid="{D5CDD505-2E9C-101B-9397-08002B2CF9AE}" pid="14" name="MSIP_Label_20773ee6-353b-4fb9-a59d-0b94c8c67bea_ContentBits">
    <vt:lpwstr>0</vt:lpwstr>
  </property>
</Properties>
</file>